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5479AA">
      <w:pPr>
        <w:adjustRightInd w:val="0"/>
        <w:snapToGrid w:val="0"/>
        <w:jc w:val="center"/>
        <w:outlineLvl w:val="9"/>
        <w:rPr>
          <w:rFonts w:hint="eastAsia" w:ascii="方正小标宋_GBK" w:eastAsia="方正小标宋_GBK"/>
          <w:bCs/>
          <w:sz w:val="72"/>
          <w:szCs w:val="72"/>
        </w:rPr>
      </w:pPr>
      <w:bookmarkStart w:id="0" w:name="_Hlk57883728"/>
    </w:p>
    <w:p w14:paraId="7D521DE2">
      <w:pPr>
        <w:adjustRightInd w:val="0"/>
        <w:snapToGrid w:val="0"/>
        <w:jc w:val="center"/>
        <w:outlineLvl w:val="9"/>
        <w:rPr>
          <w:rFonts w:hint="eastAsia" w:ascii="方正小标宋_GBK" w:eastAsia="方正小标宋_GBK"/>
          <w:bCs/>
          <w:sz w:val="72"/>
          <w:szCs w:val="72"/>
        </w:rPr>
      </w:pPr>
    </w:p>
    <w:p w14:paraId="6E96B824">
      <w:pPr>
        <w:adjustRightInd w:val="0"/>
        <w:snapToGrid w:val="0"/>
        <w:jc w:val="center"/>
        <w:outlineLvl w:val="9"/>
        <w:rPr>
          <w:rFonts w:hint="eastAsia" w:ascii="方正小标宋_GBK" w:eastAsia="方正小标宋_GBK"/>
          <w:bCs/>
          <w:sz w:val="72"/>
          <w:szCs w:val="72"/>
        </w:rPr>
      </w:pPr>
      <w:bookmarkStart w:id="14" w:name="_GoBack"/>
      <w:bookmarkEnd w:id="14"/>
      <w:r>
        <w:rPr>
          <w:rFonts w:hint="eastAsia" w:ascii="方正小标宋_GBK" w:eastAsia="方正小标宋_GBK"/>
          <w:bCs/>
          <w:sz w:val="72"/>
          <w:szCs w:val="72"/>
        </w:rPr>
        <w:t>建设项目环境影响报告表</w:t>
      </w:r>
    </w:p>
    <w:p w14:paraId="6B467F15">
      <w:pPr>
        <w:adjustRightInd w:val="0"/>
        <w:snapToGrid w:val="0"/>
        <w:spacing w:line="288" w:lineRule="auto"/>
        <w:jc w:val="center"/>
        <w:outlineLvl w:val="9"/>
        <w:rPr>
          <w:rFonts w:ascii="华文仿宋" w:hAnsi="华文仿宋" w:eastAsia="宋体" w:cs="华文仿宋"/>
          <w:kern w:val="44"/>
          <w:sz w:val="44"/>
          <w:szCs w:val="44"/>
        </w:rPr>
      </w:pPr>
      <w:r>
        <w:rPr>
          <w:rFonts w:hint="eastAsia" w:ascii="楷体_GB2312" w:eastAsia="楷体_GB2312"/>
          <w:bCs/>
          <w:sz w:val="48"/>
          <w:szCs w:val="48"/>
        </w:rPr>
        <w:t>（生态影响类）</w:t>
      </w:r>
    </w:p>
    <w:p w14:paraId="7C33E5BA">
      <w:pPr>
        <w:jc w:val="center"/>
        <w:rPr>
          <w:rFonts w:eastAsia="宋体"/>
          <w:sz w:val="52"/>
          <w:szCs w:val="52"/>
        </w:rPr>
      </w:pPr>
    </w:p>
    <w:p w14:paraId="0B0F7CCA">
      <w:pPr>
        <w:ind w:firstLine="1040"/>
        <w:rPr>
          <w:rFonts w:eastAsia="宋体"/>
          <w:sz w:val="44"/>
          <w:szCs w:val="44"/>
        </w:rPr>
      </w:pPr>
    </w:p>
    <w:p w14:paraId="7E51744C">
      <w:pPr>
        <w:rPr>
          <w:rFonts w:eastAsia="宋体"/>
          <w:sz w:val="44"/>
          <w:szCs w:val="44"/>
        </w:rPr>
      </w:pPr>
    </w:p>
    <w:p w14:paraId="0C18C13F">
      <w:pPr>
        <w:ind w:firstLine="1040"/>
        <w:rPr>
          <w:rFonts w:eastAsia="宋体"/>
          <w:sz w:val="44"/>
          <w:szCs w:val="44"/>
        </w:rPr>
      </w:pPr>
    </w:p>
    <w:bookmarkEnd w:id="0"/>
    <w:p w14:paraId="570472E9">
      <w:pPr>
        <w:keepNext w:val="0"/>
        <w:keepLines w:val="0"/>
        <w:pageBreakBefore w:val="0"/>
        <w:widowControl w:val="0"/>
        <w:kinsoku/>
        <w:wordWrap/>
        <w:overflowPunct/>
        <w:topLinePunct w:val="0"/>
        <w:autoSpaceDE/>
        <w:autoSpaceDN/>
        <w:bidi w:val="0"/>
        <w:adjustRightInd w:val="0"/>
        <w:snapToGrid w:val="0"/>
        <w:spacing w:line="288" w:lineRule="auto"/>
        <w:ind w:left="359" w:leftChars="171" w:firstLine="0" w:firstLineChars="0"/>
        <w:textAlignment w:val="auto"/>
        <w:rPr>
          <w:rFonts w:hint="eastAsia" w:ascii="仿宋" w:hAnsi="仿宋" w:eastAsia="仿宋" w:cs="仿宋"/>
          <w:sz w:val="36"/>
          <w:szCs w:val="36"/>
          <w:u w:val="single"/>
          <w:lang w:val="en-US" w:eastAsia="zh-CN"/>
        </w:rPr>
      </w:pPr>
      <w:r>
        <w:rPr>
          <w:rFonts w:hint="eastAsia" w:ascii="仿宋" w:hAnsi="仿宋" w:eastAsia="仿宋" w:cs="仿宋"/>
          <w:sz w:val="36"/>
          <w:szCs w:val="36"/>
        </w:rPr>
        <w:t>项目名称：</w:t>
      </w:r>
      <w:r>
        <w:rPr>
          <w:rFonts w:hint="eastAsia" w:ascii="仿宋" w:hAnsi="仿宋" w:eastAsia="仿宋" w:cs="仿宋"/>
          <w:sz w:val="36"/>
          <w:szCs w:val="36"/>
          <w:u w:val="single"/>
          <w:lang w:val="en-US" w:eastAsia="zh-CN"/>
        </w:rPr>
        <w:t>中国石油化工集团有限公司2024年在江苏省油气开发产能建设项目：</w:t>
      </w:r>
      <w:r>
        <w:rPr>
          <w:rFonts w:hint="eastAsia" w:ascii="仿宋" w:hAnsi="仿宋" w:eastAsia="仿宋" w:cs="仿宋"/>
          <w:sz w:val="36"/>
          <w:szCs w:val="36"/>
          <w:u w:val="single"/>
        </w:rPr>
        <w:t>（</w:t>
      </w:r>
      <w:r>
        <w:rPr>
          <w:rFonts w:hint="eastAsia" w:ascii="仿宋" w:hAnsi="仿宋" w:eastAsia="仿宋" w:cs="仿宋"/>
          <w:sz w:val="36"/>
          <w:szCs w:val="36"/>
          <w:u w:val="single"/>
          <w:lang w:val="en-US" w:eastAsia="zh-CN"/>
        </w:rPr>
        <w:t>沙105斜、沙86斜2口勘探井项目</w:t>
      </w:r>
      <w:r>
        <w:rPr>
          <w:rFonts w:hint="eastAsia" w:ascii="仿宋" w:hAnsi="仿宋" w:eastAsia="仿宋" w:cs="仿宋"/>
          <w:sz w:val="36"/>
          <w:szCs w:val="36"/>
          <w:u w:val="single"/>
        </w:rPr>
        <w:t xml:space="preserve">）    </w:t>
      </w:r>
      <w:r>
        <w:rPr>
          <w:rFonts w:hint="eastAsia" w:ascii="仿宋" w:hAnsi="仿宋" w:eastAsia="仿宋" w:cs="仿宋"/>
          <w:sz w:val="36"/>
          <w:szCs w:val="36"/>
          <w:u w:val="single"/>
          <w:lang w:val="en-US" w:eastAsia="zh-CN"/>
        </w:rPr>
        <w:t xml:space="preserve">                               </w:t>
      </w:r>
    </w:p>
    <w:p w14:paraId="18099786">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360" w:firstLineChars="100"/>
        <w:textAlignment w:val="auto"/>
        <w:rPr>
          <w:rFonts w:hint="eastAsia" w:ascii="仿宋" w:hAnsi="仿宋" w:eastAsia="仿宋" w:cs="仿宋"/>
          <w:sz w:val="36"/>
          <w:szCs w:val="36"/>
          <w:u w:val="single"/>
          <w:lang w:val="en-US" w:eastAsia="zh-CN"/>
        </w:rPr>
      </w:pPr>
      <w:r>
        <w:rPr>
          <w:rFonts w:hint="eastAsia" w:ascii="仿宋" w:hAnsi="仿宋" w:eastAsia="仿宋" w:cs="仿宋"/>
          <w:sz w:val="36"/>
          <w:szCs w:val="36"/>
        </w:rPr>
        <w:t>建设单位（盖章）：</w:t>
      </w:r>
      <w:r>
        <w:rPr>
          <w:rFonts w:hint="eastAsia" w:ascii="仿宋" w:hAnsi="仿宋" w:eastAsia="仿宋" w:cs="仿宋"/>
          <w:sz w:val="36"/>
          <w:szCs w:val="36"/>
          <w:u w:val="single"/>
        </w:rPr>
        <w:t>中国石油化工股份有限公司</w:t>
      </w:r>
      <w:r>
        <w:rPr>
          <w:rFonts w:hint="eastAsia" w:ascii="仿宋" w:hAnsi="仿宋" w:eastAsia="仿宋" w:cs="仿宋"/>
          <w:sz w:val="36"/>
          <w:szCs w:val="36"/>
          <w:u w:val="single"/>
          <w:lang w:val="en-US" w:eastAsia="zh-CN"/>
        </w:rPr>
        <w:t xml:space="preserve"> </w:t>
      </w:r>
    </w:p>
    <w:p w14:paraId="01288BA0">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360" w:firstLineChars="100"/>
        <w:textAlignment w:val="auto"/>
        <w:rPr>
          <w:rFonts w:hint="default" w:ascii="仿宋" w:hAnsi="仿宋" w:eastAsia="仿宋" w:cs="仿宋"/>
          <w:sz w:val="36"/>
          <w:szCs w:val="36"/>
          <w:u w:val="single"/>
          <w:lang w:val="en-US" w:eastAsia="zh-CN"/>
        </w:rPr>
      </w:pPr>
      <w:r>
        <w:rPr>
          <w:rFonts w:hint="eastAsia" w:ascii="仿宋" w:hAnsi="仿宋" w:eastAsia="仿宋" w:cs="仿宋"/>
          <w:sz w:val="36"/>
          <w:szCs w:val="36"/>
          <w:u w:val="single"/>
        </w:rPr>
        <w:t xml:space="preserve">江苏油田分公司 </w:t>
      </w:r>
      <w:r>
        <w:rPr>
          <w:rFonts w:hint="eastAsia" w:ascii="仿宋" w:hAnsi="仿宋" w:eastAsia="仿宋" w:cs="仿宋"/>
          <w:sz w:val="36"/>
          <w:szCs w:val="36"/>
          <w:u w:val="single"/>
          <w:lang w:val="en-US" w:eastAsia="zh-CN"/>
        </w:rPr>
        <w:t xml:space="preserve">                            </w:t>
      </w:r>
    </w:p>
    <w:p w14:paraId="68D268CD">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textAlignment w:val="auto"/>
        <w:rPr>
          <w:rFonts w:hint="eastAsia" w:ascii="仿宋_GB2312" w:eastAsia="宋体"/>
          <w:sz w:val="36"/>
          <w:szCs w:val="36"/>
          <w:u w:val="single"/>
          <w:lang w:val="en-US" w:eastAsia="zh-CN"/>
        </w:rPr>
      </w:pPr>
      <w:r>
        <w:rPr>
          <w:rFonts w:hint="eastAsia" w:ascii="仿宋" w:hAnsi="仿宋" w:eastAsia="仿宋" w:cs="仿宋"/>
          <w:sz w:val="36"/>
          <w:szCs w:val="36"/>
        </w:rPr>
        <w:t>编制日期：</w:t>
      </w:r>
      <w:r>
        <w:rPr>
          <w:rFonts w:hint="eastAsia" w:ascii="仿宋" w:hAnsi="仿宋" w:eastAsia="仿宋" w:cs="仿宋"/>
          <w:sz w:val="36"/>
          <w:szCs w:val="36"/>
          <w:u w:val="single"/>
        </w:rPr>
        <w:t xml:space="preserve">    </w:t>
      </w:r>
      <w:r>
        <w:rPr>
          <w:rFonts w:hint="eastAsia" w:ascii="仿宋" w:hAnsi="仿宋" w:eastAsia="仿宋" w:cs="仿宋"/>
          <w:sz w:val="36"/>
          <w:szCs w:val="36"/>
          <w:u w:val="single"/>
          <w:lang w:val="en-US" w:eastAsia="zh-CN"/>
        </w:rPr>
        <w:t xml:space="preserve"> </w:t>
      </w:r>
      <w:r>
        <w:rPr>
          <w:rFonts w:hint="eastAsia" w:ascii="仿宋" w:hAnsi="仿宋" w:eastAsia="仿宋" w:cs="仿宋"/>
          <w:sz w:val="36"/>
          <w:szCs w:val="36"/>
          <w:u w:val="single"/>
        </w:rPr>
        <w:t xml:space="preserve"> </w:t>
      </w:r>
      <w:r>
        <w:rPr>
          <w:rFonts w:hint="eastAsia" w:ascii="仿宋" w:hAnsi="仿宋" w:eastAsia="仿宋" w:cs="仿宋"/>
          <w:sz w:val="36"/>
          <w:szCs w:val="36"/>
          <w:u w:val="single"/>
          <w:lang w:val="en-US" w:eastAsia="zh-CN"/>
        </w:rPr>
        <w:t xml:space="preserve">    </w:t>
      </w:r>
      <w:r>
        <w:rPr>
          <w:rFonts w:hint="eastAsia" w:ascii="仿宋" w:hAnsi="仿宋" w:eastAsia="仿宋" w:cs="仿宋"/>
          <w:sz w:val="36"/>
          <w:szCs w:val="36"/>
          <w:u w:val="single"/>
        </w:rPr>
        <w:t>202</w:t>
      </w:r>
      <w:r>
        <w:rPr>
          <w:rFonts w:hint="eastAsia" w:ascii="仿宋" w:hAnsi="仿宋" w:eastAsia="仿宋" w:cs="仿宋"/>
          <w:sz w:val="36"/>
          <w:szCs w:val="36"/>
          <w:u w:val="single"/>
          <w:lang w:val="en-US" w:eastAsia="zh-CN"/>
        </w:rPr>
        <w:t>4</w:t>
      </w:r>
      <w:r>
        <w:rPr>
          <w:rFonts w:hint="eastAsia" w:ascii="仿宋" w:hAnsi="仿宋" w:eastAsia="仿宋" w:cs="仿宋"/>
          <w:sz w:val="36"/>
          <w:szCs w:val="36"/>
          <w:u w:val="single"/>
        </w:rPr>
        <w:t>年</w:t>
      </w:r>
      <w:r>
        <w:rPr>
          <w:rFonts w:hint="eastAsia" w:ascii="仿宋" w:hAnsi="仿宋" w:eastAsia="仿宋" w:cs="仿宋"/>
          <w:sz w:val="36"/>
          <w:szCs w:val="36"/>
          <w:u w:val="single"/>
          <w:lang w:val="en-US" w:eastAsia="zh-CN"/>
        </w:rPr>
        <w:t>10</w:t>
      </w:r>
      <w:r>
        <w:rPr>
          <w:rFonts w:hint="eastAsia" w:ascii="仿宋" w:hAnsi="仿宋" w:eastAsia="仿宋" w:cs="仿宋"/>
          <w:sz w:val="36"/>
          <w:szCs w:val="36"/>
          <w:u w:val="single"/>
        </w:rPr>
        <w:t xml:space="preserve">月            </w:t>
      </w:r>
      <w:r>
        <w:rPr>
          <w:rFonts w:hint="eastAsia" w:ascii="仿宋" w:hAnsi="仿宋" w:eastAsia="仿宋" w:cs="仿宋"/>
          <w:sz w:val="36"/>
          <w:szCs w:val="36"/>
          <w:u w:val="single"/>
          <w:lang w:val="en-US" w:eastAsia="zh-CN"/>
        </w:rPr>
        <w:t xml:space="preserve"> </w:t>
      </w:r>
    </w:p>
    <w:p w14:paraId="2D99D094">
      <w:pPr>
        <w:adjustRightInd w:val="0"/>
        <w:snapToGrid w:val="0"/>
        <w:spacing w:line="288" w:lineRule="auto"/>
        <w:ind w:firstLine="1040"/>
        <w:rPr>
          <w:rFonts w:ascii="仿宋_GB2312" w:eastAsia="宋体"/>
          <w:sz w:val="36"/>
          <w:szCs w:val="36"/>
          <w:u w:val="single"/>
        </w:rPr>
      </w:pPr>
    </w:p>
    <w:p w14:paraId="01251EE9">
      <w:pPr>
        <w:adjustRightInd w:val="0"/>
        <w:snapToGrid w:val="0"/>
        <w:spacing w:line="288" w:lineRule="auto"/>
        <w:ind w:firstLine="1040"/>
        <w:rPr>
          <w:rFonts w:ascii="仿宋_GB2312" w:eastAsia="宋体"/>
          <w:sz w:val="36"/>
          <w:szCs w:val="36"/>
        </w:rPr>
      </w:pPr>
    </w:p>
    <w:p w14:paraId="4F377CF9">
      <w:pPr>
        <w:adjustRightInd w:val="0"/>
        <w:snapToGrid w:val="0"/>
        <w:spacing w:line="288" w:lineRule="auto"/>
        <w:ind w:firstLine="1040"/>
        <w:rPr>
          <w:rFonts w:hint="default" w:ascii="仿宋_GB2312" w:eastAsia="宋体"/>
          <w:sz w:val="36"/>
          <w:szCs w:val="36"/>
          <w:lang w:val="en-US" w:eastAsia="zh-CN"/>
        </w:rPr>
      </w:pPr>
    </w:p>
    <w:p w14:paraId="54DF8E6D">
      <w:pPr>
        <w:adjustRightInd w:val="0"/>
        <w:snapToGrid w:val="0"/>
        <w:spacing w:line="288" w:lineRule="auto"/>
        <w:ind w:firstLine="1040"/>
        <w:rPr>
          <w:rFonts w:ascii="仿宋_GB2312" w:eastAsia="宋体"/>
          <w:sz w:val="36"/>
          <w:szCs w:val="36"/>
        </w:rPr>
      </w:pPr>
    </w:p>
    <w:p w14:paraId="0B388B4A">
      <w:pPr>
        <w:adjustRightInd w:val="0"/>
        <w:snapToGrid w:val="0"/>
        <w:spacing w:line="288" w:lineRule="auto"/>
        <w:ind w:firstLine="1040"/>
        <w:rPr>
          <w:rFonts w:ascii="仿宋_GB2312" w:eastAsia="宋体"/>
          <w:sz w:val="36"/>
          <w:szCs w:val="36"/>
        </w:rPr>
      </w:pPr>
    </w:p>
    <w:p w14:paraId="293C5F04">
      <w:pPr>
        <w:adjustRightInd w:val="0"/>
        <w:snapToGrid w:val="0"/>
        <w:spacing w:line="288" w:lineRule="auto"/>
        <w:jc w:val="center"/>
        <w:rPr>
          <w:rFonts w:hint="eastAsia" w:ascii="楷体_GB2312" w:eastAsia="楷体_GB2312"/>
          <w:sz w:val="36"/>
          <w:szCs w:val="36"/>
        </w:rPr>
      </w:pPr>
      <w:r>
        <w:rPr>
          <w:rFonts w:hint="eastAsia" w:ascii="楷体_GB2312" w:eastAsia="楷体_GB2312"/>
          <w:sz w:val="36"/>
          <w:szCs w:val="36"/>
        </w:rPr>
        <w:t>中华人民共和国生态环境部制</w:t>
      </w:r>
    </w:p>
    <w:p w14:paraId="3B0C02DE">
      <w:pPr>
        <w:pStyle w:val="9"/>
        <w:spacing w:before="0" w:beforeAutospacing="0" w:after="0" w:afterAutospacing="0"/>
        <w:jc w:val="center"/>
        <w:outlineLvl w:val="0"/>
        <w:rPr>
          <w:rFonts w:hint="eastAsia" w:ascii="黑体" w:hAnsi="黑体" w:eastAsia="黑体" w:cs="黑体"/>
          <w:b w:val="0"/>
          <w:bCs w:val="0"/>
          <w:snapToGrid w:val="0"/>
          <w:sz w:val="30"/>
          <w:szCs w:val="30"/>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2111E52">
      <w:pPr>
        <w:pStyle w:val="9"/>
        <w:spacing w:before="0" w:beforeAutospacing="0" w:after="0" w:afterAutospacing="0"/>
        <w:jc w:val="center"/>
        <w:outlineLvl w:val="0"/>
        <w:rPr>
          <w:rFonts w:ascii="Times New Roman" w:hAnsi="Times New Roman" w:eastAsia="宋体"/>
          <w:b/>
          <w:bCs/>
          <w:snapToGrid w:val="0"/>
          <w:sz w:val="30"/>
          <w:szCs w:val="30"/>
        </w:rPr>
      </w:pPr>
      <w:r>
        <w:rPr>
          <w:rFonts w:hint="eastAsia" w:ascii="黑体" w:hAnsi="黑体" w:eastAsia="黑体" w:cs="黑体"/>
          <w:b w:val="0"/>
          <w:bCs w:val="0"/>
          <w:snapToGrid w:val="0"/>
          <w:sz w:val="30"/>
          <w:szCs w:val="30"/>
        </w:rPr>
        <w:t>一、建设项目基本情况</w:t>
      </w:r>
    </w:p>
    <w:tbl>
      <w:tblPr>
        <w:tblStyle w:val="11"/>
        <w:tblW w:w="497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91"/>
        <w:gridCol w:w="2455"/>
        <w:gridCol w:w="1741"/>
        <w:gridCol w:w="2008"/>
        <w:gridCol w:w="887"/>
      </w:tblGrid>
      <w:tr w14:paraId="3F30BD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88" w:hRule="atLeast"/>
        </w:trPr>
        <w:tc>
          <w:tcPr>
            <w:tcW w:w="719" w:type="pct"/>
            <w:tcMar>
              <w:top w:w="16" w:type="dxa"/>
              <w:left w:w="16" w:type="dxa"/>
              <w:right w:w="16" w:type="dxa"/>
            </w:tcMar>
            <w:vAlign w:val="center"/>
          </w:tcPr>
          <w:p w14:paraId="177FBC98">
            <w:pPr>
              <w:adjustRightInd w:val="0"/>
              <w:snapToGrid w:val="0"/>
              <w:jc w:val="center"/>
              <w:rPr>
                <w:rFonts w:hint="eastAsia" w:ascii="Times New Roman" w:hAnsi="Times New Roman" w:eastAsia="宋体" w:cs="宋体"/>
                <w:sz w:val="24"/>
                <w:szCs w:val="24"/>
              </w:rPr>
            </w:pPr>
            <w:r>
              <w:rPr>
                <w:rFonts w:hint="eastAsia" w:ascii="Times New Roman" w:hAnsi="Times New Roman" w:eastAsia="宋体" w:cs="宋体"/>
                <w:sz w:val="24"/>
                <w:szCs w:val="24"/>
              </w:rPr>
              <w:t>建设项目名称</w:t>
            </w:r>
          </w:p>
        </w:tc>
        <w:tc>
          <w:tcPr>
            <w:tcW w:w="4280" w:type="pct"/>
            <w:gridSpan w:val="4"/>
            <w:vAlign w:val="center"/>
          </w:tcPr>
          <w:p w14:paraId="337645D8">
            <w:pPr>
              <w:adjustRightInd w:val="0"/>
              <w:snapToGrid w:val="0"/>
              <w:jc w:val="center"/>
              <w:rPr>
                <w:rFonts w:hint="eastAsia" w:ascii="Times New Roman" w:hAnsi="Times New Roman" w:eastAsia="宋体" w:cs="宋体"/>
                <w:sz w:val="24"/>
                <w:szCs w:val="24"/>
              </w:rPr>
            </w:pPr>
            <w:r>
              <w:rPr>
                <w:rFonts w:hint="eastAsia" w:ascii="Times New Roman" w:hAnsi="Times New Roman" w:eastAsia="宋体" w:cs="宋体"/>
                <w:kern w:val="0"/>
                <w:sz w:val="24"/>
                <w:szCs w:val="24"/>
                <w:lang w:val="en-US" w:eastAsia="zh-CN" w:bidi="ar-SA"/>
              </w:rPr>
              <w:t>中国石油化工集团有限公司2024年在江苏省油气开发产能建设项目：（沙105斜</w:t>
            </w:r>
            <w:r>
              <w:rPr>
                <w:rFonts w:hint="eastAsia" w:cs="宋体"/>
                <w:kern w:val="0"/>
                <w:sz w:val="24"/>
                <w:szCs w:val="24"/>
                <w:lang w:val="en-US" w:eastAsia="zh-CN" w:bidi="ar-SA"/>
              </w:rPr>
              <w:t>、沙86斜2口</w:t>
            </w:r>
            <w:r>
              <w:rPr>
                <w:rFonts w:hint="eastAsia" w:ascii="Times New Roman" w:hAnsi="Times New Roman" w:eastAsia="宋体" w:cs="宋体"/>
                <w:kern w:val="0"/>
                <w:sz w:val="24"/>
                <w:szCs w:val="24"/>
                <w:lang w:val="en-US" w:eastAsia="zh-CN" w:bidi="ar-SA"/>
              </w:rPr>
              <w:t>勘探井项目）</w:t>
            </w:r>
          </w:p>
        </w:tc>
      </w:tr>
      <w:tr w14:paraId="2A186B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1" w:hRule="atLeast"/>
        </w:trPr>
        <w:tc>
          <w:tcPr>
            <w:tcW w:w="719" w:type="pct"/>
            <w:tcMar>
              <w:top w:w="16" w:type="dxa"/>
              <w:left w:w="16" w:type="dxa"/>
              <w:right w:w="16" w:type="dxa"/>
            </w:tcMar>
            <w:vAlign w:val="center"/>
          </w:tcPr>
          <w:p w14:paraId="209A866C">
            <w:pPr>
              <w:adjustRightInd w:val="0"/>
              <w:snapToGrid w:val="0"/>
              <w:jc w:val="center"/>
              <w:rPr>
                <w:rFonts w:hint="eastAsia" w:ascii="Times New Roman" w:hAnsi="Times New Roman" w:eastAsia="宋体" w:cs="宋体"/>
                <w:sz w:val="24"/>
                <w:szCs w:val="24"/>
              </w:rPr>
            </w:pPr>
            <w:r>
              <w:rPr>
                <w:rFonts w:hint="eastAsia" w:ascii="Times New Roman" w:hAnsi="Times New Roman" w:eastAsia="宋体" w:cs="宋体"/>
                <w:sz w:val="24"/>
                <w:szCs w:val="24"/>
              </w:rPr>
              <w:t>项目代码</w:t>
            </w:r>
          </w:p>
        </w:tc>
        <w:tc>
          <w:tcPr>
            <w:tcW w:w="4280" w:type="pct"/>
            <w:gridSpan w:val="4"/>
            <w:vAlign w:val="center"/>
          </w:tcPr>
          <w:p w14:paraId="25DC3CB5">
            <w:pPr>
              <w:adjustRightInd w:val="0"/>
              <w:snapToGrid w:val="0"/>
              <w:jc w:val="center"/>
              <w:rPr>
                <w:rFonts w:hint="eastAsia" w:ascii="Times New Roman" w:hAnsi="Times New Roman" w:eastAsia="宋体" w:cs="宋体"/>
                <w:sz w:val="24"/>
                <w:szCs w:val="24"/>
                <w:lang w:val="en-US" w:eastAsia="zh-CN"/>
              </w:rPr>
            </w:pPr>
            <w:r>
              <w:rPr>
                <w:rFonts w:hint="eastAsia" w:ascii="Times New Roman" w:hAnsi="Times New Roman" w:eastAsia="宋体" w:cs="宋体"/>
                <w:color w:val="auto"/>
                <w:sz w:val="24"/>
                <w:szCs w:val="24"/>
                <w:lang w:eastAsia="zh-CN"/>
              </w:rPr>
              <w:t>2403-000000-60-01-562189</w:t>
            </w:r>
          </w:p>
        </w:tc>
      </w:tr>
      <w:tr w14:paraId="31D09D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719" w:type="pct"/>
            <w:tcMar>
              <w:top w:w="16" w:type="dxa"/>
              <w:left w:w="16" w:type="dxa"/>
              <w:right w:w="16" w:type="dxa"/>
            </w:tcMar>
            <w:vAlign w:val="center"/>
          </w:tcPr>
          <w:p w14:paraId="5AAADA82">
            <w:pPr>
              <w:adjustRightInd w:val="0"/>
              <w:snapToGrid w:val="0"/>
              <w:jc w:val="center"/>
              <w:rPr>
                <w:rFonts w:hint="eastAsia" w:ascii="Times New Roman" w:hAnsi="Times New Roman" w:eastAsia="宋体" w:cs="宋体"/>
                <w:sz w:val="24"/>
                <w:szCs w:val="24"/>
              </w:rPr>
            </w:pPr>
            <w:r>
              <w:rPr>
                <w:rFonts w:hint="eastAsia" w:ascii="Times New Roman" w:hAnsi="Times New Roman" w:eastAsia="宋体" w:cs="宋体"/>
                <w:sz w:val="24"/>
                <w:szCs w:val="24"/>
              </w:rPr>
              <w:t>建设单位联系人</w:t>
            </w:r>
          </w:p>
        </w:tc>
        <w:tc>
          <w:tcPr>
            <w:tcW w:w="1482" w:type="pct"/>
            <w:vAlign w:val="center"/>
          </w:tcPr>
          <w:p w14:paraId="153EFC50">
            <w:pPr>
              <w:adjustRightInd w:val="0"/>
              <w:snapToGrid w:val="0"/>
              <w:jc w:val="center"/>
              <w:rPr>
                <w:rFonts w:hint="eastAsia" w:ascii="Times New Roman" w:hAnsi="Times New Roman" w:eastAsia="宋体" w:cs="宋体"/>
                <w:sz w:val="24"/>
                <w:szCs w:val="24"/>
                <w:lang w:val="en-US" w:eastAsia="zh-CN"/>
              </w:rPr>
            </w:pPr>
            <w:r>
              <w:rPr>
                <w:rFonts w:hint="eastAsia" w:ascii="Times New Roman" w:hAnsi="Times New Roman" w:eastAsia="宋体" w:cs="宋体"/>
                <w:kern w:val="0"/>
                <w:sz w:val="24"/>
                <w:szCs w:val="24"/>
                <w:lang w:val="en-US" w:eastAsia="zh-CN" w:bidi="ar-SA"/>
              </w:rPr>
              <w:t>王林</w:t>
            </w:r>
          </w:p>
        </w:tc>
        <w:tc>
          <w:tcPr>
            <w:tcW w:w="1050" w:type="pct"/>
            <w:vAlign w:val="center"/>
          </w:tcPr>
          <w:p w14:paraId="1371B98B">
            <w:pPr>
              <w:adjustRightInd w:val="0"/>
              <w:snapToGrid w:val="0"/>
              <w:jc w:val="center"/>
              <w:rPr>
                <w:rFonts w:hint="eastAsia" w:ascii="Times New Roman" w:hAnsi="Times New Roman" w:eastAsia="宋体" w:cs="宋体"/>
                <w:sz w:val="24"/>
                <w:szCs w:val="24"/>
                <w:lang w:val="en-US" w:eastAsia="zh-CN"/>
              </w:rPr>
            </w:pPr>
            <w:r>
              <w:rPr>
                <w:rFonts w:hint="eastAsia" w:ascii="Times New Roman" w:hAnsi="Times New Roman" w:eastAsia="宋体" w:cs="宋体"/>
                <w:sz w:val="24"/>
                <w:szCs w:val="24"/>
              </w:rPr>
              <w:t>联系方式</w:t>
            </w:r>
          </w:p>
        </w:tc>
        <w:tc>
          <w:tcPr>
            <w:tcW w:w="1748" w:type="pct"/>
            <w:gridSpan w:val="2"/>
            <w:vAlign w:val="center"/>
          </w:tcPr>
          <w:p w14:paraId="7A13FE70">
            <w:pPr>
              <w:adjustRightInd w:val="0"/>
              <w:snapToGrid w:val="0"/>
              <w:jc w:val="center"/>
              <w:rPr>
                <w:rFonts w:hint="eastAsia" w:ascii="Times New Roman" w:hAnsi="Times New Roman" w:eastAsia="宋体" w:cs="宋体"/>
                <w:sz w:val="24"/>
                <w:szCs w:val="24"/>
                <w:lang w:val="en-US" w:eastAsia="zh-CN"/>
              </w:rPr>
            </w:pPr>
            <w:r>
              <w:rPr>
                <w:rFonts w:hint="eastAsia" w:ascii="Times New Roman" w:hAnsi="Times New Roman" w:eastAsia="宋体" w:cs="宋体"/>
                <w:kern w:val="0"/>
                <w:sz w:val="24"/>
                <w:szCs w:val="24"/>
                <w:lang w:val="en-US" w:eastAsia="zh-CN" w:bidi="ar-SA"/>
              </w:rPr>
              <w:t>13952512190</w:t>
            </w:r>
          </w:p>
        </w:tc>
      </w:tr>
      <w:tr w14:paraId="0B8E8D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5" w:hRule="atLeast"/>
        </w:trPr>
        <w:tc>
          <w:tcPr>
            <w:tcW w:w="719" w:type="pct"/>
            <w:tcMar>
              <w:top w:w="16" w:type="dxa"/>
              <w:left w:w="16" w:type="dxa"/>
              <w:right w:w="16" w:type="dxa"/>
            </w:tcMar>
            <w:vAlign w:val="center"/>
          </w:tcPr>
          <w:p w14:paraId="7018B8F2">
            <w:pPr>
              <w:adjustRightInd w:val="0"/>
              <w:snapToGrid w:val="0"/>
              <w:jc w:val="center"/>
              <w:rPr>
                <w:rFonts w:hint="eastAsia" w:ascii="Times New Roman" w:hAnsi="Times New Roman" w:eastAsia="宋体" w:cs="宋体"/>
                <w:sz w:val="24"/>
                <w:szCs w:val="24"/>
              </w:rPr>
            </w:pPr>
          </w:p>
          <w:p w14:paraId="2392BE5E">
            <w:pPr>
              <w:adjustRightInd w:val="0"/>
              <w:snapToGrid w:val="0"/>
              <w:jc w:val="center"/>
              <w:rPr>
                <w:rFonts w:hint="eastAsia" w:ascii="Times New Roman" w:hAnsi="Times New Roman" w:eastAsia="宋体" w:cs="宋体"/>
                <w:sz w:val="24"/>
                <w:szCs w:val="24"/>
              </w:rPr>
            </w:pPr>
            <w:r>
              <w:rPr>
                <w:rFonts w:hint="eastAsia" w:ascii="Times New Roman" w:hAnsi="Times New Roman" w:eastAsia="宋体" w:cs="宋体"/>
                <w:sz w:val="24"/>
                <w:szCs w:val="24"/>
              </w:rPr>
              <w:t>建设地点</w:t>
            </w:r>
          </w:p>
          <w:p w14:paraId="145A5EC8">
            <w:pPr>
              <w:adjustRightInd w:val="0"/>
              <w:snapToGrid w:val="0"/>
              <w:jc w:val="center"/>
              <w:rPr>
                <w:rFonts w:hint="eastAsia" w:ascii="Times New Roman" w:hAnsi="Times New Roman" w:eastAsia="宋体" w:cs="宋体"/>
                <w:sz w:val="24"/>
                <w:szCs w:val="24"/>
              </w:rPr>
            </w:pPr>
          </w:p>
        </w:tc>
        <w:tc>
          <w:tcPr>
            <w:tcW w:w="4280" w:type="pct"/>
            <w:gridSpan w:val="4"/>
            <w:vAlign w:val="center"/>
          </w:tcPr>
          <w:p w14:paraId="2D9A69AD">
            <w:pPr>
              <w:numPr>
                <w:ilvl w:val="0"/>
                <w:numId w:val="0"/>
              </w:numPr>
              <w:ind w:leftChars="0"/>
              <w:jc w:val="both"/>
              <w:rPr>
                <w:rFonts w:hint="eastAsia" w:ascii="Times New Roman" w:hAnsi="Times New Roman" w:eastAsia="宋体" w:cs="宋体"/>
                <w:color w:val="auto"/>
                <w:sz w:val="24"/>
                <w:szCs w:val="24"/>
                <w:u w:val="none"/>
                <w:lang w:val="en-US" w:eastAsia="zh-CN"/>
              </w:rPr>
            </w:pPr>
            <w:r>
              <w:rPr>
                <w:rFonts w:hint="eastAsia" w:ascii="Times New Roman" w:hAnsi="Times New Roman" w:eastAsia="宋体" w:cs="宋体"/>
                <w:color w:val="auto"/>
                <w:sz w:val="24"/>
                <w:szCs w:val="24"/>
                <w:u w:val="none"/>
                <w:lang w:val="en-US" w:eastAsia="zh-CN"/>
              </w:rPr>
              <w:t>（1）沙105</w:t>
            </w:r>
            <w:r>
              <w:rPr>
                <w:rFonts w:hint="eastAsia" w:ascii="Times New Roman" w:hAnsi="Times New Roman" w:eastAsia="宋体" w:cs="宋体"/>
                <w:sz w:val="24"/>
                <w:szCs w:val="24"/>
                <w:highlight w:val="none"/>
                <w:shd w:val="clear"/>
                <w:lang w:val="en-US" w:eastAsia="zh-CN"/>
              </w:rPr>
              <w:t>斜井</w:t>
            </w:r>
            <w:r>
              <w:rPr>
                <w:rFonts w:hint="eastAsia" w:ascii="Times New Roman" w:hAnsi="Times New Roman" w:eastAsia="宋体" w:cs="宋体"/>
                <w:color w:val="auto"/>
                <w:sz w:val="24"/>
                <w:szCs w:val="24"/>
                <w:u w:val="none"/>
                <w:lang w:val="en-US" w:eastAsia="zh-CN"/>
              </w:rPr>
              <w:t>：</w:t>
            </w:r>
            <w:r>
              <w:rPr>
                <w:rFonts w:hint="eastAsia" w:ascii="Times New Roman" w:hAnsi="Times New Roman" w:eastAsia="宋体" w:cs="宋体"/>
                <w:color w:val="auto"/>
                <w:sz w:val="24"/>
                <w:szCs w:val="24"/>
                <w:u w:val="none"/>
              </w:rPr>
              <w:t>江苏省扬州市高邮县</w:t>
            </w:r>
            <w:r>
              <w:rPr>
                <w:rFonts w:hint="eastAsia" w:ascii="Times New Roman" w:hAnsi="Times New Roman" w:eastAsia="宋体" w:cs="宋体"/>
                <w:color w:val="auto"/>
                <w:sz w:val="24"/>
                <w:szCs w:val="24"/>
                <w:u w:val="none"/>
                <w:lang w:val="en-US" w:eastAsia="zh-CN"/>
              </w:rPr>
              <w:t>汤庄</w:t>
            </w:r>
            <w:r>
              <w:rPr>
                <w:rFonts w:hint="eastAsia" w:ascii="Times New Roman" w:hAnsi="Times New Roman" w:eastAsia="宋体" w:cs="宋体"/>
                <w:color w:val="auto"/>
                <w:sz w:val="24"/>
                <w:szCs w:val="24"/>
                <w:u w:val="none"/>
              </w:rPr>
              <w:t>镇</w:t>
            </w:r>
            <w:r>
              <w:rPr>
                <w:rFonts w:hint="eastAsia" w:ascii="Times New Roman" w:hAnsi="Times New Roman" w:eastAsia="宋体" w:cs="宋体"/>
                <w:color w:val="auto"/>
                <w:sz w:val="24"/>
                <w:szCs w:val="24"/>
                <w:u w:val="none"/>
                <w:lang w:val="en-US" w:eastAsia="zh-CN"/>
              </w:rPr>
              <w:t>双屏村</w:t>
            </w:r>
          </w:p>
          <w:p w14:paraId="3EFC5D2C">
            <w:pPr>
              <w:pStyle w:val="3"/>
              <w:numPr>
                <w:ilvl w:val="0"/>
                <w:numId w:val="0"/>
              </w:numPr>
              <w:rPr>
                <w:rFonts w:hint="eastAsia" w:ascii="Times New Roman" w:hAnsi="Times New Roman" w:eastAsia="宋体" w:cs="宋体"/>
                <w:sz w:val="24"/>
                <w:szCs w:val="24"/>
                <w:lang w:val="en-US" w:eastAsia="zh-CN"/>
              </w:rPr>
            </w:pPr>
            <w:r>
              <w:rPr>
                <w:rFonts w:hint="eastAsia" w:ascii="Times New Roman" w:hAnsi="Times New Roman" w:eastAsia="宋体" w:cs="宋体"/>
                <w:sz w:val="24"/>
                <w:szCs w:val="24"/>
                <w:lang w:val="en-US" w:eastAsia="zh-CN"/>
              </w:rPr>
              <w:t>（2）沙86</w:t>
            </w:r>
            <w:r>
              <w:rPr>
                <w:rFonts w:hint="eastAsia" w:ascii="Times New Roman" w:hAnsi="Times New Roman" w:eastAsia="宋体" w:cs="宋体"/>
                <w:sz w:val="24"/>
                <w:szCs w:val="24"/>
                <w:highlight w:val="none"/>
                <w:shd w:val="clear"/>
                <w:lang w:val="en-US" w:eastAsia="zh-CN"/>
              </w:rPr>
              <w:t>斜井</w:t>
            </w:r>
            <w:r>
              <w:rPr>
                <w:rFonts w:hint="eastAsia" w:ascii="Times New Roman" w:hAnsi="Times New Roman" w:eastAsia="宋体" w:cs="宋体"/>
                <w:sz w:val="24"/>
                <w:szCs w:val="24"/>
                <w:lang w:val="en-US" w:eastAsia="zh-CN"/>
              </w:rPr>
              <w:t>：</w:t>
            </w:r>
            <w:r>
              <w:rPr>
                <w:rFonts w:hint="eastAsia" w:ascii="Times New Roman" w:hAnsi="Times New Roman" w:eastAsia="宋体" w:cs="宋体"/>
                <w:color w:val="auto"/>
                <w:kern w:val="2"/>
                <w:sz w:val="24"/>
                <w:szCs w:val="24"/>
                <w:u w:val="none"/>
                <w:lang w:val="en-US" w:eastAsia="zh-CN" w:bidi="ar-SA"/>
              </w:rPr>
              <w:t>江苏省</w:t>
            </w:r>
            <w:r>
              <w:rPr>
                <w:rFonts w:hint="eastAsia" w:eastAsia="宋体" w:cs="宋体"/>
                <w:color w:val="auto"/>
                <w:kern w:val="2"/>
                <w:sz w:val="24"/>
                <w:szCs w:val="24"/>
                <w:u w:val="none"/>
                <w:lang w:val="en-US" w:eastAsia="zh-CN" w:bidi="ar-SA"/>
              </w:rPr>
              <w:t>扬州市</w:t>
            </w:r>
            <w:r>
              <w:rPr>
                <w:rFonts w:hint="eastAsia" w:ascii="Times New Roman" w:hAnsi="Times New Roman" w:eastAsia="宋体" w:cs="宋体"/>
                <w:color w:val="auto"/>
                <w:kern w:val="2"/>
                <w:sz w:val="24"/>
                <w:szCs w:val="24"/>
                <w:u w:val="none"/>
                <w:lang w:val="en-US" w:eastAsia="zh-CN" w:bidi="ar-SA"/>
              </w:rPr>
              <w:t>高邮</w:t>
            </w:r>
            <w:r>
              <w:rPr>
                <w:rFonts w:hint="eastAsia" w:eastAsia="宋体" w:cs="宋体"/>
                <w:color w:val="auto"/>
                <w:kern w:val="2"/>
                <w:sz w:val="24"/>
                <w:szCs w:val="24"/>
                <w:u w:val="none"/>
                <w:lang w:val="en-US" w:eastAsia="zh-CN" w:bidi="ar-SA"/>
              </w:rPr>
              <w:t>县</w:t>
            </w:r>
            <w:r>
              <w:rPr>
                <w:rFonts w:hint="eastAsia" w:ascii="Times New Roman" w:hAnsi="Times New Roman" w:eastAsia="宋体" w:cs="宋体"/>
                <w:color w:val="auto"/>
                <w:kern w:val="2"/>
                <w:sz w:val="24"/>
                <w:szCs w:val="24"/>
                <w:u w:val="none"/>
                <w:lang w:val="en-US" w:eastAsia="zh-CN" w:bidi="ar-SA"/>
              </w:rPr>
              <w:t>汤庄镇甸垛村</w:t>
            </w:r>
          </w:p>
        </w:tc>
      </w:tr>
      <w:tr w14:paraId="49E680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719" w:type="pct"/>
            <w:tcMar>
              <w:top w:w="16" w:type="dxa"/>
              <w:left w:w="16" w:type="dxa"/>
              <w:right w:w="16" w:type="dxa"/>
            </w:tcMar>
            <w:vAlign w:val="center"/>
          </w:tcPr>
          <w:p w14:paraId="188EB718">
            <w:pPr>
              <w:adjustRightInd w:val="0"/>
              <w:snapToGrid w:val="0"/>
              <w:jc w:val="center"/>
              <w:rPr>
                <w:rFonts w:hint="eastAsia" w:ascii="Times New Roman" w:hAnsi="Times New Roman" w:eastAsia="宋体" w:cs="宋体"/>
                <w:sz w:val="24"/>
                <w:szCs w:val="24"/>
              </w:rPr>
            </w:pPr>
            <w:r>
              <w:rPr>
                <w:rFonts w:hint="eastAsia" w:ascii="Times New Roman" w:hAnsi="Times New Roman" w:eastAsia="宋体" w:cs="宋体"/>
                <w:sz w:val="24"/>
                <w:szCs w:val="24"/>
                <w:highlight w:val="none"/>
              </w:rPr>
              <w:t>地理坐标</w:t>
            </w:r>
          </w:p>
        </w:tc>
        <w:tc>
          <w:tcPr>
            <w:tcW w:w="4280" w:type="pct"/>
            <w:gridSpan w:val="4"/>
            <w:vAlign w:val="center"/>
          </w:tcPr>
          <w:p w14:paraId="3730304B">
            <w:pPr>
              <w:numPr>
                <w:ilvl w:val="0"/>
                <w:numId w:val="0"/>
              </w:numPr>
              <w:ind w:left="0" w:leftChars="0" w:firstLine="0" w:firstLineChars="0"/>
              <w:jc w:val="both"/>
              <w:rPr>
                <w:rFonts w:hint="eastAsia" w:ascii="Times New Roman" w:hAnsi="Times New Roman" w:eastAsia="宋体" w:cs="宋体"/>
                <w:sz w:val="24"/>
                <w:szCs w:val="24"/>
                <w:u w:val="none"/>
                <w:lang w:val="en-US" w:eastAsia="zh-CN"/>
              </w:rPr>
            </w:pPr>
            <w:r>
              <w:rPr>
                <w:rFonts w:hint="eastAsia" w:ascii="Times New Roman" w:hAnsi="Times New Roman" w:eastAsia="宋体" w:cs="宋体"/>
                <w:kern w:val="2"/>
                <w:sz w:val="24"/>
                <w:szCs w:val="24"/>
                <w:lang w:val="en-US" w:eastAsia="zh-CN" w:bidi="ar-SA"/>
              </w:rPr>
              <w:t>（1）</w:t>
            </w:r>
            <w:r>
              <w:rPr>
                <w:rFonts w:hint="eastAsia" w:ascii="Times New Roman" w:hAnsi="Times New Roman" w:eastAsia="宋体" w:cs="宋体"/>
                <w:sz w:val="24"/>
                <w:szCs w:val="24"/>
                <w:highlight w:val="none"/>
                <w:shd w:val="clear"/>
                <w:lang w:val="en-US" w:eastAsia="zh-CN"/>
              </w:rPr>
              <w:t>沙105斜井：</w:t>
            </w:r>
            <w:r>
              <w:rPr>
                <w:rFonts w:hint="eastAsia" w:ascii="Times New Roman" w:hAnsi="Times New Roman" w:eastAsia="宋体" w:cs="宋体"/>
                <w:sz w:val="24"/>
                <w:szCs w:val="24"/>
                <w:highlight w:val="none"/>
                <w:u w:val="none"/>
                <w:shd w:val="clear"/>
              </w:rPr>
              <w:t>119度</w:t>
            </w:r>
            <w:r>
              <w:rPr>
                <w:rFonts w:hint="eastAsia" w:ascii="Times New Roman" w:hAnsi="Times New Roman" w:eastAsia="宋体" w:cs="宋体"/>
                <w:sz w:val="24"/>
                <w:szCs w:val="24"/>
                <w:highlight w:val="none"/>
                <w:u w:val="none"/>
                <w:shd w:val="clear"/>
                <w:lang w:val="en-US" w:eastAsia="zh-CN"/>
              </w:rPr>
              <w:t>46</w:t>
            </w:r>
            <w:r>
              <w:rPr>
                <w:rFonts w:hint="eastAsia" w:ascii="Times New Roman" w:hAnsi="Times New Roman" w:eastAsia="宋体" w:cs="宋体"/>
                <w:sz w:val="24"/>
                <w:szCs w:val="24"/>
                <w:highlight w:val="none"/>
                <w:u w:val="none"/>
                <w:shd w:val="clear"/>
              </w:rPr>
              <w:t>分</w:t>
            </w:r>
            <w:r>
              <w:rPr>
                <w:rFonts w:hint="eastAsia" w:ascii="Times New Roman" w:hAnsi="Times New Roman" w:eastAsia="宋体" w:cs="宋体"/>
                <w:sz w:val="24"/>
                <w:szCs w:val="24"/>
                <w:highlight w:val="none"/>
                <w:u w:val="none"/>
                <w:shd w:val="clear"/>
                <w:lang w:val="en-US" w:eastAsia="zh-CN"/>
              </w:rPr>
              <w:t>10.25</w:t>
            </w:r>
            <w:r>
              <w:rPr>
                <w:rFonts w:hint="eastAsia" w:cs="宋体"/>
                <w:sz w:val="24"/>
                <w:szCs w:val="24"/>
                <w:highlight w:val="none"/>
                <w:u w:val="none"/>
                <w:shd w:val="clear"/>
                <w:lang w:val="en-US" w:eastAsia="zh-CN"/>
              </w:rPr>
              <w:t>0</w:t>
            </w:r>
            <w:r>
              <w:rPr>
                <w:rFonts w:hint="eastAsia" w:ascii="Times New Roman" w:hAnsi="Times New Roman" w:eastAsia="宋体" w:cs="宋体"/>
                <w:sz w:val="24"/>
                <w:szCs w:val="24"/>
                <w:highlight w:val="none"/>
                <w:u w:val="none"/>
                <w:shd w:val="clear"/>
              </w:rPr>
              <w:t>秒，32度</w:t>
            </w:r>
            <w:r>
              <w:rPr>
                <w:rFonts w:hint="eastAsia" w:ascii="Times New Roman" w:hAnsi="Times New Roman" w:eastAsia="宋体" w:cs="宋体"/>
                <w:sz w:val="24"/>
                <w:szCs w:val="24"/>
                <w:highlight w:val="none"/>
                <w:u w:val="none"/>
                <w:shd w:val="clear"/>
                <w:lang w:val="en-US" w:eastAsia="zh-CN"/>
              </w:rPr>
              <w:t>45</w:t>
            </w:r>
            <w:r>
              <w:rPr>
                <w:rFonts w:hint="eastAsia" w:ascii="Times New Roman" w:hAnsi="Times New Roman" w:eastAsia="宋体" w:cs="宋体"/>
                <w:sz w:val="24"/>
                <w:szCs w:val="24"/>
                <w:highlight w:val="none"/>
                <w:u w:val="none"/>
                <w:shd w:val="clear"/>
              </w:rPr>
              <w:t>分</w:t>
            </w:r>
            <w:r>
              <w:rPr>
                <w:rFonts w:hint="eastAsia" w:ascii="Times New Roman" w:hAnsi="Times New Roman" w:eastAsia="宋体" w:cs="宋体"/>
                <w:sz w:val="24"/>
                <w:szCs w:val="24"/>
                <w:highlight w:val="none"/>
                <w:u w:val="none"/>
                <w:shd w:val="clear"/>
                <w:lang w:val="en-US" w:eastAsia="zh-CN"/>
              </w:rPr>
              <w:t>46.16</w:t>
            </w:r>
            <w:r>
              <w:rPr>
                <w:rFonts w:hint="eastAsia" w:cs="宋体"/>
                <w:sz w:val="24"/>
                <w:szCs w:val="24"/>
                <w:highlight w:val="none"/>
                <w:u w:val="none"/>
                <w:shd w:val="clear"/>
                <w:lang w:val="en-US" w:eastAsia="zh-CN"/>
              </w:rPr>
              <w:t>0</w:t>
            </w:r>
            <w:r>
              <w:rPr>
                <w:rFonts w:hint="eastAsia" w:ascii="Times New Roman" w:hAnsi="Times New Roman" w:eastAsia="宋体" w:cs="宋体"/>
                <w:sz w:val="24"/>
                <w:szCs w:val="24"/>
                <w:highlight w:val="none"/>
                <w:u w:val="none"/>
                <w:shd w:val="clear"/>
              </w:rPr>
              <w:t>秒</w:t>
            </w:r>
          </w:p>
          <w:p w14:paraId="62F92213">
            <w:pPr>
              <w:pStyle w:val="3"/>
              <w:ind w:left="0" w:leftChars="0" w:firstLine="0" w:firstLineChars="0"/>
              <w:rPr>
                <w:rFonts w:hint="eastAsia" w:ascii="Times New Roman" w:hAnsi="Times New Roman" w:eastAsia="宋体" w:cs="宋体"/>
                <w:sz w:val="24"/>
                <w:szCs w:val="24"/>
                <w:lang w:val="en-US" w:eastAsia="zh-CN"/>
              </w:rPr>
            </w:pPr>
            <w:r>
              <w:rPr>
                <w:rFonts w:hint="eastAsia" w:ascii="Times New Roman" w:hAnsi="Times New Roman" w:eastAsia="宋体" w:cs="宋体"/>
                <w:sz w:val="24"/>
                <w:szCs w:val="24"/>
                <w:highlight w:val="none"/>
                <w:shd w:val="clear"/>
                <w:lang w:eastAsia="zh-CN"/>
              </w:rPr>
              <w:t>（</w:t>
            </w:r>
            <w:r>
              <w:rPr>
                <w:rFonts w:hint="eastAsia" w:ascii="Times New Roman" w:hAnsi="Times New Roman" w:eastAsia="宋体" w:cs="宋体"/>
                <w:sz w:val="24"/>
                <w:szCs w:val="24"/>
                <w:highlight w:val="none"/>
                <w:shd w:val="clear"/>
                <w:lang w:val="en-US" w:eastAsia="zh-CN"/>
              </w:rPr>
              <w:t>2</w:t>
            </w:r>
            <w:r>
              <w:rPr>
                <w:rFonts w:hint="eastAsia" w:ascii="Times New Roman" w:hAnsi="Times New Roman" w:eastAsia="宋体" w:cs="宋体"/>
                <w:sz w:val="24"/>
                <w:szCs w:val="24"/>
                <w:highlight w:val="none"/>
                <w:shd w:val="clear"/>
                <w:lang w:eastAsia="zh-CN"/>
              </w:rPr>
              <w:t>）</w:t>
            </w:r>
            <w:r>
              <w:rPr>
                <w:rFonts w:hint="eastAsia" w:ascii="Times New Roman" w:hAnsi="Times New Roman" w:eastAsia="宋体" w:cs="宋体"/>
                <w:sz w:val="24"/>
                <w:szCs w:val="24"/>
                <w:highlight w:val="none"/>
                <w:shd w:val="clear"/>
                <w:lang w:val="en-US" w:eastAsia="zh-CN"/>
              </w:rPr>
              <w:t>沙86斜井：</w:t>
            </w:r>
            <w:r>
              <w:rPr>
                <w:rFonts w:hint="eastAsia" w:ascii="Times New Roman" w:hAnsi="Times New Roman" w:eastAsia="宋体" w:cs="宋体"/>
                <w:sz w:val="24"/>
                <w:szCs w:val="24"/>
                <w:highlight w:val="none"/>
                <w:u w:val="none"/>
                <w:shd w:val="clear"/>
              </w:rPr>
              <w:t>119度</w:t>
            </w:r>
            <w:r>
              <w:rPr>
                <w:rFonts w:hint="eastAsia" w:ascii="Times New Roman" w:hAnsi="Times New Roman" w:eastAsia="宋体" w:cs="宋体"/>
                <w:sz w:val="24"/>
                <w:szCs w:val="24"/>
                <w:highlight w:val="none"/>
                <w:u w:val="none"/>
                <w:shd w:val="clear"/>
                <w:lang w:val="en-US" w:eastAsia="zh-CN"/>
              </w:rPr>
              <w:t>40</w:t>
            </w:r>
            <w:r>
              <w:rPr>
                <w:rFonts w:hint="eastAsia" w:ascii="Times New Roman" w:hAnsi="Times New Roman" w:eastAsia="宋体" w:cs="宋体"/>
                <w:sz w:val="24"/>
                <w:szCs w:val="24"/>
                <w:highlight w:val="none"/>
                <w:u w:val="none"/>
                <w:shd w:val="clear"/>
              </w:rPr>
              <w:t>分</w:t>
            </w:r>
            <w:r>
              <w:rPr>
                <w:rFonts w:hint="eastAsia" w:eastAsia="宋体" w:cs="宋体"/>
                <w:sz w:val="24"/>
                <w:szCs w:val="24"/>
                <w:highlight w:val="none"/>
                <w:u w:val="none"/>
                <w:shd w:val="clear"/>
                <w:lang w:val="en-US" w:eastAsia="zh-CN"/>
              </w:rPr>
              <w:t>48.113</w:t>
            </w:r>
            <w:r>
              <w:rPr>
                <w:rFonts w:hint="eastAsia" w:ascii="Times New Roman" w:hAnsi="Times New Roman" w:eastAsia="宋体" w:cs="宋体"/>
                <w:sz w:val="24"/>
                <w:szCs w:val="24"/>
                <w:highlight w:val="none"/>
                <w:u w:val="none"/>
                <w:shd w:val="clear"/>
              </w:rPr>
              <w:t>秒，32度</w:t>
            </w:r>
            <w:r>
              <w:rPr>
                <w:rFonts w:hint="eastAsia" w:ascii="Times New Roman" w:hAnsi="Times New Roman" w:eastAsia="宋体" w:cs="宋体"/>
                <w:sz w:val="24"/>
                <w:szCs w:val="24"/>
                <w:highlight w:val="none"/>
                <w:u w:val="none"/>
                <w:shd w:val="clear"/>
                <w:lang w:val="en-US" w:eastAsia="zh-CN"/>
              </w:rPr>
              <w:t>45</w:t>
            </w:r>
            <w:r>
              <w:rPr>
                <w:rFonts w:hint="eastAsia" w:ascii="Times New Roman" w:hAnsi="Times New Roman" w:eastAsia="宋体" w:cs="宋体"/>
                <w:sz w:val="24"/>
                <w:szCs w:val="24"/>
                <w:highlight w:val="none"/>
                <w:u w:val="none"/>
                <w:shd w:val="clear"/>
              </w:rPr>
              <w:t>分</w:t>
            </w:r>
            <w:r>
              <w:rPr>
                <w:rFonts w:hint="eastAsia" w:eastAsia="宋体" w:cs="宋体"/>
                <w:sz w:val="24"/>
                <w:szCs w:val="24"/>
                <w:highlight w:val="none"/>
                <w:u w:val="none"/>
                <w:shd w:val="clear"/>
                <w:lang w:val="en-US" w:eastAsia="zh-CN"/>
              </w:rPr>
              <w:t>55.294</w:t>
            </w:r>
            <w:r>
              <w:rPr>
                <w:rFonts w:hint="eastAsia" w:ascii="Times New Roman" w:hAnsi="Times New Roman" w:eastAsia="宋体" w:cs="宋体"/>
                <w:sz w:val="24"/>
                <w:szCs w:val="24"/>
                <w:highlight w:val="none"/>
                <w:u w:val="none"/>
                <w:shd w:val="clear"/>
              </w:rPr>
              <w:t>秒</w:t>
            </w:r>
          </w:p>
        </w:tc>
      </w:tr>
      <w:tr w14:paraId="11C14E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719" w:type="pct"/>
            <w:tcMar>
              <w:top w:w="16" w:type="dxa"/>
              <w:left w:w="16" w:type="dxa"/>
              <w:right w:w="16" w:type="dxa"/>
            </w:tcMar>
            <w:vAlign w:val="center"/>
          </w:tcPr>
          <w:p w14:paraId="68E123EA">
            <w:pPr>
              <w:adjustRightInd w:val="0"/>
              <w:snapToGrid w:val="0"/>
              <w:jc w:val="center"/>
              <w:rPr>
                <w:rFonts w:hint="eastAsia" w:ascii="Times New Roman" w:hAnsi="Times New Roman" w:eastAsia="宋体" w:cs="宋体"/>
                <w:sz w:val="24"/>
                <w:szCs w:val="24"/>
              </w:rPr>
            </w:pPr>
            <w:r>
              <w:rPr>
                <w:rFonts w:hint="eastAsia" w:ascii="Times New Roman" w:hAnsi="Times New Roman" w:eastAsia="宋体" w:cs="宋体"/>
                <w:sz w:val="24"/>
                <w:szCs w:val="24"/>
              </w:rPr>
              <w:t>建设项目</w:t>
            </w:r>
          </w:p>
          <w:p w14:paraId="683AB328">
            <w:pPr>
              <w:adjustRightInd w:val="0"/>
              <w:snapToGrid w:val="0"/>
              <w:jc w:val="center"/>
              <w:rPr>
                <w:rFonts w:hint="eastAsia" w:ascii="Times New Roman" w:hAnsi="Times New Roman" w:eastAsia="宋体" w:cs="宋体"/>
                <w:sz w:val="24"/>
                <w:szCs w:val="24"/>
              </w:rPr>
            </w:pPr>
            <w:r>
              <w:rPr>
                <w:rFonts w:hint="eastAsia" w:ascii="Times New Roman" w:hAnsi="Times New Roman" w:eastAsia="宋体" w:cs="宋体"/>
                <w:sz w:val="24"/>
                <w:szCs w:val="24"/>
              </w:rPr>
              <w:t>行业类别</w:t>
            </w:r>
          </w:p>
        </w:tc>
        <w:tc>
          <w:tcPr>
            <w:tcW w:w="1482" w:type="pct"/>
            <w:vAlign w:val="center"/>
          </w:tcPr>
          <w:p w14:paraId="27366F42">
            <w:pPr>
              <w:adjustRightInd w:val="0"/>
              <w:snapToGrid w:val="0"/>
              <w:jc w:val="center"/>
              <w:rPr>
                <w:rFonts w:hint="eastAsia" w:ascii="Times New Roman" w:hAnsi="Times New Roman" w:eastAsia="宋体" w:cs="宋体"/>
                <w:sz w:val="24"/>
                <w:szCs w:val="24"/>
              </w:rPr>
            </w:pPr>
            <w:r>
              <w:rPr>
                <w:rFonts w:hint="eastAsia" w:ascii="Times New Roman" w:hAnsi="Times New Roman" w:eastAsia="宋体" w:cs="宋体"/>
                <w:color w:val="auto"/>
                <w:sz w:val="24"/>
                <w:szCs w:val="24"/>
              </w:rPr>
              <w:t>四十六、专业技术服务业 99 陆地矿产资源地质勘查（含油气资源勘探）；二氧化碳地质封存</w:t>
            </w:r>
          </w:p>
        </w:tc>
        <w:tc>
          <w:tcPr>
            <w:tcW w:w="1050" w:type="pct"/>
            <w:vAlign w:val="center"/>
          </w:tcPr>
          <w:p w14:paraId="03FA4838">
            <w:pPr>
              <w:adjustRightInd w:val="0"/>
              <w:snapToGrid w:val="0"/>
              <w:jc w:val="center"/>
              <w:rPr>
                <w:rFonts w:hint="eastAsia" w:ascii="Times New Roman" w:hAnsi="Times New Roman" w:eastAsia="宋体" w:cs="宋体"/>
                <w:sz w:val="24"/>
                <w:szCs w:val="24"/>
              </w:rPr>
            </w:pPr>
            <w:r>
              <w:rPr>
                <w:rFonts w:hint="eastAsia" w:ascii="Times New Roman" w:hAnsi="Times New Roman" w:eastAsia="宋体" w:cs="宋体"/>
                <w:sz w:val="24"/>
                <w:szCs w:val="24"/>
              </w:rPr>
              <w:t>用地（用海）面积（m</w:t>
            </w:r>
            <w:r>
              <w:rPr>
                <w:rFonts w:hint="eastAsia" w:ascii="Times New Roman" w:hAnsi="Times New Roman" w:eastAsia="宋体" w:cs="宋体"/>
                <w:sz w:val="24"/>
                <w:szCs w:val="24"/>
                <w:vertAlign w:val="superscript"/>
              </w:rPr>
              <w:t>2</w:t>
            </w:r>
            <w:r>
              <w:rPr>
                <w:rFonts w:hint="eastAsia" w:ascii="Times New Roman" w:hAnsi="Times New Roman" w:eastAsia="宋体" w:cs="宋体"/>
                <w:sz w:val="24"/>
                <w:szCs w:val="24"/>
              </w:rPr>
              <w:t>）/长度（km）</w:t>
            </w:r>
          </w:p>
        </w:tc>
        <w:tc>
          <w:tcPr>
            <w:tcW w:w="1748" w:type="pct"/>
            <w:gridSpan w:val="2"/>
            <w:vAlign w:val="center"/>
          </w:tcPr>
          <w:p w14:paraId="7A85E3A0">
            <w:pPr>
              <w:pStyle w:val="3"/>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sz w:val="24"/>
                <w:szCs w:val="24"/>
                <w:vertAlign w:val="superscript"/>
                <w:lang w:val="en-US" w:eastAsia="zh-CN"/>
              </w:rPr>
            </w:pPr>
            <w:r>
              <w:rPr>
                <w:rFonts w:hint="eastAsia" w:ascii="Times New Roman" w:hAnsi="Times New Roman" w:eastAsia="宋体" w:cs="Times New Roman"/>
                <w:kern w:val="2"/>
                <w:sz w:val="21"/>
                <w:szCs w:val="24"/>
                <w:lang w:val="en-US" w:eastAsia="zh-CN" w:bidi="ar-SA"/>
              </w:rPr>
              <w:t>（1）</w:t>
            </w:r>
            <w:r>
              <w:rPr>
                <w:rFonts w:hint="eastAsia" w:ascii="Times New Roman" w:hAnsi="Times New Roman" w:eastAsia="宋体" w:cs="宋体"/>
                <w:sz w:val="24"/>
                <w:szCs w:val="24"/>
                <w:lang w:val="en-US" w:eastAsia="zh-CN"/>
              </w:rPr>
              <w:t>沙105斜井：临时占地约4930m</w:t>
            </w:r>
            <w:r>
              <w:rPr>
                <w:rFonts w:hint="eastAsia" w:ascii="Times New Roman" w:hAnsi="Times New Roman" w:eastAsia="宋体" w:cs="宋体"/>
                <w:sz w:val="24"/>
                <w:szCs w:val="24"/>
                <w:vertAlign w:val="superscript"/>
                <w:lang w:val="en-US" w:eastAsia="zh-CN"/>
              </w:rPr>
              <w:t>2</w:t>
            </w:r>
          </w:p>
          <w:p w14:paraId="7C64F875">
            <w:pPr>
              <w:pStyle w:val="3"/>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（2）沙86斜井：</w:t>
            </w:r>
            <w:r>
              <w:rPr>
                <w:rFonts w:hint="eastAsia" w:ascii="Times New Roman" w:hAnsi="Times New Roman" w:eastAsia="宋体" w:cs="宋体"/>
                <w:sz w:val="24"/>
                <w:szCs w:val="24"/>
                <w:lang w:val="en-US" w:eastAsia="zh-CN"/>
              </w:rPr>
              <w:t>临时占地约4930m</w:t>
            </w:r>
            <w:r>
              <w:rPr>
                <w:rFonts w:hint="eastAsia" w:ascii="Times New Roman" w:hAnsi="Times New Roman" w:eastAsia="宋体" w:cs="宋体"/>
                <w:sz w:val="24"/>
                <w:szCs w:val="24"/>
                <w:vertAlign w:val="superscript"/>
                <w:lang w:val="en-US" w:eastAsia="zh-CN"/>
              </w:rPr>
              <w:t>2</w:t>
            </w:r>
          </w:p>
        </w:tc>
      </w:tr>
      <w:tr w14:paraId="230C11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719" w:type="pct"/>
            <w:tcMar>
              <w:top w:w="16" w:type="dxa"/>
              <w:left w:w="16" w:type="dxa"/>
              <w:right w:w="16" w:type="dxa"/>
            </w:tcMar>
            <w:vAlign w:val="center"/>
          </w:tcPr>
          <w:p w14:paraId="57628621">
            <w:pPr>
              <w:adjustRightInd w:val="0"/>
              <w:snapToGrid w:val="0"/>
              <w:jc w:val="center"/>
              <w:rPr>
                <w:rFonts w:hint="eastAsia" w:ascii="Times New Roman" w:hAnsi="Times New Roman" w:eastAsia="宋体" w:cs="宋体"/>
                <w:sz w:val="24"/>
                <w:szCs w:val="24"/>
              </w:rPr>
            </w:pPr>
            <w:r>
              <w:rPr>
                <w:rFonts w:hint="eastAsia" w:ascii="Times New Roman" w:hAnsi="Times New Roman" w:eastAsia="宋体" w:cs="宋体"/>
                <w:sz w:val="24"/>
                <w:szCs w:val="24"/>
              </w:rPr>
              <w:t>建设性质</w:t>
            </w:r>
          </w:p>
        </w:tc>
        <w:tc>
          <w:tcPr>
            <w:tcW w:w="1482" w:type="pct"/>
            <w:vAlign w:val="center"/>
          </w:tcPr>
          <w:p w14:paraId="3F5F4147">
            <w:pPr>
              <w:adjustRightInd w:val="0"/>
              <w:snapToGrid w:val="0"/>
              <w:jc w:val="left"/>
              <w:rPr>
                <w:rFonts w:hint="eastAsia" w:ascii="Times New Roman" w:hAnsi="Times New Roman" w:eastAsia="宋体" w:cs="宋体"/>
                <w:sz w:val="24"/>
                <w:szCs w:val="24"/>
              </w:rPr>
            </w:pPr>
            <w:r>
              <w:rPr>
                <w:rFonts w:hint="eastAsia" w:ascii="Times New Roman" w:hAnsi="Times New Roman" w:eastAsia="宋体" w:cs="宋体"/>
                <w:sz w:val="24"/>
                <w:szCs w:val="24"/>
              </w:rPr>
              <w:t>☑新建（迁建）</w:t>
            </w:r>
          </w:p>
          <w:p w14:paraId="2EC3A03D">
            <w:pPr>
              <w:adjustRightInd w:val="0"/>
              <w:snapToGrid w:val="0"/>
              <w:jc w:val="left"/>
              <w:rPr>
                <w:rFonts w:hint="eastAsia" w:ascii="Times New Roman" w:hAnsi="Times New Roman" w:eastAsia="宋体" w:cs="宋体"/>
                <w:sz w:val="24"/>
                <w:szCs w:val="24"/>
              </w:rPr>
            </w:pPr>
            <w:r>
              <w:rPr>
                <w:rFonts w:hint="eastAsia" w:ascii="Times New Roman" w:hAnsi="Times New Roman" w:eastAsia="宋体" w:cs="宋体"/>
                <w:sz w:val="24"/>
                <w:szCs w:val="24"/>
              </w:rPr>
              <w:t>□改建</w:t>
            </w:r>
          </w:p>
          <w:p w14:paraId="176CD7C1">
            <w:pPr>
              <w:adjustRightInd w:val="0"/>
              <w:snapToGrid w:val="0"/>
              <w:jc w:val="left"/>
              <w:rPr>
                <w:rFonts w:hint="eastAsia" w:ascii="Times New Roman" w:hAnsi="Times New Roman" w:eastAsia="宋体" w:cs="宋体"/>
                <w:sz w:val="24"/>
                <w:szCs w:val="24"/>
              </w:rPr>
            </w:pPr>
            <w:r>
              <w:rPr>
                <w:rFonts w:hint="eastAsia" w:ascii="Times New Roman" w:hAnsi="Times New Roman" w:eastAsia="宋体" w:cs="宋体"/>
                <w:sz w:val="24"/>
                <w:szCs w:val="24"/>
              </w:rPr>
              <w:t>□扩建</w:t>
            </w:r>
          </w:p>
          <w:p w14:paraId="071FBD4C">
            <w:pPr>
              <w:adjustRightInd w:val="0"/>
              <w:snapToGrid w:val="0"/>
              <w:jc w:val="left"/>
              <w:rPr>
                <w:rFonts w:hint="eastAsia" w:ascii="Times New Roman" w:hAnsi="Times New Roman" w:eastAsia="宋体" w:cs="宋体"/>
                <w:sz w:val="24"/>
                <w:szCs w:val="24"/>
              </w:rPr>
            </w:pPr>
            <w:r>
              <w:rPr>
                <w:rFonts w:hint="eastAsia" w:ascii="Times New Roman" w:hAnsi="Times New Roman" w:eastAsia="宋体" w:cs="宋体"/>
                <w:sz w:val="24"/>
                <w:szCs w:val="24"/>
              </w:rPr>
              <w:t>□技术改造</w:t>
            </w:r>
          </w:p>
        </w:tc>
        <w:tc>
          <w:tcPr>
            <w:tcW w:w="1050" w:type="pct"/>
            <w:vAlign w:val="center"/>
          </w:tcPr>
          <w:p w14:paraId="57EFFC27">
            <w:pPr>
              <w:adjustRightInd w:val="0"/>
              <w:snapToGrid w:val="0"/>
              <w:jc w:val="center"/>
              <w:rPr>
                <w:rFonts w:hint="eastAsia" w:ascii="Times New Roman" w:hAnsi="Times New Roman" w:eastAsia="宋体" w:cs="宋体"/>
                <w:sz w:val="24"/>
                <w:szCs w:val="24"/>
              </w:rPr>
            </w:pPr>
            <w:r>
              <w:rPr>
                <w:rFonts w:hint="eastAsia" w:ascii="Times New Roman" w:hAnsi="Times New Roman" w:eastAsia="宋体" w:cs="宋体"/>
                <w:sz w:val="24"/>
                <w:szCs w:val="24"/>
              </w:rPr>
              <w:t>建设项目</w:t>
            </w:r>
          </w:p>
          <w:p w14:paraId="006721E1">
            <w:pPr>
              <w:adjustRightInd w:val="0"/>
              <w:snapToGrid w:val="0"/>
              <w:jc w:val="center"/>
              <w:rPr>
                <w:rFonts w:hint="eastAsia" w:ascii="Times New Roman" w:hAnsi="Times New Roman" w:eastAsia="宋体" w:cs="宋体"/>
                <w:sz w:val="24"/>
                <w:szCs w:val="24"/>
              </w:rPr>
            </w:pPr>
            <w:r>
              <w:rPr>
                <w:rFonts w:hint="eastAsia" w:ascii="Times New Roman" w:hAnsi="Times New Roman" w:eastAsia="宋体" w:cs="宋体"/>
                <w:sz w:val="24"/>
                <w:szCs w:val="24"/>
              </w:rPr>
              <w:t>申报情形</w:t>
            </w:r>
          </w:p>
        </w:tc>
        <w:tc>
          <w:tcPr>
            <w:tcW w:w="1748" w:type="pct"/>
            <w:gridSpan w:val="2"/>
            <w:vAlign w:val="center"/>
          </w:tcPr>
          <w:p w14:paraId="73D711CB">
            <w:pPr>
              <w:adjustRightInd w:val="0"/>
              <w:snapToGrid w:val="0"/>
              <w:jc w:val="left"/>
              <w:rPr>
                <w:rFonts w:hint="eastAsia" w:ascii="Times New Roman" w:hAnsi="Times New Roman" w:eastAsia="宋体" w:cs="宋体"/>
                <w:sz w:val="24"/>
                <w:szCs w:val="24"/>
              </w:rPr>
            </w:pPr>
            <w:r>
              <w:rPr>
                <w:rFonts w:hint="eastAsia" w:ascii="Times New Roman" w:hAnsi="Times New Roman" w:eastAsia="宋体" w:cs="宋体"/>
                <w:sz w:val="24"/>
                <w:szCs w:val="24"/>
              </w:rPr>
              <w:t>☑首次申报项目</w:t>
            </w:r>
          </w:p>
          <w:p w14:paraId="458EA8A5">
            <w:pPr>
              <w:adjustRightInd w:val="0"/>
              <w:snapToGrid w:val="0"/>
              <w:jc w:val="left"/>
              <w:rPr>
                <w:rFonts w:hint="eastAsia" w:ascii="Times New Roman" w:hAnsi="Times New Roman" w:eastAsia="宋体" w:cs="宋体"/>
                <w:sz w:val="24"/>
                <w:szCs w:val="24"/>
              </w:rPr>
            </w:pPr>
            <w:r>
              <w:rPr>
                <w:rFonts w:hint="eastAsia" w:ascii="Times New Roman" w:hAnsi="Times New Roman" w:eastAsia="宋体" w:cs="宋体"/>
                <w:sz w:val="24"/>
                <w:szCs w:val="24"/>
              </w:rPr>
              <w:t>□不予批准后再次申报项目</w:t>
            </w:r>
          </w:p>
          <w:p w14:paraId="756F266A">
            <w:pPr>
              <w:adjustRightInd w:val="0"/>
              <w:snapToGrid w:val="0"/>
              <w:jc w:val="left"/>
              <w:rPr>
                <w:rFonts w:hint="eastAsia" w:ascii="Times New Roman" w:hAnsi="Times New Roman" w:eastAsia="宋体" w:cs="宋体"/>
                <w:sz w:val="24"/>
                <w:szCs w:val="24"/>
              </w:rPr>
            </w:pPr>
            <w:r>
              <w:rPr>
                <w:rFonts w:hint="eastAsia" w:ascii="Times New Roman" w:hAnsi="Times New Roman" w:eastAsia="宋体" w:cs="宋体"/>
                <w:sz w:val="24"/>
                <w:szCs w:val="24"/>
              </w:rPr>
              <w:t>□超五年重新审核项目</w:t>
            </w:r>
          </w:p>
          <w:p w14:paraId="3AB62577">
            <w:pPr>
              <w:adjustRightInd w:val="0"/>
              <w:snapToGrid w:val="0"/>
              <w:rPr>
                <w:rFonts w:hint="eastAsia" w:ascii="Times New Roman" w:hAnsi="Times New Roman" w:eastAsia="宋体" w:cs="宋体"/>
                <w:sz w:val="24"/>
                <w:szCs w:val="24"/>
              </w:rPr>
            </w:pPr>
            <w:r>
              <w:rPr>
                <w:rFonts w:hint="eastAsia" w:ascii="Times New Roman" w:hAnsi="Times New Roman" w:eastAsia="宋体" w:cs="宋体"/>
                <w:sz w:val="24"/>
                <w:szCs w:val="24"/>
              </w:rPr>
              <w:t>□重大变动重新报批项目</w:t>
            </w:r>
          </w:p>
        </w:tc>
      </w:tr>
      <w:tr w14:paraId="64A05B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19" w:type="pct"/>
            <w:tcMar>
              <w:top w:w="16" w:type="dxa"/>
              <w:left w:w="16" w:type="dxa"/>
              <w:right w:w="16" w:type="dxa"/>
            </w:tcMar>
            <w:vAlign w:val="center"/>
          </w:tcPr>
          <w:p w14:paraId="5527C38B">
            <w:pPr>
              <w:adjustRightInd w:val="0"/>
              <w:snapToGrid w:val="0"/>
              <w:jc w:val="center"/>
              <w:rPr>
                <w:rFonts w:hint="eastAsia" w:ascii="Times New Roman" w:hAnsi="Times New Roman" w:eastAsia="宋体" w:cs="宋体"/>
                <w:sz w:val="24"/>
                <w:szCs w:val="24"/>
              </w:rPr>
            </w:pPr>
            <w:r>
              <w:rPr>
                <w:rFonts w:hint="eastAsia" w:ascii="Times New Roman" w:hAnsi="Times New Roman" w:eastAsia="宋体" w:cs="宋体"/>
                <w:sz w:val="24"/>
                <w:szCs w:val="24"/>
              </w:rPr>
              <w:t>项目审批（核准/</w:t>
            </w:r>
          </w:p>
          <w:p w14:paraId="266BD7A6">
            <w:pPr>
              <w:adjustRightInd w:val="0"/>
              <w:snapToGrid w:val="0"/>
              <w:jc w:val="center"/>
              <w:rPr>
                <w:rFonts w:hint="eastAsia" w:ascii="Times New Roman" w:hAnsi="Times New Roman" w:eastAsia="宋体" w:cs="宋体"/>
                <w:sz w:val="24"/>
                <w:szCs w:val="24"/>
              </w:rPr>
            </w:pPr>
            <w:r>
              <w:rPr>
                <w:rFonts w:hint="eastAsia" w:ascii="Times New Roman" w:hAnsi="Times New Roman" w:eastAsia="宋体" w:cs="宋体"/>
                <w:sz w:val="24"/>
                <w:szCs w:val="24"/>
              </w:rPr>
              <w:t>备案）部门</w:t>
            </w:r>
          </w:p>
          <w:p w14:paraId="3119E3A9">
            <w:pPr>
              <w:adjustRightInd w:val="0"/>
              <w:snapToGrid w:val="0"/>
              <w:jc w:val="center"/>
              <w:rPr>
                <w:rFonts w:hint="eastAsia" w:ascii="Times New Roman" w:hAnsi="Times New Roman" w:eastAsia="宋体" w:cs="宋体"/>
                <w:sz w:val="24"/>
                <w:szCs w:val="24"/>
              </w:rPr>
            </w:pPr>
            <w:r>
              <w:rPr>
                <w:rFonts w:hint="eastAsia" w:ascii="Times New Roman" w:hAnsi="Times New Roman" w:eastAsia="宋体" w:cs="宋体"/>
                <w:sz w:val="24"/>
                <w:szCs w:val="24"/>
              </w:rPr>
              <w:t>（选填）</w:t>
            </w:r>
          </w:p>
        </w:tc>
        <w:tc>
          <w:tcPr>
            <w:tcW w:w="2532" w:type="pct"/>
            <w:gridSpan w:val="2"/>
            <w:vAlign w:val="center"/>
          </w:tcPr>
          <w:p w14:paraId="6D00C95C">
            <w:pPr>
              <w:adjustRightInd w:val="0"/>
              <w:snapToGrid w:val="0"/>
              <w:jc w:val="center"/>
              <w:rPr>
                <w:rFonts w:hint="eastAsia" w:ascii="Times New Roman" w:hAnsi="Times New Roman" w:eastAsia="宋体" w:cs="宋体"/>
                <w:sz w:val="24"/>
                <w:szCs w:val="24"/>
                <w:lang w:val="en-US" w:eastAsia="zh-CN"/>
              </w:rPr>
            </w:pPr>
            <w:r>
              <w:rPr>
                <w:rFonts w:hint="eastAsia" w:ascii="Times New Roman" w:hAnsi="Times New Roman" w:eastAsia="宋体" w:cs="宋体"/>
                <w:sz w:val="24"/>
                <w:szCs w:val="24"/>
                <w:lang w:val="en-US" w:eastAsia="zh-CN"/>
              </w:rPr>
              <w:t>国家能源局</w:t>
            </w:r>
          </w:p>
        </w:tc>
        <w:tc>
          <w:tcPr>
            <w:tcW w:w="1212" w:type="pct"/>
            <w:vAlign w:val="center"/>
          </w:tcPr>
          <w:p w14:paraId="27AF828A">
            <w:pPr>
              <w:adjustRightInd w:val="0"/>
              <w:snapToGrid w:val="0"/>
              <w:jc w:val="center"/>
              <w:rPr>
                <w:rFonts w:hint="eastAsia" w:ascii="Times New Roman" w:hAnsi="Times New Roman" w:eastAsia="宋体" w:cs="宋体"/>
                <w:sz w:val="24"/>
                <w:szCs w:val="24"/>
              </w:rPr>
            </w:pPr>
            <w:r>
              <w:rPr>
                <w:rFonts w:hint="eastAsia" w:ascii="Times New Roman" w:hAnsi="Times New Roman" w:eastAsia="宋体" w:cs="宋体"/>
                <w:sz w:val="24"/>
                <w:szCs w:val="24"/>
              </w:rPr>
              <w:t>项目审批（核准/</w:t>
            </w:r>
          </w:p>
          <w:p w14:paraId="214195CB">
            <w:pPr>
              <w:adjustRightInd w:val="0"/>
              <w:snapToGrid w:val="0"/>
              <w:jc w:val="center"/>
              <w:rPr>
                <w:rFonts w:hint="eastAsia" w:ascii="Times New Roman" w:hAnsi="Times New Roman" w:eastAsia="宋体" w:cs="宋体"/>
                <w:sz w:val="24"/>
                <w:szCs w:val="24"/>
              </w:rPr>
            </w:pPr>
            <w:r>
              <w:rPr>
                <w:rFonts w:hint="eastAsia" w:ascii="Times New Roman" w:hAnsi="Times New Roman" w:eastAsia="宋体" w:cs="宋体"/>
                <w:sz w:val="24"/>
                <w:szCs w:val="24"/>
              </w:rPr>
              <w:t>备案）文号</w:t>
            </w:r>
          </w:p>
          <w:p w14:paraId="021B9BFF">
            <w:pPr>
              <w:adjustRightInd w:val="0"/>
              <w:snapToGrid w:val="0"/>
              <w:jc w:val="center"/>
              <w:rPr>
                <w:rFonts w:hint="eastAsia" w:ascii="Times New Roman" w:hAnsi="Times New Roman" w:eastAsia="宋体" w:cs="宋体"/>
                <w:sz w:val="24"/>
                <w:szCs w:val="24"/>
              </w:rPr>
            </w:pPr>
            <w:r>
              <w:rPr>
                <w:rFonts w:hint="eastAsia" w:ascii="Times New Roman" w:hAnsi="Times New Roman" w:eastAsia="宋体" w:cs="宋体"/>
                <w:sz w:val="24"/>
                <w:szCs w:val="24"/>
              </w:rPr>
              <w:t>（选</w:t>
            </w:r>
            <w:r>
              <w:drawing>
                <wp:anchor distT="0" distB="0" distL="114935" distR="114935" simplePos="0" relativeHeight="251661312" behindDoc="0" locked="0" layoutInCell="1" allowOverlap="1">
                  <wp:simplePos x="0" y="0"/>
                  <wp:positionH relativeFrom="column">
                    <wp:posOffset>4153535</wp:posOffset>
                  </wp:positionH>
                  <wp:positionV relativeFrom="paragraph">
                    <wp:posOffset>6858000</wp:posOffset>
                  </wp:positionV>
                  <wp:extent cx="5274310" cy="2426335"/>
                  <wp:effectExtent l="0" t="0" r="13970" b="1206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5274310" cy="2426335"/>
                          </a:xfrm>
                          <a:prstGeom prst="rect">
                            <a:avLst/>
                          </a:prstGeom>
                          <a:noFill/>
                          <a:ln>
                            <a:noFill/>
                          </a:ln>
                        </pic:spPr>
                      </pic:pic>
                    </a:graphicData>
                  </a:graphic>
                </wp:anchor>
              </w:drawing>
            </w:r>
            <w:r>
              <w:rPr>
                <w:rFonts w:hint="eastAsia" w:ascii="Times New Roman" w:hAnsi="Times New Roman" w:eastAsia="宋体" w:cs="宋体"/>
                <w:sz w:val="24"/>
                <w:szCs w:val="24"/>
              </w:rPr>
              <w:t>填）</w:t>
            </w:r>
          </w:p>
        </w:tc>
        <w:tc>
          <w:tcPr>
            <w:tcW w:w="535" w:type="pct"/>
            <w:vAlign w:val="center"/>
          </w:tcPr>
          <w:p w14:paraId="45A7E055">
            <w:pPr>
              <w:adjustRightInd w:val="0"/>
              <w:snapToGrid w:val="0"/>
              <w:jc w:val="center"/>
              <w:rPr>
                <w:rFonts w:hint="eastAsia" w:ascii="Times New Roman" w:hAnsi="Times New Roman" w:eastAsia="宋体" w:cs="宋体"/>
                <w:sz w:val="24"/>
                <w:szCs w:val="24"/>
                <w:lang w:val="en-US" w:eastAsia="zh-CN"/>
              </w:rPr>
            </w:pPr>
            <w:r>
              <w:rPr>
                <w:rFonts w:hint="eastAsia" w:ascii="Times New Roman" w:hAnsi="Times New Roman" w:eastAsia="宋体" w:cs="宋体"/>
                <w:sz w:val="24"/>
                <w:szCs w:val="24"/>
                <w:lang w:val="en-US" w:eastAsia="zh-CN"/>
              </w:rPr>
              <w:t>/</w:t>
            </w:r>
          </w:p>
        </w:tc>
      </w:tr>
      <w:tr w14:paraId="546CB8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19" w:type="pct"/>
            <w:tcMar>
              <w:top w:w="16" w:type="dxa"/>
              <w:left w:w="16" w:type="dxa"/>
              <w:right w:w="16" w:type="dxa"/>
            </w:tcMar>
            <w:vAlign w:val="center"/>
          </w:tcPr>
          <w:p w14:paraId="4D5F0185">
            <w:pPr>
              <w:adjustRightInd w:val="0"/>
              <w:snapToGrid w:val="0"/>
              <w:jc w:val="center"/>
              <w:rPr>
                <w:rFonts w:hint="eastAsia" w:ascii="Times New Roman" w:hAnsi="Times New Roman" w:eastAsia="宋体" w:cs="宋体"/>
                <w:sz w:val="24"/>
                <w:szCs w:val="24"/>
              </w:rPr>
            </w:pPr>
            <w:r>
              <w:rPr>
                <w:rFonts w:hint="eastAsia" w:ascii="Times New Roman" w:hAnsi="Times New Roman" w:eastAsia="宋体" w:cs="宋体"/>
                <w:sz w:val="24"/>
                <w:szCs w:val="24"/>
              </w:rPr>
              <w:t>总投资</w:t>
            </w:r>
          </w:p>
        </w:tc>
        <w:tc>
          <w:tcPr>
            <w:tcW w:w="1482" w:type="pct"/>
            <w:vAlign w:val="center"/>
          </w:tcPr>
          <w:p w14:paraId="4D6AD08F">
            <w:pPr>
              <w:adjustRightInd w:val="0"/>
              <w:snapToGrid w:val="0"/>
              <w:jc w:val="center"/>
              <w:rPr>
                <w:rFonts w:hint="eastAsia" w:ascii="Times New Roman" w:hAnsi="Times New Roman" w:eastAsia="宋体"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2026</w:t>
            </w:r>
            <w:r>
              <w:rPr>
                <w:rFonts w:hint="eastAsia" w:ascii="Times New Roman" w:hAnsi="Times New Roman" w:eastAsia="宋体" w:cs="宋体"/>
                <w:color w:val="000000" w:themeColor="text1"/>
                <w:sz w:val="24"/>
                <w:szCs w:val="24"/>
                <w:lang w:val="en-US" w:eastAsia="zh-CN"/>
                <w14:textFill>
                  <w14:solidFill>
                    <w14:schemeClr w14:val="tx1"/>
                  </w14:solidFill>
                </w14:textFill>
              </w:rPr>
              <w:t>万元</w:t>
            </w:r>
          </w:p>
        </w:tc>
        <w:tc>
          <w:tcPr>
            <w:tcW w:w="1050" w:type="pct"/>
            <w:tcMar>
              <w:top w:w="16" w:type="dxa"/>
              <w:left w:w="16" w:type="dxa"/>
              <w:right w:w="16" w:type="dxa"/>
            </w:tcMar>
            <w:vAlign w:val="center"/>
          </w:tcPr>
          <w:p w14:paraId="349F7D9E">
            <w:pPr>
              <w:adjustRightInd w:val="0"/>
              <w:snapToGrid w:val="0"/>
              <w:jc w:val="center"/>
              <w:rPr>
                <w:rFonts w:hint="eastAsia" w:ascii="Times New Roman" w:hAnsi="Times New Roman" w:eastAsia="宋体" w:cs="宋体"/>
                <w:sz w:val="24"/>
                <w:szCs w:val="24"/>
              </w:rPr>
            </w:pPr>
            <w:r>
              <w:rPr>
                <w:rFonts w:hint="eastAsia" w:ascii="Times New Roman" w:hAnsi="Times New Roman" w:eastAsia="宋体" w:cs="宋体"/>
                <w:sz w:val="24"/>
                <w:szCs w:val="24"/>
              </w:rPr>
              <w:t>环保投资（万元</w:t>
            </w:r>
            <w:r>
              <w:rPr>
                <w:rFonts w:hint="eastAsia" w:ascii="Times New Roman" w:hAnsi="Times New Roman" w:eastAsia="宋体" w:cs="宋体"/>
                <w:sz w:val="24"/>
                <w:szCs w:val="24"/>
                <w:lang w:val="en-US" w:eastAsia="zh-CN"/>
              </w:rPr>
              <w:t>/井场</w:t>
            </w:r>
            <w:r>
              <w:rPr>
                <w:rFonts w:hint="eastAsia" w:ascii="Times New Roman" w:hAnsi="Times New Roman" w:eastAsia="宋体" w:cs="宋体"/>
                <w:sz w:val="24"/>
                <w:szCs w:val="24"/>
              </w:rPr>
              <w:t>）</w:t>
            </w:r>
          </w:p>
        </w:tc>
        <w:tc>
          <w:tcPr>
            <w:tcW w:w="1748" w:type="pct"/>
            <w:gridSpan w:val="2"/>
            <w:vAlign w:val="center"/>
          </w:tcPr>
          <w:p w14:paraId="204FB207">
            <w:pPr>
              <w:adjustRightInd w:val="0"/>
              <w:snapToGrid w:val="0"/>
              <w:jc w:val="center"/>
              <w:rPr>
                <w:rFonts w:hint="eastAsia" w:ascii="Times New Roman" w:hAnsi="Times New Roman" w:eastAsia="宋体" w:cs="宋体"/>
                <w:sz w:val="24"/>
                <w:szCs w:val="24"/>
                <w:lang w:val="en-US" w:eastAsia="zh-CN"/>
              </w:rPr>
            </w:pPr>
            <w:r>
              <w:rPr>
                <w:rFonts w:hint="eastAsia" w:ascii="Times New Roman" w:hAnsi="Times New Roman" w:eastAsia="宋体" w:cs="宋体"/>
                <w:color w:val="000000" w:themeColor="text1"/>
                <w:sz w:val="24"/>
                <w:szCs w:val="24"/>
                <w:lang w:val="en-US" w:eastAsia="zh-CN"/>
                <w14:textFill>
                  <w14:solidFill>
                    <w14:schemeClr w14:val="tx1"/>
                  </w14:solidFill>
                </w14:textFill>
              </w:rPr>
              <w:t>400万元</w:t>
            </w:r>
          </w:p>
        </w:tc>
      </w:tr>
      <w:tr w14:paraId="78BE24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19" w:type="pct"/>
            <w:tcMar>
              <w:top w:w="16" w:type="dxa"/>
              <w:left w:w="16" w:type="dxa"/>
              <w:right w:w="16" w:type="dxa"/>
            </w:tcMar>
            <w:vAlign w:val="center"/>
          </w:tcPr>
          <w:p w14:paraId="5004C38E">
            <w:pPr>
              <w:adjustRightInd w:val="0"/>
              <w:snapToGrid w:val="0"/>
              <w:jc w:val="center"/>
              <w:rPr>
                <w:rFonts w:hint="eastAsia" w:ascii="Times New Roman" w:hAnsi="Times New Roman" w:eastAsia="宋体" w:cs="宋体"/>
                <w:sz w:val="24"/>
                <w:szCs w:val="24"/>
              </w:rPr>
            </w:pPr>
            <w:r>
              <w:rPr>
                <w:rFonts w:hint="eastAsia" w:ascii="Times New Roman" w:hAnsi="Times New Roman" w:eastAsia="宋体" w:cs="宋体"/>
                <w:sz w:val="24"/>
                <w:szCs w:val="24"/>
              </w:rPr>
              <w:t>环保投资占比（%）</w:t>
            </w:r>
          </w:p>
        </w:tc>
        <w:tc>
          <w:tcPr>
            <w:tcW w:w="1482" w:type="pct"/>
            <w:vAlign w:val="center"/>
          </w:tcPr>
          <w:p w14:paraId="05814B6E">
            <w:pPr>
              <w:adjustRightInd w:val="0"/>
              <w:snapToGrid w:val="0"/>
              <w:jc w:val="center"/>
              <w:rPr>
                <w:rFonts w:hint="default" w:ascii="Times New Roman" w:hAnsi="Times New Roman" w:eastAsia="宋体"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19.74</w:t>
            </w:r>
          </w:p>
        </w:tc>
        <w:tc>
          <w:tcPr>
            <w:tcW w:w="1050" w:type="pct"/>
            <w:tcMar>
              <w:top w:w="16" w:type="dxa"/>
              <w:left w:w="16" w:type="dxa"/>
              <w:right w:w="16" w:type="dxa"/>
            </w:tcMar>
            <w:vAlign w:val="center"/>
          </w:tcPr>
          <w:p w14:paraId="58194BE5">
            <w:pPr>
              <w:adjustRightInd w:val="0"/>
              <w:snapToGrid w:val="0"/>
              <w:jc w:val="center"/>
              <w:rPr>
                <w:rFonts w:hint="eastAsia" w:ascii="Times New Roman" w:hAnsi="Times New Roman" w:eastAsia="宋体" w:cs="宋体"/>
                <w:sz w:val="24"/>
                <w:szCs w:val="24"/>
              </w:rPr>
            </w:pPr>
            <w:r>
              <w:rPr>
                <w:rFonts w:hint="eastAsia" w:ascii="Times New Roman" w:hAnsi="Times New Roman" w:eastAsia="宋体" w:cs="宋体"/>
                <w:sz w:val="24"/>
                <w:szCs w:val="24"/>
              </w:rPr>
              <w:t>施工工期</w:t>
            </w:r>
          </w:p>
        </w:tc>
        <w:tc>
          <w:tcPr>
            <w:tcW w:w="1748" w:type="pct"/>
            <w:gridSpan w:val="2"/>
            <w:vAlign w:val="center"/>
          </w:tcPr>
          <w:p w14:paraId="11E06F53">
            <w:pPr>
              <w:adjustRightInd w:val="0"/>
              <w:snapToGrid w:val="0"/>
              <w:jc w:val="center"/>
              <w:rPr>
                <w:rFonts w:hint="eastAsia" w:ascii="Times New Roman" w:hAnsi="Times New Roman" w:eastAsia="宋体" w:cs="宋体"/>
                <w:sz w:val="24"/>
                <w:szCs w:val="24"/>
                <w:lang w:val="en-US" w:eastAsia="zh-CN"/>
              </w:rPr>
            </w:pPr>
            <w:r>
              <w:rPr>
                <w:rFonts w:hint="eastAsia" w:cs="宋体"/>
                <w:color w:val="000000" w:themeColor="text1"/>
                <w:sz w:val="24"/>
                <w:szCs w:val="24"/>
                <w:lang w:val="en-US" w:eastAsia="zh-CN"/>
                <w14:textFill>
                  <w14:solidFill>
                    <w14:schemeClr w14:val="tx1"/>
                  </w14:solidFill>
                </w14:textFill>
              </w:rPr>
              <w:t>6</w:t>
            </w:r>
            <w:r>
              <w:rPr>
                <w:rFonts w:hint="eastAsia" w:ascii="Times New Roman" w:hAnsi="Times New Roman" w:eastAsia="宋体" w:cs="宋体"/>
                <w:color w:val="000000" w:themeColor="text1"/>
                <w:sz w:val="24"/>
                <w:szCs w:val="24"/>
                <w:lang w:val="en-US" w:eastAsia="zh-CN"/>
                <w14:textFill>
                  <w14:solidFill>
                    <w14:schemeClr w14:val="tx1"/>
                  </w14:solidFill>
                </w14:textFill>
              </w:rPr>
              <w:t>0天</w:t>
            </w:r>
          </w:p>
        </w:tc>
      </w:tr>
      <w:tr w14:paraId="14FDD0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719" w:type="pct"/>
            <w:tcMar>
              <w:top w:w="16" w:type="dxa"/>
              <w:left w:w="16" w:type="dxa"/>
              <w:right w:w="16" w:type="dxa"/>
            </w:tcMar>
            <w:vAlign w:val="center"/>
          </w:tcPr>
          <w:p w14:paraId="1A035466">
            <w:pPr>
              <w:adjustRightInd w:val="0"/>
              <w:snapToGrid w:val="0"/>
              <w:jc w:val="center"/>
              <w:rPr>
                <w:rFonts w:hint="eastAsia" w:ascii="Times New Roman" w:hAnsi="Times New Roman" w:eastAsia="宋体" w:cs="宋体"/>
                <w:sz w:val="24"/>
                <w:szCs w:val="24"/>
              </w:rPr>
            </w:pPr>
            <w:r>
              <w:rPr>
                <w:rFonts w:hint="eastAsia" w:ascii="Times New Roman" w:hAnsi="Times New Roman" w:eastAsia="宋体" w:cs="宋体"/>
                <w:sz w:val="24"/>
                <w:szCs w:val="24"/>
              </w:rPr>
              <w:t>是否开工建设</w:t>
            </w:r>
          </w:p>
        </w:tc>
        <w:tc>
          <w:tcPr>
            <w:tcW w:w="4280" w:type="pct"/>
            <w:gridSpan w:val="4"/>
            <w:vAlign w:val="center"/>
          </w:tcPr>
          <w:p w14:paraId="14A86F8B">
            <w:pPr>
              <w:adjustRightInd w:val="0"/>
              <w:snapToGrid w:val="0"/>
              <w:ind w:firstLine="105"/>
              <w:jc w:val="left"/>
              <w:rPr>
                <w:rFonts w:hint="eastAsia" w:ascii="Times New Roman" w:hAnsi="Times New Roman" w:eastAsia="宋体" w:cs="宋体"/>
                <w:sz w:val="24"/>
                <w:szCs w:val="24"/>
              </w:rPr>
            </w:pPr>
            <w:r>
              <w:rPr>
                <w:rFonts w:hint="eastAsia" w:ascii="Times New Roman" w:hAnsi="Times New Roman" w:eastAsia="宋体" w:cs="宋体"/>
                <w:sz w:val="24"/>
                <w:szCs w:val="24"/>
              </w:rPr>
              <w:t>☑否</w:t>
            </w:r>
          </w:p>
          <w:p w14:paraId="7005DC51">
            <w:pPr>
              <w:adjustRightInd w:val="0"/>
              <w:snapToGrid w:val="0"/>
              <w:ind w:firstLine="92"/>
              <w:jc w:val="left"/>
              <w:rPr>
                <w:rFonts w:hint="eastAsia" w:ascii="Times New Roman" w:hAnsi="Times New Roman" w:eastAsia="宋体" w:cs="宋体"/>
                <w:sz w:val="24"/>
                <w:szCs w:val="24"/>
              </w:rPr>
            </w:pPr>
            <w:r>
              <w:rPr>
                <w:rFonts w:hint="eastAsia" w:ascii="Times New Roman" w:hAnsi="Times New Roman" w:eastAsia="宋体" w:cs="宋体"/>
                <w:sz w:val="24"/>
                <w:szCs w:val="24"/>
              </w:rPr>
              <w:t>□是：</w:t>
            </w:r>
            <w:r>
              <w:rPr>
                <w:rFonts w:hint="eastAsia" w:ascii="Times New Roman" w:hAnsi="Times New Roman" w:eastAsia="宋体" w:cs="宋体"/>
                <w:sz w:val="24"/>
                <w:szCs w:val="24"/>
                <w:u w:val="single"/>
              </w:rPr>
              <w:t xml:space="preserve">                             </w:t>
            </w:r>
          </w:p>
        </w:tc>
      </w:tr>
      <w:tr w14:paraId="40395C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19" w:type="pct"/>
            <w:tcMar>
              <w:top w:w="16" w:type="dxa"/>
              <w:left w:w="16" w:type="dxa"/>
              <w:right w:w="16" w:type="dxa"/>
            </w:tcMar>
            <w:vAlign w:val="center"/>
          </w:tcPr>
          <w:p w14:paraId="55460F20">
            <w:pPr>
              <w:autoSpaceDE w:val="0"/>
              <w:autoSpaceDN w:val="0"/>
              <w:adjustRightInd w:val="0"/>
              <w:snapToGrid w:val="0"/>
              <w:jc w:val="center"/>
              <w:rPr>
                <w:rFonts w:hint="eastAsia" w:ascii="Times New Roman" w:hAnsi="Times New Roman" w:eastAsia="宋体" w:cs="宋体"/>
                <w:kern w:val="0"/>
                <w:sz w:val="24"/>
                <w:szCs w:val="24"/>
              </w:rPr>
            </w:pPr>
            <w:r>
              <w:rPr>
                <w:rFonts w:hint="eastAsia" w:ascii="Times New Roman" w:hAnsi="Times New Roman" w:eastAsia="宋体" w:cs="宋体"/>
                <w:kern w:val="0"/>
                <w:sz w:val="24"/>
                <w:szCs w:val="24"/>
              </w:rPr>
              <w:t>专项评价设置情况</w:t>
            </w:r>
          </w:p>
        </w:tc>
        <w:tc>
          <w:tcPr>
            <w:tcW w:w="4280" w:type="pct"/>
            <w:gridSpan w:val="4"/>
            <w:tcMar>
              <w:top w:w="16" w:type="dxa"/>
              <w:left w:w="16" w:type="dxa"/>
              <w:right w:w="16" w:type="dxa"/>
            </w:tcMar>
            <w:vAlign w:val="center"/>
          </w:tcPr>
          <w:p w14:paraId="1920D5E3">
            <w:pPr>
              <w:adjustRightInd w:val="0"/>
              <w:snapToGrid w:val="0"/>
              <w:jc w:val="center"/>
              <w:rPr>
                <w:rFonts w:hint="eastAsia" w:ascii="Times New Roman" w:hAnsi="Times New Roman" w:eastAsia="宋体" w:cs="宋体"/>
                <w:sz w:val="24"/>
                <w:szCs w:val="24"/>
                <w:lang w:val="en-US" w:eastAsia="zh-CN"/>
              </w:rPr>
            </w:pPr>
            <w:r>
              <w:rPr>
                <w:rFonts w:hint="eastAsia" w:ascii="Times New Roman" w:hAnsi="Times New Roman" w:eastAsia="宋体" w:cs="宋体"/>
                <w:sz w:val="24"/>
                <w:szCs w:val="24"/>
                <w:lang w:val="en-US" w:eastAsia="zh-CN"/>
              </w:rPr>
              <w:t>无</w:t>
            </w:r>
          </w:p>
        </w:tc>
      </w:tr>
      <w:tr w14:paraId="2C6DA1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719" w:type="pct"/>
            <w:tcMar>
              <w:top w:w="16" w:type="dxa"/>
              <w:left w:w="16" w:type="dxa"/>
              <w:right w:w="16" w:type="dxa"/>
            </w:tcMar>
            <w:vAlign w:val="center"/>
          </w:tcPr>
          <w:p w14:paraId="66AD2433">
            <w:pPr>
              <w:autoSpaceDE w:val="0"/>
              <w:autoSpaceDN w:val="0"/>
              <w:adjustRightInd w:val="0"/>
              <w:snapToGrid w:val="0"/>
              <w:jc w:val="center"/>
              <w:rPr>
                <w:rFonts w:hint="eastAsia" w:ascii="Times New Roman" w:hAnsi="Times New Roman" w:eastAsia="宋体" w:cs="宋体"/>
                <w:kern w:val="0"/>
                <w:sz w:val="24"/>
                <w:szCs w:val="24"/>
              </w:rPr>
            </w:pPr>
            <w:r>
              <w:rPr>
                <w:rFonts w:hint="eastAsia" w:ascii="Times New Roman" w:hAnsi="Times New Roman" w:eastAsia="宋体" w:cs="宋体"/>
                <w:sz w:val="24"/>
                <w:szCs w:val="24"/>
              </w:rPr>
              <w:t>规划情况</w:t>
            </w:r>
          </w:p>
        </w:tc>
        <w:tc>
          <w:tcPr>
            <w:tcW w:w="4280" w:type="pct"/>
            <w:gridSpan w:val="4"/>
            <w:tcMar>
              <w:top w:w="16" w:type="dxa"/>
              <w:left w:w="16" w:type="dxa"/>
              <w:right w:w="16" w:type="dxa"/>
            </w:tcMar>
            <w:vAlign w:val="center"/>
          </w:tcPr>
          <w:p w14:paraId="1329CA05">
            <w:pPr>
              <w:autoSpaceDE w:val="0"/>
              <w:autoSpaceDN w:val="0"/>
              <w:adjustRightInd w:val="0"/>
              <w:snapToGrid w:val="0"/>
              <w:spacing w:line="360" w:lineRule="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规划名称：《</w:t>
            </w:r>
            <w:r>
              <w:rPr>
                <w:rFonts w:hint="eastAsia" w:ascii="Times New Roman" w:hAnsi="Times New Roman" w:eastAsia="宋体" w:cs="宋体"/>
                <w:color w:val="auto"/>
                <w:sz w:val="24"/>
                <w:szCs w:val="24"/>
                <w:lang w:val="en-US" w:eastAsia="zh-CN"/>
              </w:rPr>
              <w:t>江苏油田分公司“十四五”油气发展规划方案（勘探专项）</w:t>
            </w:r>
            <w:r>
              <w:rPr>
                <w:rFonts w:hint="eastAsia" w:ascii="Times New Roman" w:hAnsi="Times New Roman" w:eastAsia="宋体" w:cs="宋体"/>
                <w:color w:val="auto"/>
                <w:kern w:val="0"/>
                <w:sz w:val="24"/>
                <w:szCs w:val="24"/>
                <w:lang w:val="en-US" w:eastAsia="zh-CN" w:bidi="ar-SA"/>
              </w:rPr>
              <w:t>》</w:t>
            </w:r>
          </w:p>
          <w:p w14:paraId="6309F7A8">
            <w:pPr>
              <w:autoSpaceDE w:val="0"/>
              <w:autoSpaceDN w:val="0"/>
              <w:adjustRightInd w:val="0"/>
              <w:snapToGrid w:val="0"/>
              <w:spacing w:line="360" w:lineRule="auto"/>
              <w:rPr>
                <w:rFonts w:hint="default"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审批机关：/</w:t>
            </w:r>
          </w:p>
          <w:p w14:paraId="477F6D1E">
            <w:pPr>
              <w:adjustRightInd w:val="0"/>
              <w:snapToGrid w:val="0"/>
              <w:jc w:val="both"/>
              <w:rPr>
                <w:rFonts w:hint="eastAsia" w:ascii="Times New Roman" w:hAnsi="Times New Roman" w:eastAsia="宋体" w:cs="宋体"/>
                <w:sz w:val="24"/>
                <w:szCs w:val="24"/>
                <w:lang w:val="en-US" w:eastAsia="zh-CN"/>
              </w:rPr>
            </w:pPr>
            <w:r>
              <w:rPr>
                <w:rFonts w:hint="eastAsia" w:ascii="Times New Roman" w:hAnsi="Times New Roman" w:eastAsia="宋体" w:cs="宋体"/>
                <w:color w:val="auto"/>
                <w:kern w:val="0"/>
                <w:sz w:val="24"/>
                <w:szCs w:val="24"/>
                <w:lang w:val="en-US" w:eastAsia="zh-CN" w:bidi="ar-SA"/>
              </w:rPr>
              <w:t xml:space="preserve">审批文件名称及文号：/ </w:t>
            </w:r>
          </w:p>
        </w:tc>
      </w:tr>
      <w:tr w14:paraId="147984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719" w:type="pct"/>
            <w:tcMar>
              <w:top w:w="16" w:type="dxa"/>
              <w:left w:w="16" w:type="dxa"/>
              <w:right w:w="16" w:type="dxa"/>
            </w:tcMar>
            <w:vAlign w:val="center"/>
          </w:tcPr>
          <w:p w14:paraId="62034824">
            <w:pPr>
              <w:autoSpaceDE w:val="0"/>
              <w:autoSpaceDN w:val="0"/>
              <w:adjustRightInd w:val="0"/>
              <w:snapToGrid w:val="0"/>
              <w:jc w:val="center"/>
              <w:rPr>
                <w:rFonts w:hint="eastAsia" w:ascii="Times New Roman" w:hAnsi="Times New Roman" w:eastAsia="宋体" w:cs="宋体"/>
                <w:kern w:val="0"/>
                <w:sz w:val="24"/>
                <w:szCs w:val="24"/>
              </w:rPr>
            </w:pPr>
            <w:r>
              <w:rPr>
                <w:rFonts w:hint="eastAsia" w:ascii="Times New Roman" w:hAnsi="Times New Roman" w:eastAsia="宋体" w:cs="宋体"/>
                <w:sz w:val="24"/>
                <w:szCs w:val="24"/>
              </w:rPr>
              <w:t>规划环境影响评价情况</w:t>
            </w:r>
          </w:p>
        </w:tc>
        <w:tc>
          <w:tcPr>
            <w:tcW w:w="4280" w:type="pct"/>
            <w:gridSpan w:val="4"/>
            <w:tcMar>
              <w:top w:w="16" w:type="dxa"/>
              <w:left w:w="16" w:type="dxa"/>
              <w:right w:w="16" w:type="dxa"/>
            </w:tcMar>
            <w:vAlign w:val="center"/>
          </w:tcPr>
          <w:p w14:paraId="33417665">
            <w:pPr>
              <w:adjustRightInd w:val="0"/>
              <w:snapToGrid w:val="0"/>
              <w:jc w:val="center"/>
              <w:rPr>
                <w:rFonts w:hint="eastAsia" w:ascii="Times New Roman" w:hAnsi="Times New Roman" w:eastAsia="宋体" w:cs="宋体"/>
                <w:sz w:val="24"/>
                <w:szCs w:val="24"/>
              </w:rPr>
            </w:pPr>
            <w:r>
              <w:rPr>
                <w:rFonts w:hint="eastAsia" w:ascii="Times New Roman" w:hAnsi="Times New Roman" w:eastAsia="宋体" w:cs="宋体"/>
                <w:sz w:val="24"/>
                <w:szCs w:val="24"/>
              </w:rPr>
              <w:t>无</w:t>
            </w:r>
          </w:p>
        </w:tc>
      </w:tr>
    </w:tbl>
    <w:p w14:paraId="07379B82">
      <w:pPr>
        <w:pStyle w:val="3"/>
      </w:pPr>
    </w:p>
    <w:tbl>
      <w:tblPr>
        <w:tblStyle w:val="11"/>
        <w:tblW w:w="497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88"/>
        <w:gridCol w:w="7213"/>
      </w:tblGrid>
      <w:tr w14:paraId="3F98E3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642" w:hRule="atLeast"/>
        </w:trPr>
        <w:tc>
          <w:tcPr>
            <w:tcW w:w="655" w:type="pct"/>
            <w:tcMar>
              <w:top w:w="16" w:type="dxa"/>
              <w:left w:w="16" w:type="dxa"/>
              <w:right w:w="16" w:type="dxa"/>
            </w:tcMar>
            <w:vAlign w:val="center"/>
          </w:tcPr>
          <w:p w14:paraId="66930E74">
            <w:pPr>
              <w:autoSpaceDE w:val="0"/>
              <w:autoSpaceDN w:val="0"/>
              <w:adjustRightInd w:val="0"/>
              <w:snapToGrid w:val="0"/>
              <w:jc w:val="center"/>
              <w:rPr>
                <w:rFonts w:ascii="Times New Roman" w:hAnsi="Times New Roman" w:eastAsia="宋体"/>
                <w:color w:val="auto"/>
                <w:kern w:val="0"/>
                <w:sz w:val="24"/>
              </w:rPr>
            </w:pPr>
            <w:r>
              <w:rPr>
                <w:rFonts w:ascii="Times New Roman" w:hAnsi="Times New Roman" w:eastAsia="宋体"/>
                <w:color w:val="auto"/>
                <w:kern w:val="0"/>
                <w:sz w:val="24"/>
              </w:rPr>
              <w:t>规划及</w:t>
            </w:r>
            <w:r>
              <w:rPr>
                <w:rFonts w:ascii="Times New Roman" w:hAnsi="Times New Roman" w:eastAsia="宋体"/>
                <w:color w:val="auto"/>
                <w:sz w:val="24"/>
              </w:rPr>
              <w:t>规划环境影响评价</w:t>
            </w:r>
            <w:r>
              <w:rPr>
                <w:rFonts w:ascii="Times New Roman" w:hAnsi="Times New Roman" w:eastAsia="宋体"/>
                <w:color w:val="auto"/>
                <w:kern w:val="0"/>
                <w:sz w:val="24"/>
              </w:rPr>
              <w:t>符合性分析</w:t>
            </w:r>
          </w:p>
        </w:tc>
        <w:tc>
          <w:tcPr>
            <w:tcW w:w="4344" w:type="pct"/>
            <w:tcMar>
              <w:top w:w="16" w:type="dxa"/>
              <w:left w:w="16" w:type="dxa"/>
              <w:right w:w="16" w:type="dxa"/>
            </w:tcMar>
            <w:vAlign w:val="center"/>
          </w:tcPr>
          <w:p w14:paraId="593B214A">
            <w:pPr>
              <w:pStyle w:val="3"/>
              <w:ind w:firstLine="480"/>
              <w:rPr>
                <w:rFonts w:hint="eastAsia" w:ascii="Times New Roman" w:hAnsi="Times New Roman" w:eastAsia="宋体"/>
                <w:b/>
                <w:bCs/>
                <w:color w:val="auto"/>
                <w:lang w:val="en-US" w:eastAsia="zh-CN"/>
              </w:rPr>
            </w:pPr>
            <w:r>
              <w:rPr>
                <w:rFonts w:hint="eastAsia" w:ascii="Times New Roman" w:hAnsi="Times New Roman" w:eastAsia="宋体"/>
                <w:b/>
                <w:bCs/>
                <w:color w:val="auto"/>
                <w:lang w:val="en-US" w:eastAsia="zh-CN"/>
              </w:rPr>
              <w:t>1、与《江苏油田分公司</w:t>
            </w:r>
            <w:r>
              <w:rPr>
                <w:rFonts w:hint="default" w:ascii="Times New Roman" w:hAnsi="Times New Roman" w:eastAsia="宋体"/>
                <w:b/>
                <w:bCs/>
                <w:color w:val="auto"/>
                <w:lang w:val="en-US" w:eastAsia="zh-CN"/>
              </w:rPr>
              <w:t>“</w:t>
            </w:r>
            <w:r>
              <w:rPr>
                <w:rFonts w:hint="eastAsia" w:ascii="Times New Roman" w:hAnsi="Times New Roman" w:eastAsia="宋体"/>
                <w:b/>
                <w:bCs/>
                <w:color w:val="auto"/>
                <w:lang w:val="en-US" w:eastAsia="zh-CN"/>
              </w:rPr>
              <w:t>十四五</w:t>
            </w:r>
            <w:r>
              <w:rPr>
                <w:rFonts w:hint="default" w:ascii="Times New Roman" w:hAnsi="Times New Roman" w:eastAsia="宋体"/>
                <w:b/>
                <w:bCs/>
                <w:color w:val="auto"/>
                <w:lang w:val="en-US" w:eastAsia="zh-CN"/>
              </w:rPr>
              <w:t>”</w:t>
            </w:r>
            <w:r>
              <w:rPr>
                <w:rFonts w:hint="eastAsia" w:ascii="Times New Roman" w:hAnsi="Times New Roman" w:eastAsia="宋体"/>
                <w:b/>
                <w:bCs/>
                <w:color w:val="auto"/>
                <w:lang w:val="en-US" w:eastAsia="zh-CN"/>
              </w:rPr>
              <w:t>油气发展规划方案（勘探专项）》相符性分析</w:t>
            </w:r>
          </w:p>
          <w:p w14:paraId="5F35D117">
            <w:pPr>
              <w:pStyle w:val="3"/>
              <w:ind w:firstLine="480"/>
              <w:rPr>
                <w:rFonts w:hint="eastAsia" w:ascii="Times New Roman" w:hAnsi="Times New Roman" w:eastAsia="宋体"/>
                <w:color w:val="auto"/>
              </w:rPr>
            </w:pPr>
            <w:r>
              <w:rPr>
                <w:rFonts w:hint="eastAsia" w:ascii="Times New Roman" w:hAnsi="Times New Roman" w:eastAsia="宋体"/>
                <w:color w:val="auto"/>
              </w:rPr>
              <w:t>相关规划内容：高邮凹陷</w:t>
            </w:r>
            <w:r>
              <w:rPr>
                <w:rFonts w:hint="eastAsia" w:ascii="Times New Roman" w:hAnsi="Times New Roman" w:eastAsia="宋体"/>
                <w:color w:val="auto"/>
                <w:lang w:eastAsia="zh-CN"/>
              </w:rPr>
              <w:t>（</w:t>
            </w:r>
            <w:r>
              <w:rPr>
                <w:rFonts w:hint="eastAsia" w:ascii="Times New Roman" w:hAnsi="Times New Roman" w:eastAsia="宋体"/>
                <w:color w:val="auto"/>
              </w:rPr>
              <w:t>含相邻的柘垛低凸起、菱塘桥低凸起、临泽凹陷和吴堡低凸起－南断阶断脊部分</w:t>
            </w:r>
            <w:r>
              <w:rPr>
                <w:rFonts w:hint="eastAsia" w:ascii="Times New Roman" w:hAnsi="Times New Roman" w:eastAsia="宋体"/>
                <w:color w:val="auto"/>
                <w:lang w:eastAsia="zh-CN"/>
              </w:rPr>
              <w:t>）</w:t>
            </w:r>
            <w:r>
              <w:rPr>
                <w:rFonts w:hint="eastAsia" w:ascii="Times New Roman" w:hAnsi="Times New Roman" w:eastAsia="宋体"/>
                <w:color w:val="auto"/>
              </w:rPr>
              <w:t>勘探面积4550平方千米，截止2020年底，已探明油田19个，累计石油探明储量19225.57万吨，剩余控制储量3347.9万吨，剩余预测储量2490.07万吨，可升级潜在资源量4297万吨，推测资源量2790万吨，石油资源探明程度59.8</w:t>
            </w:r>
            <w:r>
              <w:rPr>
                <w:rFonts w:hint="eastAsia" w:ascii="Times New Roman" w:hAnsi="Times New Roman" w:eastAsia="宋体"/>
                <w:color w:val="auto"/>
                <w:lang w:val="en-US" w:eastAsia="zh-CN"/>
              </w:rPr>
              <w:t>%</w:t>
            </w:r>
            <w:r>
              <w:rPr>
                <w:rFonts w:hint="eastAsia" w:ascii="Times New Roman" w:hAnsi="Times New Roman" w:eastAsia="宋体"/>
                <w:color w:val="auto"/>
              </w:rPr>
              <w:t>，剩余资源量主要分布在北斜坡及深凹带两侧。</w:t>
            </w:r>
          </w:p>
          <w:p w14:paraId="2ECE449A">
            <w:pPr>
              <w:pStyle w:val="3"/>
              <w:ind w:firstLine="480"/>
              <w:rPr>
                <w:rFonts w:hint="eastAsia" w:ascii="Times New Roman" w:hAnsi="Times New Roman" w:eastAsia="宋体"/>
                <w:color w:val="auto"/>
              </w:rPr>
            </w:pPr>
            <w:r>
              <w:rPr>
                <w:rFonts w:hint="default" w:ascii="Times New Roman" w:hAnsi="Times New Roman" w:eastAsia="宋体" w:cs="Times New Roman"/>
                <w:color w:val="auto"/>
              </w:rPr>
              <w:t>“</w:t>
            </w:r>
            <w:r>
              <w:rPr>
                <w:rFonts w:hint="eastAsia" w:ascii="Times New Roman" w:hAnsi="Times New Roman" w:eastAsia="宋体"/>
                <w:color w:val="auto"/>
              </w:rPr>
              <w:t>十四五</w:t>
            </w:r>
            <w:r>
              <w:rPr>
                <w:rFonts w:hint="default" w:ascii="Times New Roman" w:hAnsi="Times New Roman" w:eastAsia="宋体" w:cs="Times New Roman"/>
                <w:color w:val="auto"/>
              </w:rPr>
              <w:t>”</w:t>
            </w:r>
            <w:r>
              <w:rPr>
                <w:rFonts w:hint="eastAsia" w:ascii="Times New Roman" w:hAnsi="Times New Roman" w:eastAsia="宋体"/>
                <w:color w:val="auto"/>
              </w:rPr>
              <w:t>期间继续以北斜坡、中央深凹带及两侧断裂带为重点区带。一方面加强斜坡带和断裂带构造油藏的勘探挖潜，深化成藏规律研究，力争取得新突破；另一方面加大隐蔽油藏勘探力度，在深凹带戴南组隐蔽油藏勘探的基础上，拓展勘探斜坡带阜三段隐蔽油藏，进一步扩大隐蔽油气藏勘探的场面。</w:t>
            </w:r>
          </w:p>
          <w:p w14:paraId="3202AF50">
            <w:pPr>
              <w:pStyle w:val="3"/>
              <w:ind w:firstLine="480"/>
              <w:rPr>
                <w:rFonts w:hint="eastAsia" w:ascii="Times New Roman" w:hAnsi="Times New Roman" w:eastAsia="宋体"/>
                <w:color w:val="auto"/>
              </w:rPr>
            </w:pPr>
            <w:r>
              <w:rPr>
                <w:rFonts w:hint="eastAsia" w:ascii="Times New Roman" w:hAnsi="Times New Roman" w:eastAsia="宋体"/>
                <w:color w:val="auto"/>
                <w:shd w:val="clear"/>
              </w:rPr>
              <w:t>本项目</w:t>
            </w:r>
            <w:r>
              <w:rPr>
                <w:rFonts w:hint="eastAsia" w:ascii="Times New Roman" w:hAnsi="Times New Roman" w:eastAsia="宋体"/>
                <w:color w:val="auto"/>
                <w:shd w:val="clear"/>
                <w:lang w:val="en-US" w:eastAsia="zh-CN"/>
              </w:rPr>
              <w:t>位于高邮凹陷</w:t>
            </w:r>
            <w:r>
              <w:rPr>
                <w:rFonts w:hint="eastAsia" w:ascii="Times New Roman" w:hAnsi="Times New Roman" w:eastAsia="宋体" w:cs="宋体"/>
                <w:color w:val="auto"/>
                <w:shd w:val="clear"/>
              </w:rPr>
              <w:t>汉留断裂带永安构造，属于</w:t>
            </w:r>
            <w:r>
              <w:rPr>
                <w:rFonts w:hint="default" w:ascii="Times New Roman" w:hAnsi="Times New Roman" w:eastAsia="宋体" w:cs="Times New Roman"/>
                <w:color w:val="auto"/>
                <w:shd w:val="clear"/>
              </w:rPr>
              <w:t>“</w:t>
            </w:r>
            <w:r>
              <w:rPr>
                <w:rFonts w:hint="eastAsia" w:ascii="Times New Roman" w:hAnsi="Times New Roman" w:eastAsia="宋体"/>
                <w:color w:val="auto"/>
                <w:shd w:val="clear"/>
              </w:rPr>
              <w:t>十四五</w:t>
            </w:r>
            <w:r>
              <w:rPr>
                <w:rFonts w:hint="default" w:ascii="Times New Roman" w:hAnsi="Times New Roman" w:eastAsia="宋体" w:cs="Times New Roman"/>
                <w:color w:val="auto"/>
                <w:shd w:val="clear"/>
              </w:rPr>
              <w:t>”</w:t>
            </w:r>
            <w:r>
              <w:rPr>
                <w:rFonts w:hint="eastAsia" w:ascii="Times New Roman" w:hAnsi="Times New Roman" w:eastAsia="宋体"/>
                <w:color w:val="auto"/>
                <w:shd w:val="clear"/>
              </w:rPr>
              <w:t>期间</w:t>
            </w:r>
            <w:r>
              <w:rPr>
                <w:rFonts w:hint="eastAsia" w:ascii="Times New Roman" w:hAnsi="Times New Roman" w:eastAsia="宋体"/>
                <w:color w:val="auto"/>
                <w:shd w:val="clear"/>
                <w:lang w:val="en-US" w:eastAsia="zh-CN"/>
              </w:rPr>
              <w:t>重点区带勘探项目</w:t>
            </w:r>
            <w:r>
              <w:rPr>
                <w:rFonts w:hint="eastAsia" w:ascii="Times New Roman" w:hAnsi="Times New Roman" w:eastAsia="宋体" w:cs="宋体"/>
                <w:color w:val="auto"/>
                <w:shd w:val="clear"/>
              </w:rPr>
              <w:t>，</w:t>
            </w:r>
            <w:r>
              <w:rPr>
                <w:rFonts w:hint="eastAsia" w:ascii="Times New Roman" w:hAnsi="Times New Roman" w:eastAsia="宋体"/>
                <w:color w:val="auto"/>
                <w:shd w:val="clear"/>
              </w:rPr>
              <w:t>符合《</w:t>
            </w:r>
            <w:r>
              <w:rPr>
                <w:rFonts w:hint="eastAsia" w:ascii="Times New Roman" w:hAnsi="Times New Roman" w:eastAsia="宋体"/>
                <w:color w:val="auto"/>
                <w:shd w:val="clear"/>
                <w:lang w:val="en-US" w:eastAsia="zh-CN"/>
              </w:rPr>
              <w:t>江苏油田分公司</w:t>
            </w:r>
            <w:r>
              <w:rPr>
                <w:rFonts w:hint="default" w:ascii="Times New Roman" w:hAnsi="Times New Roman" w:eastAsia="宋体"/>
                <w:color w:val="auto"/>
                <w:shd w:val="clear"/>
                <w:lang w:val="en-US" w:eastAsia="zh-CN"/>
              </w:rPr>
              <w:t>“</w:t>
            </w:r>
            <w:r>
              <w:rPr>
                <w:rFonts w:hint="eastAsia" w:ascii="Times New Roman" w:hAnsi="Times New Roman" w:eastAsia="宋体"/>
                <w:color w:val="auto"/>
                <w:shd w:val="clear"/>
                <w:lang w:val="en-US" w:eastAsia="zh-CN"/>
              </w:rPr>
              <w:t>十四五</w:t>
            </w:r>
            <w:r>
              <w:rPr>
                <w:rFonts w:hint="default" w:ascii="Times New Roman" w:hAnsi="Times New Roman" w:eastAsia="宋体"/>
                <w:color w:val="auto"/>
                <w:shd w:val="clear"/>
                <w:lang w:val="en-US" w:eastAsia="zh-CN"/>
              </w:rPr>
              <w:t>”</w:t>
            </w:r>
            <w:r>
              <w:rPr>
                <w:rFonts w:hint="eastAsia" w:ascii="Times New Roman" w:hAnsi="Times New Roman" w:eastAsia="宋体"/>
                <w:color w:val="auto"/>
                <w:shd w:val="clear"/>
                <w:lang w:val="en-US" w:eastAsia="zh-CN"/>
              </w:rPr>
              <w:t>油气发</w:t>
            </w:r>
            <w:r>
              <w:rPr>
                <w:rFonts w:hint="eastAsia" w:ascii="Times New Roman" w:hAnsi="Times New Roman" w:eastAsia="宋体"/>
                <w:color w:val="auto"/>
                <w:lang w:val="en-US" w:eastAsia="zh-CN"/>
              </w:rPr>
              <w:t>展规划方案（勘探专项）</w:t>
            </w:r>
            <w:r>
              <w:rPr>
                <w:rFonts w:hint="eastAsia" w:ascii="Times New Roman" w:hAnsi="Times New Roman" w:eastAsia="宋体"/>
                <w:color w:val="auto"/>
              </w:rPr>
              <w:t>》的相关要求。</w:t>
            </w:r>
          </w:p>
          <w:p w14:paraId="6D2FF0B9">
            <w:pPr>
              <w:pStyle w:val="2"/>
              <w:ind w:firstLine="482" w:firstLineChars="200"/>
              <w:rPr>
                <w:rFonts w:ascii="Times New Roman" w:hAnsi="Times New Roman" w:eastAsia="宋体"/>
                <w:color w:val="auto"/>
              </w:rPr>
            </w:pPr>
            <w:r>
              <w:rPr>
                <w:rFonts w:hint="eastAsia" w:ascii="Times New Roman" w:hAnsi="Times New Roman" w:eastAsia="宋体"/>
                <w:color w:val="auto"/>
                <w:lang w:val="en-US" w:eastAsia="zh-CN"/>
              </w:rPr>
              <w:t>2、</w:t>
            </w:r>
            <w:r>
              <w:rPr>
                <w:rFonts w:hint="eastAsia" w:ascii="Times New Roman" w:hAnsi="Times New Roman" w:eastAsia="宋体"/>
                <w:color w:val="auto"/>
              </w:rPr>
              <w:t>与《</w:t>
            </w:r>
            <w:r>
              <w:rPr>
                <w:rFonts w:hint="default" w:ascii="Times New Roman" w:hAnsi="Times New Roman" w:eastAsia="宋体" w:cs="Times New Roman"/>
                <w:color w:val="auto"/>
              </w:rPr>
              <w:t>“</w:t>
            </w:r>
            <w:r>
              <w:rPr>
                <w:rFonts w:hint="eastAsia" w:ascii="Times New Roman" w:hAnsi="Times New Roman" w:eastAsia="宋体"/>
                <w:color w:val="auto"/>
              </w:rPr>
              <w:t>十</w:t>
            </w:r>
            <w:r>
              <w:rPr>
                <w:rFonts w:hint="eastAsia" w:ascii="Times New Roman" w:hAnsi="Times New Roman" w:eastAsia="宋体"/>
                <w:color w:val="auto"/>
                <w:lang w:val="en-US" w:eastAsia="zh-CN"/>
              </w:rPr>
              <w:t>四</w:t>
            </w:r>
            <w:r>
              <w:rPr>
                <w:rFonts w:hint="eastAsia" w:ascii="Times New Roman" w:hAnsi="Times New Roman" w:eastAsia="宋体"/>
                <w:color w:val="auto"/>
              </w:rPr>
              <w:t>五</w:t>
            </w:r>
            <w:r>
              <w:rPr>
                <w:rFonts w:hint="default" w:ascii="Times New Roman" w:hAnsi="Times New Roman" w:eastAsia="宋体" w:cs="Times New Roman"/>
                <w:color w:val="auto"/>
              </w:rPr>
              <w:t>”</w:t>
            </w:r>
            <w:r>
              <w:rPr>
                <w:rFonts w:hint="eastAsia" w:ascii="Times New Roman" w:hAnsi="Times New Roman" w:eastAsia="宋体"/>
                <w:color w:val="auto"/>
                <w:lang w:val="en-US" w:eastAsia="zh-CN"/>
              </w:rPr>
              <w:t>现代能源体系</w:t>
            </w:r>
            <w:r>
              <w:rPr>
                <w:rFonts w:hint="eastAsia" w:ascii="Times New Roman" w:hAnsi="Times New Roman" w:eastAsia="宋体"/>
                <w:color w:val="auto"/>
              </w:rPr>
              <w:t>规划》相符性分析</w:t>
            </w:r>
          </w:p>
          <w:p w14:paraId="5027C01D">
            <w:pPr>
              <w:pStyle w:val="3"/>
              <w:ind w:firstLine="480"/>
              <w:rPr>
                <w:rFonts w:ascii="Times New Roman" w:hAnsi="Times New Roman" w:eastAsia="宋体"/>
                <w:color w:val="auto"/>
              </w:rPr>
            </w:pPr>
            <w:r>
              <w:rPr>
                <w:rFonts w:hint="eastAsia" w:ascii="Times New Roman" w:hAnsi="Times New Roman" w:eastAsia="宋体"/>
                <w:color w:val="auto"/>
              </w:rPr>
              <w:t>相关规划内容：石油产量稳中有升</w:t>
            </w:r>
            <w:r>
              <w:rPr>
                <w:rFonts w:hint="eastAsia" w:ascii="Times New Roman" w:hAnsi="Times New Roman" w:eastAsia="宋体"/>
                <w:color w:val="auto"/>
                <w:lang w:eastAsia="zh-CN"/>
              </w:rPr>
              <w:t>，</w:t>
            </w:r>
            <w:r>
              <w:rPr>
                <w:rFonts w:hint="eastAsia" w:ascii="Times New Roman" w:hAnsi="Times New Roman" w:eastAsia="宋体"/>
                <w:color w:val="auto"/>
              </w:rPr>
              <w:t>力争2022年回升到2亿吨水平并较长时期稳产。天然气产量快速增长，力争2025年达到2300亿立方米以上</w:t>
            </w:r>
            <w:r>
              <w:rPr>
                <w:rFonts w:hint="eastAsia" w:ascii="Times New Roman" w:hAnsi="Times New Roman" w:eastAsia="宋体"/>
                <w:color w:val="auto"/>
                <w:lang w:eastAsia="zh-CN"/>
              </w:rPr>
              <w:t>。加强中西部地区和海域风险勘探，强化东部老区精细勘探。</w:t>
            </w:r>
          </w:p>
          <w:p w14:paraId="101C2C72">
            <w:pPr>
              <w:pStyle w:val="3"/>
              <w:ind w:firstLine="480"/>
              <w:rPr>
                <w:rFonts w:hint="eastAsia" w:ascii="Times New Roman" w:hAnsi="Times New Roman" w:eastAsia="宋体"/>
                <w:color w:val="auto"/>
              </w:rPr>
            </w:pPr>
            <w:r>
              <w:rPr>
                <w:rFonts w:hint="eastAsia" w:ascii="Times New Roman" w:hAnsi="Times New Roman" w:eastAsia="宋体"/>
                <w:color w:val="auto"/>
              </w:rPr>
              <w:t>本项目</w:t>
            </w:r>
            <w:r>
              <w:rPr>
                <w:rFonts w:hint="eastAsia" w:ascii="Times New Roman" w:hAnsi="Times New Roman" w:eastAsia="宋体" w:cs="宋体"/>
                <w:color w:val="auto"/>
              </w:rPr>
              <w:t>为提升油</w:t>
            </w:r>
            <w:r>
              <w:rPr>
                <w:rFonts w:hint="eastAsia" w:ascii="Times New Roman" w:hAnsi="Times New Roman" w:eastAsia="宋体" w:cs="宋体"/>
                <w:color w:val="auto"/>
                <w:lang w:val="en-US" w:eastAsia="zh-CN"/>
              </w:rPr>
              <w:t>气</w:t>
            </w:r>
            <w:r>
              <w:rPr>
                <w:rFonts w:hint="eastAsia" w:ascii="Times New Roman" w:hAnsi="Times New Roman" w:eastAsia="宋体" w:cs="宋体"/>
                <w:color w:val="auto"/>
              </w:rPr>
              <w:t>产</w:t>
            </w:r>
            <w:r>
              <w:rPr>
                <w:rFonts w:hint="eastAsia" w:ascii="Times New Roman" w:hAnsi="Times New Roman" w:eastAsia="宋体" w:cs="宋体"/>
                <w:color w:val="auto"/>
                <w:lang w:val="en-US" w:eastAsia="zh-CN"/>
              </w:rPr>
              <w:t>量</w:t>
            </w:r>
            <w:r>
              <w:rPr>
                <w:rFonts w:hint="eastAsia" w:ascii="Times New Roman" w:hAnsi="Times New Roman" w:eastAsia="宋体" w:cs="宋体"/>
                <w:color w:val="auto"/>
              </w:rPr>
              <w:t>而开展的油</w:t>
            </w:r>
            <w:r>
              <w:rPr>
                <w:rFonts w:hint="eastAsia" w:ascii="Times New Roman" w:hAnsi="Times New Roman" w:eastAsia="宋体" w:cs="宋体"/>
                <w:color w:val="auto"/>
                <w:lang w:val="en-US" w:eastAsia="zh-CN"/>
              </w:rPr>
              <w:t>气资源</w:t>
            </w:r>
            <w:r>
              <w:rPr>
                <w:rFonts w:hint="eastAsia" w:ascii="Times New Roman" w:hAnsi="Times New Roman" w:eastAsia="宋体" w:cs="宋体"/>
                <w:color w:val="auto"/>
              </w:rPr>
              <w:t>勘探项目</w:t>
            </w:r>
            <w:r>
              <w:rPr>
                <w:rFonts w:hint="eastAsia" w:ascii="Times New Roman" w:hAnsi="Times New Roman" w:eastAsia="宋体" w:cs="宋体"/>
                <w:color w:val="auto"/>
                <w:lang w:eastAsia="zh-CN"/>
              </w:rPr>
              <w:t>，</w:t>
            </w:r>
            <w:r>
              <w:rPr>
                <w:rFonts w:hint="eastAsia" w:ascii="Times New Roman" w:hAnsi="Times New Roman" w:eastAsia="宋体" w:cs="宋体"/>
                <w:color w:val="auto"/>
                <w:lang w:val="en-US" w:eastAsia="zh-CN"/>
              </w:rPr>
              <w:t>属于强化东部老区精细勘探的项目，</w:t>
            </w:r>
            <w:r>
              <w:rPr>
                <w:rFonts w:hint="eastAsia" w:ascii="Times New Roman" w:hAnsi="Times New Roman" w:eastAsia="宋体"/>
                <w:color w:val="auto"/>
              </w:rPr>
              <w:t>符合《</w:t>
            </w:r>
            <w:r>
              <w:rPr>
                <w:rFonts w:hint="default" w:ascii="Times New Roman" w:hAnsi="Times New Roman" w:eastAsia="宋体" w:cs="Times New Roman"/>
                <w:color w:val="auto"/>
              </w:rPr>
              <w:t>“</w:t>
            </w:r>
            <w:r>
              <w:rPr>
                <w:rFonts w:hint="eastAsia" w:ascii="Times New Roman" w:hAnsi="Times New Roman" w:eastAsia="宋体"/>
                <w:color w:val="auto"/>
              </w:rPr>
              <w:t>十</w:t>
            </w:r>
            <w:r>
              <w:rPr>
                <w:rFonts w:hint="eastAsia" w:ascii="Times New Roman" w:hAnsi="Times New Roman" w:eastAsia="宋体"/>
                <w:color w:val="auto"/>
                <w:lang w:val="en-US" w:eastAsia="zh-CN"/>
              </w:rPr>
              <w:t>四</w:t>
            </w:r>
            <w:r>
              <w:rPr>
                <w:rFonts w:hint="eastAsia" w:ascii="Times New Roman" w:hAnsi="Times New Roman" w:eastAsia="宋体"/>
                <w:color w:val="auto"/>
              </w:rPr>
              <w:t>五</w:t>
            </w:r>
            <w:r>
              <w:rPr>
                <w:rFonts w:hint="default" w:ascii="Times New Roman" w:hAnsi="Times New Roman" w:eastAsia="宋体" w:cs="Times New Roman"/>
                <w:color w:val="auto"/>
              </w:rPr>
              <w:t>”</w:t>
            </w:r>
            <w:r>
              <w:rPr>
                <w:rFonts w:hint="eastAsia" w:ascii="Times New Roman" w:hAnsi="Times New Roman" w:eastAsia="宋体"/>
                <w:color w:val="auto"/>
                <w:lang w:val="en-US" w:eastAsia="zh-CN"/>
              </w:rPr>
              <w:t>现代能源体系</w:t>
            </w:r>
            <w:r>
              <w:rPr>
                <w:rFonts w:hint="eastAsia" w:ascii="Times New Roman" w:hAnsi="Times New Roman" w:eastAsia="宋体"/>
                <w:color w:val="auto"/>
              </w:rPr>
              <w:t>规划》</w:t>
            </w:r>
            <w:r>
              <w:rPr>
                <w:rFonts w:hint="eastAsia" w:ascii="Times New Roman" w:hAnsi="Times New Roman" w:eastAsia="宋体"/>
                <w:color w:val="auto"/>
                <w:lang w:val="en-US" w:eastAsia="zh-CN"/>
              </w:rPr>
              <w:t>的</w:t>
            </w:r>
            <w:r>
              <w:rPr>
                <w:rFonts w:hint="eastAsia" w:ascii="Times New Roman" w:hAnsi="Times New Roman" w:eastAsia="宋体"/>
                <w:color w:val="auto"/>
              </w:rPr>
              <w:t>相关要求。</w:t>
            </w:r>
          </w:p>
          <w:p w14:paraId="6BB4BD99">
            <w:pPr>
              <w:pStyle w:val="3"/>
              <w:ind w:firstLine="480"/>
              <w:rPr>
                <w:rFonts w:ascii="Times New Roman" w:hAnsi="Times New Roman" w:eastAsia="宋体"/>
                <w:b/>
                <w:bCs/>
                <w:color w:val="auto"/>
              </w:rPr>
            </w:pPr>
            <w:r>
              <w:rPr>
                <w:rFonts w:hint="eastAsia" w:ascii="Times New Roman" w:hAnsi="Times New Roman" w:eastAsia="宋体"/>
                <w:b/>
                <w:bCs/>
                <w:color w:val="auto"/>
                <w:lang w:val="en-US" w:eastAsia="zh-CN"/>
              </w:rPr>
              <w:t>3</w:t>
            </w:r>
            <w:r>
              <w:rPr>
                <w:rFonts w:hint="eastAsia" w:ascii="Times New Roman" w:hAnsi="Times New Roman" w:eastAsia="宋体"/>
                <w:b/>
                <w:bCs/>
                <w:color w:val="auto"/>
              </w:rPr>
              <w:t>、与土地利用总体规划相符性分析</w:t>
            </w:r>
          </w:p>
          <w:p w14:paraId="5A17E789">
            <w:pPr>
              <w:pStyle w:val="3"/>
              <w:ind w:firstLine="480"/>
              <w:rPr>
                <w:rFonts w:ascii="Times New Roman" w:hAnsi="Times New Roman" w:eastAsia="宋体" w:cs="宋体"/>
                <w:color w:val="auto"/>
              </w:rPr>
            </w:pPr>
            <w:r>
              <w:rPr>
                <w:rFonts w:hint="eastAsia" w:ascii="Times New Roman" w:hAnsi="Times New Roman" w:eastAsia="宋体" w:cs="宋体"/>
                <w:color w:val="auto"/>
              </w:rPr>
              <w:t>根据《高邮市土地利用总体规划》（</w:t>
            </w:r>
            <w:r>
              <w:rPr>
                <w:rFonts w:ascii="Times New Roman" w:hAnsi="Times New Roman" w:eastAsia="宋体"/>
                <w:color w:val="auto"/>
              </w:rPr>
              <w:t>2006~2020</w:t>
            </w:r>
            <w:r>
              <w:rPr>
                <w:rFonts w:hint="eastAsia" w:ascii="Times New Roman" w:hAnsi="Times New Roman" w:eastAsia="宋体" w:cs="宋体"/>
                <w:color w:val="auto"/>
              </w:rPr>
              <w:t>年）中第</w:t>
            </w:r>
            <w:r>
              <w:rPr>
                <w:rFonts w:ascii="Times New Roman" w:hAnsi="Times New Roman" w:eastAsia="宋体"/>
                <w:color w:val="auto"/>
              </w:rPr>
              <w:t>48</w:t>
            </w:r>
            <w:r>
              <w:rPr>
                <w:rFonts w:hint="eastAsia" w:ascii="Times New Roman" w:hAnsi="Times New Roman" w:eastAsia="宋体" w:cs="宋体"/>
                <w:color w:val="auto"/>
              </w:rPr>
              <w:t>条</w:t>
            </w:r>
            <w:r>
              <w:rPr>
                <w:rFonts w:ascii="Times New Roman" w:hAnsi="Times New Roman" w:eastAsia="宋体"/>
                <w:color w:val="auto"/>
              </w:rPr>
              <w:t>“</w:t>
            </w:r>
            <w:r>
              <w:rPr>
                <w:rFonts w:hint="eastAsia" w:ascii="Times New Roman" w:hAnsi="Times New Roman" w:eastAsia="宋体" w:cs="宋体"/>
                <w:color w:val="auto"/>
              </w:rPr>
              <w:t>除法律规定的能源、交通、水利、军事设施等国家重点建设项目选址无法避让的外，其他任何建设都不得占用，坚决防止永久基本农田</w:t>
            </w:r>
            <w:r>
              <w:rPr>
                <w:rFonts w:ascii="Times New Roman" w:hAnsi="Times New Roman" w:eastAsia="宋体"/>
                <w:color w:val="auto"/>
              </w:rPr>
              <w:t>“</w:t>
            </w:r>
            <w:r>
              <w:rPr>
                <w:rFonts w:hint="eastAsia" w:ascii="Times New Roman" w:hAnsi="Times New Roman" w:eastAsia="宋体" w:cs="宋体"/>
                <w:color w:val="auto"/>
              </w:rPr>
              <w:t>非农化</w:t>
            </w:r>
            <w:r>
              <w:rPr>
                <w:rFonts w:ascii="Times New Roman" w:hAnsi="Times New Roman" w:eastAsia="宋体"/>
                <w:color w:val="auto"/>
              </w:rPr>
              <w:t>”</w:t>
            </w:r>
            <w:r>
              <w:rPr>
                <w:rFonts w:hint="eastAsia" w:ascii="Times New Roman" w:hAnsi="Times New Roman" w:eastAsia="宋体" w:cs="宋体"/>
                <w:color w:val="auto"/>
              </w:rPr>
              <w:t>。符合法定条件的确需占用和改变永久基本农田用途的，按法定程序办理。</w:t>
            </w:r>
          </w:p>
          <w:p w14:paraId="0CC9A6BB">
            <w:pPr>
              <w:pStyle w:val="3"/>
              <w:ind w:firstLine="480"/>
              <w:rPr>
                <w:rFonts w:ascii="Times New Roman" w:hAnsi="Times New Roman" w:eastAsia="宋体"/>
                <w:color w:val="auto"/>
              </w:rPr>
            </w:pPr>
            <w:r>
              <w:rPr>
                <w:rFonts w:hint="eastAsia" w:ascii="Times New Roman" w:hAnsi="Times New Roman" w:eastAsia="宋体" w:cs="Times New Roman"/>
                <w:color w:val="auto"/>
              </w:rPr>
              <w:t>本项目为石油勘探项目，属能源基础设施项目，涉及的勘探井位于探矿权范围内（探矿权证详见附件4），</w:t>
            </w:r>
            <w:r>
              <w:rPr>
                <w:rFonts w:hint="eastAsia" w:ascii="Times New Roman" w:hAnsi="Times New Roman" w:eastAsia="宋体" w:cs="Times New Roman"/>
                <w:color w:val="auto"/>
                <w:lang w:val="en-US" w:eastAsia="zh-CN"/>
              </w:rPr>
              <w:t>本项目</w:t>
            </w:r>
            <w:r>
              <w:rPr>
                <w:rFonts w:hint="eastAsia" w:ascii="Times New Roman" w:hAnsi="Times New Roman" w:eastAsia="宋体" w:cs="Times New Roman"/>
                <w:color w:val="auto"/>
              </w:rPr>
              <w:t>在做好</w:t>
            </w:r>
            <w:r>
              <w:rPr>
                <w:rFonts w:hint="eastAsia" w:ascii="Times New Roman" w:hAnsi="Times New Roman" w:eastAsia="宋体" w:cs="Times New Roman"/>
                <w:color w:val="auto"/>
                <w:lang w:val="en-US" w:eastAsia="zh-CN"/>
              </w:rPr>
              <w:t>周围</w:t>
            </w:r>
            <w:r>
              <w:rPr>
                <w:rFonts w:hint="eastAsia" w:ascii="Times New Roman" w:hAnsi="Times New Roman" w:eastAsia="宋体" w:cs="Times New Roman"/>
                <w:color w:val="auto"/>
              </w:rPr>
              <w:t>群众工作的前提下，</w:t>
            </w:r>
            <w:r>
              <w:rPr>
                <w:rFonts w:hint="eastAsia" w:ascii="Times New Roman" w:hAnsi="Times New Roman" w:eastAsia="宋体" w:cs="Times New Roman"/>
                <w:color w:val="auto"/>
                <w:lang w:val="en-US" w:eastAsia="zh-CN"/>
              </w:rPr>
              <w:t>在开工前会办理</w:t>
            </w:r>
            <w:r>
              <w:rPr>
                <w:rFonts w:hint="eastAsia" w:ascii="Times New Roman" w:hAnsi="Times New Roman" w:eastAsia="宋体" w:cs="Times New Roman"/>
                <w:color w:val="auto"/>
              </w:rPr>
              <w:t>临时用地手续，</w:t>
            </w:r>
            <w:r>
              <w:rPr>
                <w:rFonts w:hint="eastAsia" w:ascii="Times New Roman" w:hAnsi="Times New Roman" w:eastAsia="宋体" w:cs="Times New Roman"/>
                <w:color w:val="auto"/>
                <w:lang w:val="en-US" w:eastAsia="zh-CN"/>
              </w:rPr>
              <w:t>并</w:t>
            </w:r>
            <w:r>
              <w:rPr>
                <w:rFonts w:hint="eastAsia" w:ascii="Times New Roman" w:hAnsi="Times New Roman" w:eastAsia="宋体" w:cs="Times New Roman"/>
                <w:color w:val="auto"/>
              </w:rPr>
              <w:t>及时缴纳临时使用土地补偿费，临时用地期满</w:t>
            </w:r>
            <w:r>
              <w:rPr>
                <w:rFonts w:hint="eastAsia" w:ascii="Times New Roman" w:hAnsi="Times New Roman" w:eastAsia="宋体" w:cs="Times New Roman"/>
                <w:color w:val="auto"/>
                <w:lang w:val="en-US" w:eastAsia="zh-CN"/>
              </w:rPr>
              <w:t>后</w:t>
            </w:r>
            <w:r>
              <w:rPr>
                <w:rFonts w:hint="eastAsia" w:ascii="Times New Roman" w:hAnsi="Times New Roman" w:eastAsia="宋体" w:cs="Times New Roman"/>
                <w:color w:val="auto"/>
              </w:rPr>
              <w:t>，未确定为建设用地的，</w:t>
            </w:r>
            <w:r>
              <w:rPr>
                <w:rFonts w:hint="eastAsia" w:ascii="Times New Roman" w:hAnsi="Times New Roman" w:eastAsia="宋体" w:cs="Times New Roman"/>
                <w:color w:val="auto"/>
                <w:lang w:val="en-US" w:eastAsia="zh-CN"/>
              </w:rPr>
              <w:t>会</w:t>
            </w:r>
            <w:r>
              <w:rPr>
                <w:rFonts w:hint="eastAsia" w:ascii="Times New Roman" w:hAnsi="Times New Roman" w:eastAsia="宋体" w:cs="Times New Roman"/>
                <w:color w:val="auto"/>
              </w:rPr>
              <w:t>及时复垦还耕。</w:t>
            </w:r>
          </w:p>
        </w:tc>
      </w:tr>
      <w:tr w14:paraId="445035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91" w:hRule="atLeast"/>
        </w:trPr>
        <w:tc>
          <w:tcPr>
            <w:tcW w:w="655" w:type="pct"/>
            <w:tcMar>
              <w:top w:w="16" w:type="dxa"/>
              <w:left w:w="16" w:type="dxa"/>
              <w:right w:w="16" w:type="dxa"/>
            </w:tcMar>
            <w:vAlign w:val="center"/>
          </w:tcPr>
          <w:p w14:paraId="03690BA3">
            <w:pPr>
              <w:autoSpaceDE w:val="0"/>
              <w:autoSpaceDN w:val="0"/>
              <w:adjustRightInd w:val="0"/>
              <w:snapToGrid w:val="0"/>
              <w:jc w:val="center"/>
              <w:rPr>
                <w:rFonts w:ascii="Times New Roman" w:hAnsi="Times New Roman" w:eastAsia="宋体"/>
                <w:color w:val="auto"/>
                <w:kern w:val="0"/>
                <w:sz w:val="24"/>
              </w:rPr>
            </w:pPr>
            <w:bookmarkStart w:id="1" w:name="_Hlk56690880"/>
            <w:r>
              <w:rPr>
                <w:rFonts w:ascii="Times New Roman" w:hAnsi="Times New Roman" w:eastAsia="宋体"/>
                <w:color w:val="auto"/>
                <w:kern w:val="0"/>
                <w:sz w:val="24"/>
              </w:rPr>
              <w:t>其他符合性分析</w:t>
            </w:r>
            <w:bookmarkEnd w:id="1"/>
          </w:p>
        </w:tc>
        <w:tc>
          <w:tcPr>
            <w:tcW w:w="4344" w:type="pct"/>
            <w:tcMar>
              <w:top w:w="16" w:type="dxa"/>
              <w:left w:w="16" w:type="dxa"/>
              <w:right w:w="16" w:type="dxa"/>
            </w:tcMar>
          </w:tcPr>
          <w:p w14:paraId="23D862A0">
            <w:pPr>
              <w:pStyle w:val="2"/>
              <w:ind w:firstLine="482" w:firstLineChars="200"/>
              <w:rPr>
                <w:rFonts w:ascii="Times New Roman" w:hAnsi="Times New Roman" w:eastAsia="宋体"/>
                <w:color w:val="auto"/>
              </w:rPr>
            </w:pPr>
            <w:r>
              <w:rPr>
                <w:rFonts w:hint="eastAsia" w:ascii="Times New Roman" w:hAnsi="Times New Roman" w:eastAsia="宋体"/>
                <w:color w:val="auto"/>
              </w:rPr>
              <w:t>1、相关生态环境保护法律法规政策、生态环境保护规划的符合性分析</w:t>
            </w:r>
          </w:p>
          <w:p w14:paraId="1A122E3D">
            <w:pPr>
              <w:pStyle w:val="3"/>
              <w:ind w:left="0" w:leftChars="0" w:firstLine="480" w:firstLineChars="200"/>
              <w:rPr>
                <w:rFonts w:hint="eastAsia" w:ascii="Times New Roman" w:hAnsi="Times New Roman" w:eastAsia="宋体" w:cs="宋体"/>
                <w:color w:val="auto"/>
              </w:rPr>
            </w:pPr>
            <w:r>
              <w:rPr>
                <w:rFonts w:hint="eastAsia" w:ascii="Times New Roman" w:hAnsi="Times New Roman" w:eastAsia="宋体"/>
                <w:color w:val="auto"/>
              </w:rPr>
              <w:t>（1）与《关于进一步加强石油天然气行业环境影响评价管理的通知》（环办环评函</w:t>
            </w:r>
            <w:r>
              <w:rPr>
                <w:rFonts w:hint="default" w:ascii="Times New Roman" w:hAnsi="Times New Roman" w:eastAsia="宋体" w:cs="Times New Roman"/>
                <w:color w:val="auto"/>
              </w:rPr>
              <w:t>〔2019〕910</w:t>
            </w:r>
            <w:r>
              <w:rPr>
                <w:rFonts w:hint="eastAsia" w:ascii="Times New Roman" w:hAnsi="Times New Roman" w:eastAsia="宋体"/>
                <w:color w:val="auto"/>
              </w:rPr>
              <w:t>号）符合性分析</w:t>
            </w:r>
          </w:p>
          <w:p w14:paraId="1C62B1A4">
            <w:pPr>
              <w:pStyle w:val="2"/>
              <w:keepNext/>
              <w:keepLines/>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b w:val="0"/>
                <w:bCs/>
                <w:color w:val="auto"/>
                <w:lang w:eastAsia="zh-CN"/>
              </w:rPr>
            </w:pPr>
            <w:r>
              <w:rPr>
                <w:rFonts w:hint="eastAsia" w:ascii="Times New Roman" w:hAnsi="Times New Roman" w:eastAsia="宋体"/>
                <w:b w:val="0"/>
                <w:bCs/>
                <w:color w:val="auto"/>
                <w:lang w:eastAsia="zh-CN"/>
              </w:rPr>
              <w:t>根据《关于进一步加强石油天然气行业环境影响评价管理的通知》：未确定产能建设规模的陆地油气开采新区块，建设勘探井应当依法编制环境影响报告表。</w:t>
            </w:r>
          </w:p>
          <w:p w14:paraId="27695AB0">
            <w:pPr>
              <w:pStyle w:val="2"/>
              <w:keepNext/>
              <w:keepLines/>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b w:val="0"/>
                <w:bCs/>
                <w:color w:val="auto"/>
                <w:lang w:eastAsia="zh-CN"/>
              </w:rPr>
            </w:pPr>
            <w:r>
              <w:rPr>
                <w:rFonts w:hint="eastAsia" w:ascii="Times New Roman" w:hAnsi="Times New Roman" w:eastAsia="宋体" w:cs="Times New Roman"/>
                <w:b w:val="0"/>
                <w:bCs/>
                <w:color w:val="auto"/>
                <w:lang w:val="en-US" w:eastAsia="zh-CN"/>
              </w:rPr>
              <w:t>沙105、沙86斜井</w:t>
            </w:r>
            <w:r>
              <w:rPr>
                <w:rFonts w:hint="eastAsia" w:ascii="Times New Roman" w:hAnsi="Times New Roman" w:eastAsia="宋体" w:cs="Times New Roman"/>
                <w:b w:val="0"/>
                <w:bCs/>
                <w:color w:val="auto"/>
                <w:lang w:eastAsia="zh-CN"/>
              </w:rPr>
              <w:t>属于中国石油化工集团有限公司</w:t>
            </w:r>
            <w:r>
              <w:rPr>
                <w:rFonts w:hint="eastAsia" w:ascii="Times New Roman" w:hAnsi="Times New Roman" w:eastAsia="宋体" w:cs="Times New Roman"/>
                <w:b w:val="0"/>
                <w:bCs/>
                <w:color w:val="auto"/>
                <w:lang w:val="en-US" w:eastAsia="zh-CN"/>
              </w:rPr>
              <w:t>2024</w:t>
            </w:r>
            <w:r>
              <w:rPr>
                <w:rFonts w:hint="eastAsia" w:ascii="Times New Roman" w:hAnsi="Times New Roman" w:eastAsia="宋体" w:cs="Times New Roman"/>
                <w:b w:val="0"/>
                <w:bCs/>
                <w:color w:val="auto"/>
                <w:lang w:eastAsia="zh-CN"/>
              </w:rPr>
              <w:t>年在江苏省油气开发产能建设项目—江苏油田分公司江苏油区苏北盆地高邮凹陷新区产能建设项目的一部分（详见附件</w:t>
            </w:r>
            <w:r>
              <w:rPr>
                <w:rFonts w:hint="eastAsia" w:ascii="Times New Roman" w:hAnsi="Times New Roman" w:eastAsia="宋体" w:cs="Times New Roman"/>
                <w:b w:val="0"/>
                <w:bCs/>
                <w:color w:val="auto"/>
                <w:lang w:val="en-US" w:eastAsia="zh-CN"/>
              </w:rPr>
              <w:t>3</w:t>
            </w:r>
            <w:r>
              <w:rPr>
                <w:rFonts w:hint="eastAsia" w:ascii="Times New Roman" w:hAnsi="Times New Roman" w:eastAsia="宋体" w:cs="Times New Roman"/>
                <w:b w:val="0"/>
                <w:bCs/>
                <w:color w:val="auto"/>
                <w:lang w:eastAsia="zh-CN"/>
              </w:rPr>
              <w:t>），</w:t>
            </w:r>
            <w:r>
              <w:rPr>
                <w:rFonts w:hint="eastAsia" w:ascii="Times New Roman" w:hAnsi="Times New Roman" w:eastAsia="宋体" w:cs="Times New Roman"/>
                <w:b w:val="0"/>
                <w:bCs/>
                <w:color w:val="auto"/>
                <w:lang w:val="en-US" w:eastAsia="zh-CN"/>
              </w:rPr>
              <w:t>位于高邮县汤庄镇</w:t>
            </w:r>
            <w:r>
              <w:rPr>
                <w:rFonts w:hint="eastAsia" w:ascii="Times New Roman" w:hAnsi="Times New Roman" w:eastAsia="宋体" w:cs="Times New Roman"/>
                <w:b w:val="0"/>
                <w:bCs/>
                <w:color w:val="auto"/>
                <w:lang w:eastAsia="zh-CN"/>
              </w:rPr>
              <w:t>内，</w:t>
            </w:r>
            <w:r>
              <w:rPr>
                <w:rFonts w:hint="eastAsia" w:ascii="Times New Roman" w:hAnsi="Times New Roman" w:eastAsia="宋体" w:cs="Times New Roman"/>
                <w:b w:val="0"/>
                <w:bCs/>
                <w:color w:val="auto"/>
                <w:lang w:val="en-US" w:eastAsia="zh-CN"/>
              </w:rPr>
              <w:t>现</w:t>
            </w:r>
            <w:r>
              <w:rPr>
                <w:rFonts w:hint="eastAsia" w:ascii="Times New Roman" w:hAnsi="Times New Roman" w:eastAsia="宋体" w:cs="Times New Roman"/>
                <w:b w:val="0"/>
                <w:bCs/>
                <w:color w:val="auto"/>
                <w:lang w:eastAsia="zh-CN"/>
              </w:rPr>
              <w:t>编制环境影响报告表符合</w:t>
            </w:r>
            <w:r>
              <w:rPr>
                <w:rFonts w:hint="eastAsia" w:ascii="Times New Roman" w:hAnsi="Times New Roman" w:eastAsia="宋体" w:cs="Times New Roman"/>
                <w:b w:val="0"/>
                <w:bCs/>
                <w:color w:val="auto"/>
                <w:lang w:val="en-US" w:eastAsia="zh-CN"/>
              </w:rPr>
              <w:t>该文件</w:t>
            </w:r>
            <w:r>
              <w:rPr>
                <w:rFonts w:hint="eastAsia" w:ascii="Times New Roman" w:hAnsi="Times New Roman" w:eastAsia="宋体" w:cs="Times New Roman"/>
                <w:b w:val="0"/>
                <w:bCs/>
                <w:color w:val="auto"/>
                <w:lang w:eastAsia="zh-CN"/>
              </w:rPr>
              <w:t>要求。</w:t>
            </w:r>
          </w:p>
          <w:p w14:paraId="11377C85">
            <w:pPr>
              <w:pStyle w:val="3"/>
              <w:numPr>
                <w:ilvl w:val="0"/>
                <w:numId w:val="0"/>
              </w:numPr>
              <w:ind w:left="0" w:leftChars="0" w:firstLine="480" w:firstLineChars="200"/>
              <w:rPr>
                <w:rFonts w:hint="eastAsia" w:ascii="Times New Roman" w:hAnsi="Times New Roman" w:eastAsia="宋体"/>
                <w:color w:val="auto"/>
              </w:rPr>
            </w:pPr>
            <w:r>
              <w:rPr>
                <w:rFonts w:hint="eastAsia" w:ascii="Times New Roman" w:hAnsi="Times New Roman" w:eastAsia="宋体" w:cs="Times New Roman"/>
                <w:color w:val="auto"/>
                <w:kern w:val="0"/>
                <w:sz w:val="24"/>
                <w:szCs w:val="24"/>
                <w:lang w:val="en-US" w:eastAsia="zh-CN" w:bidi="ar-SA"/>
              </w:rPr>
              <w:t>（2）</w:t>
            </w:r>
            <w:r>
              <w:rPr>
                <w:rFonts w:hint="eastAsia" w:ascii="Times New Roman" w:hAnsi="Times New Roman" w:eastAsia="宋体"/>
                <w:color w:val="auto"/>
              </w:rPr>
              <w:t>与《石油天然气开采业污染防治技术政策》</w:t>
            </w:r>
            <w:r>
              <w:rPr>
                <w:rFonts w:hint="eastAsia" w:ascii="Times New Roman" w:hAnsi="Times New Roman" w:eastAsia="宋体"/>
                <w:color w:val="auto"/>
                <w:lang w:eastAsia="zh-CN"/>
              </w:rPr>
              <w:t>（公告2012年第18号）</w:t>
            </w:r>
            <w:r>
              <w:rPr>
                <w:rFonts w:hint="eastAsia" w:ascii="Times New Roman" w:hAnsi="Times New Roman" w:eastAsia="宋体"/>
                <w:color w:val="auto"/>
              </w:rPr>
              <w:t>符合性分析</w:t>
            </w:r>
          </w:p>
          <w:p w14:paraId="5B46BBE9">
            <w:pPr>
              <w:pStyle w:val="2"/>
              <w:ind w:firstLine="480" w:firstLineChars="200"/>
              <w:rPr>
                <w:rFonts w:hint="eastAsia" w:ascii="Times New Roman" w:hAnsi="Times New Roman" w:eastAsia="宋体" w:cs="Times New Roman"/>
                <w:b w:val="0"/>
                <w:bCs/>
                <w:color w:val="auto"/>
              </w:rPr>
            </w:pPr>
            <w:r>
              <w:rPr>
                <w:rFonts w:hint="eastAsia" w:ascii="Times New Roman" w:hAnsi="Times New Roman" w:eastAsia="宋体" w:cs="Times New Roman"/>
                <w:b w:val="0"/>
                <w:bCs/>
                <w:color w:val="auto"/>
              </w:rPr>
              <w:t>根据《石油天然气开采业污染防治技术政策》（公告2012年第18号）中要求：在环境敏感区进行石油天然气勘探、开采的，要在开发前对生态、环境影响进行充分论证，并严格执行环境影响评价文件的要求，积极采取缓解生态、环境破坏的措施。在勘探开发过程中，应防止产生落地原油。其中井下作业过程中应配备泄油器、刮油器等。落地原油应及时回收，落地原油回收率应达到100%。...在油气勘探过程中，宜使用环保型炸药和可控震源，应采取防渗等措施预防燃料泄漏对环境的污染。...在钻井过程中，鼓励采用环境友好的钻井液体系；配备完善的固控设备，钻井液循环率达到95%以上；钻井过程产生的废水应回用。...在井下作业过程中，酸化液和压裂液宜集中配制，酸化残液、压裂残液和返排液应回收利用或进行无害化处置，压裂放喷返排入罐率应达到100%。酸化、压裂作业和试油（气）过程应采取防喷、地面管线防刺、防漏、防溢等措施...在油气勘探过程中，应根据工区测线布设，合理规划行车线路和爆炸点，避让环境敏感区和</w:t>
            </w:r>
          </w:p>
          <w:p w14:paraId="0E8C1F9F">
            <w:pPr>
              <w:pStyle w:val="2"/>
              <w:rPr>
                <w:rFonts w:hint="eastAsia" w:ascii="Times New Roman" w:hAnsi="Times New Roman" w:eastAsia="宋体" w:cs="Times New Roman"/>
                <w:b w:val="0"/>
                <w:bCs/>
                <w:color w:val="auto"/>
              </w:rPr>
            </w:pPr>
            <w:r>
              <w:rPr>
                <w:rFonts w:hint="eastAsia" w:ascii="Times New Roman" w:hAnsi="Times New Roman" w:eastAsia="宋体" w:cs="Times New Roman"/>
                <w:b w:val="0"/>
                <w:bCs/>
                <w:color w:val="auto"/>
              </w:rPr>
              <w:t>环境敏感时间。对爆点地表应立即进行恢复。...在测井过程中，鼓励应用核磁共振测井技术，减少生态破坏；运输测井放射源车辆应加装定位系统。...在钻井和井下作业过程中，鼓励污油、污水进入生产流程循环利用，未进入生产流程的污油、污水应采用固液分离、废水处理一体化装置等处理后达标外排。...固体废物收集、贮存、处理处置设施应按照标准要求采取防渗措施。试油（气）后应立即封闭废弃钻井液贮池。...应回收落地原油，以及原油处理、废水处理产生的油泥</w:t>
            </w:r>
          </w:p>
          <w:p w14:paraId="0E514962">
            <w:pPr>
              <w:pStyle w:val="2"/>
              <w:rPr>
                <w:rFonts w:hint="eastAsia" w:ascii="Times New Roman" w:hAnsi="Times New Roman" w:eastAsia="宋体" w:cs="Times New Roman"/>
                <w:b w:val="0"/>
                <w:bCs/>
                <w:color w:val="auto"/>
              </w:rPr>
            </w:pPr>
            <w:r>
              <w:rPr>
                <w:rFonts w:hint="eastAsia" w:ascii="Times New Roman" w:hAnsi="Times New Roman" w:eastAsia="宋体" w:cs="Times New Roman"/>
                <w:b w:val="0"/>
                <w:bCs/>
                <w:color w:val="auto"/>
              </w:rPr>
              <w:t>（砂）等中的油类物质，含油污泥资源化利用率应达到90%以上，残余固体废物应按照《国家危险废物名录》和危险废物鉴别标准识别，根据识别结果资源化利用或无害化处置。...对受到油污染的土壤宜采取生物或物化方法进行修复。...油气田企业应制定环境保护管理规定，建立并运行健康、安全与环境管理体系。...加强油气田建设、勘探开发过程的环境监督管理。油气田建设过程应开展工程环境监理。...油气田企业应建立环境保护人员培训制度，环境监测人员、统计人员、</w:t>
            </w:r>
          </w:p>
          <w:p w14:paraId="50F79B72">
            <w:pPr>
              <w:pStyle w:val="2"/>
              <w:rPr>
                <w:rFonts w:hint="default" w:ascii="Times New Roman" w:hAnsi="Times New Roman" w:eastAsia="宋体" w:cs="Times New Roman"/>
                <w:b w:val="0"/>
                <w:bCs/>
                <w:color w:val="auto"/>
              </w:rPr>
            </w:pPr>
            <w:r>
              <w:rPr>
                <w:rFonts w:hint="eastAsia" w:ascii="Times New Roman" w:hAnsi="Times New Roman" w:eastAsia="宋体" w:cs="Times New Roman"/>
                <w:b w:val="0"/>
                <w:bCs/>
                <w:color w:val="auto"/>
              </w:rPr>
              <w:t>污染治理设施操作人员应经培训合格后上岗。...油气田企业应对勘探开发过程进行环境风险因素识别，制定突发环境事件应急预案并定期进行演练。应开展特征污染物监测工作，采取环境风险防范和应急措施，防止发生由突发性油气泄漏产生的环境事故。</w:t>
            </w:r>
          </w:p>
          <w:p w14:paraId="3A1D9617">
            <w:pPr>
              <w:pStyle w:val="2"/>
              <w:ind w:firstLine="480" w:firstLineChars="200"/>
              <w:rPr>
                <w:rFonts w:hint="eastAsia" w:ascii="Times New Roman" w:hAnsi="Times New Roman" w:eastAsia="宋体" w:cs="Times New Roman"/>
                <w:b w:val="0"/>
                <w:bCs/>
                <w:color w:val="auto"/>
              </w:rPr>
            </w:pPr>
            <w:r>
              <w:rPr>
                <w:rFonts w:hint="eastAsia" w:ascii="Times New Roman" w:hAnsi="Times New Roman" w:eastAsia="宋体" w:cs="Times New Roman"/>
                <w:b w:val="0"/>
                <w:bCs/>
                <w:color w:val="auto"/>
              </w:rPr>
              <w:t>本项目属于石油勘探项目，拟采取缓解生态、环境破坏的措施</w:t>
            </w:r>
            <w:r>
              <w:rPr>
                <w:rFonts w:hint="eastAsia" w:ascii="Times New Roman" w:hAnsi="Times New Roman" w:eastAsia="宋体" w:cs="Times New Roman"/>
                <w:b w:val="0"/>
                <w:bCs/>
                <w:color w:val="auto"/>
                <w:lang w:eastAsia="zh-CN"/>
              </w:rPr>
              <w:t>，</w:t>
            </w:r>
            <w:r>
              <w:rPr>
                <w:rFonts w:hint="eastAsia" w:ascii="Times New Roman" w:hAnsi="Times New Roman" w:eastAsia="宋体" w:cs="Times New Roman"/>
                <w:b w:val="0"/>
                <w:bCs/>
                <w:color w:val="auto"/>
              </w:rPr>
              <w:t>在勘探过程中</w:t>
            </w:r>
            <w:r>
              <w:rPr>
                <w:rFonts w:hint="eastAsia" w:ascii="Times New Roman" w:hAnsi="Times New Roman" w:eastAsia="宋体" w:cs="Times New Roman"/>
                <w:b w:val="0"/>
                <w:bCs/>
                <w:color w:val="auto"/>
                <w:lang w:val="en-US" w:eastAsia="zh-CN"/>
              </w:rPr>
              <w:t>不会产生落地原油</w:t>
            </w:r>
            <w:r>
              <w:rPr>
                <w:rFonts w:hint="eastAsia" w:ascii="Times New Roman" w:hAnsi="Times New Roman" w:eastAsia="宋体" w:cs="Times New Roman"/>
                <w:b w:val="0"/>
                <w:bCs/>
                <w:color w:val="auto"/>
              </w:rPr>
              <w:t>。在钻井过程中，本项目采用环境友好的</w:t>
            </w:r>
            <w:r>
              <w:rPr>
                <w:rFonts w:hint="eastAsia" w:ascii="Times New Roman" w:hAnsi="Times New Roman" w:eastAsia="宋体" w:cs="Times New Roman"/>
                <w:b w:val="0"/>
                <w:bCs/>
                <w:color w:val="auto"/>
                <w:lang w:val="en-US" w:eastAsia="zh-CN"/>
              </w:rPr>
              <w:t>水基</w:t>
            </w:r>
            <w:r>
              <w:rPr>
                <w:rFonts w:hint="eastAsia" w:ascii="Times New Roman" w:hAnsi="Times New Roman" w:eastAsia="宋体" w:cs="Times New Roman"/>
                <w:b w:val="0"/>
                <w:bCs/>
                <w:color w:val="auto"/>
              </w:rPr>
              <w:t>钻井液，并配备完善的</w:t>
            </w:r>
            <w:r>
              <w:rPr>
                <w:rFonts w:hint="eastAsia" w:ascii="Times New Roman" w:hAnsi="Times New Roman" w:eastAsia="宋体" w:cs="Times New Roman"/>
                <w:b w:val="0"/>
                <w:bCs/>
                <w:color w:val="auto"/>
                <w:lang w:val="en-US" w:eastAsia="zh-CN"/>
              </w:rPr>
              <w:t>泥浆不落地系统</w:t>
            </w:r>
            <w:r>
              <w:rPr>
                <w:rFonts w:hint="eastAsia" w:ascii="Times New Roman" w:hAnsi="Times New Roman" w:eastAsia="宋体" w:cs="Times New Roman"/>
                <w:b w:val="0"/>
                <w:bCs/>
                <w:color w:val="auto"/>
              </w:rPr>
              <w:t>，钻井液循环率达到95%以上；钻井过程产生的废水（</w:t>
            </w:r>
            <w:r>
              <w:rPr>
                <w:rFonts w:hint="eastAsia" w:ascii="Times New Roman" w:hAnsi="Times New Roman" w:eastAsia="宋体" w:cs="Times New Roman"/>
                <w:b w:val="0"/>
                <w:bCs/>
                <w:color w:val="auto"/>
                <w:lang w:val="en-US" w:eastAsia="zh-CN"/>
              </w:rPr>
              <w:t>包括</w:t>
            </w:r>
            <w:r>
              <w:rPr>
                <w:rFonts w:hint="eastAsia" w:ascii="Times New Roman" w:hAnsi="Times New Roman" w:eastAsia="宋体" w:cs="Times New Roman"/>
                <w:b w:val="0"/>
                <w:bCs/>
                <w:color w:val="auto"/>
              </w:rPr>
              <w:t>钻井废水、洗井废水、压裂废水</w:t>
            </w:r>
            <w:r>
              <w:rPr>
                <w:rFonts w:hint="eastAsia" w:ascii="Times New Roman" w:hAnsi="Times New Roman" w:eastAsia="宋体" w:cs="Times New Roman"/>
                <w:b w:val="0"/>
                <w:bCs/>
                <w:color w:val="auto"/>
                <w:lang w:eastAsia="zh-CN"/>
              </w:rPr>
              <w:t>）</w:t>
            </w:r>
            <w:r>
              <w:rPr>
                <w:rFonts w:hint="eastAsia" w:ascii="Times New Roman" w:hAnsi="Times New Roman" w:eastAsia="宋体" w:cs="Times New Roman"/>
                <w:b w:val="0"/>
                <w:bCs/>
                <w:color w:val="auto"/>
              </w:rPr>
              <w:t>由罐车收集后运至附近的</w:t>
            </w:r>
            <w:r>
              <w:rPr>
                <w:rFonts w:hint="eastAsia" w:ascii="Times New Roman" w:hAnsi="Times New Roman" w:eastAsia="宋体" w:cs="Times New Roman"/>
                <w:b w:val="0"/>
                <w:bCs/>
                <w:color w:val="auto"/>
                <w:lang w:val="en-US" w:eastAsia="zh-CN"/>
              </w:rPr>
              <w:t>沙埝</w:t>
            </w:r>
            <w:r>
              <w:rPr>
                <w:rFonts w:hint="eastAsia" w:ascii="Times New Roman" w:hAnsi="Times New Roman" w:eastAsia="宋体" w:cs="Times New Roman"/>
                <w:b w:val="0"/>
                <w:bCs/>
                <w:color w:val="auto"/>
              </w:rPr>
              <w:t>联合站，处理达《碎屑岩油藏注水水质指标技术要求及分析方法》（SY/T5329-2022）标准后用于油田开发注水，不外排。试</w:t>
            </w:r>
            <w:r>
              <w:rPr>
                <w:rFonts w:hint="eastAsia" w:ascii="Times New Roman" w:hAnsi="Times New Roman" w:eastAsia="宋体" w:cs="Times New Roman"/>
                <w:b w:val="0"/>
                <w:bCs/>
                <w:color w:val="auto"/>
                <w:lang w:val="en-US" w:eastAsia="zh-CN"/>
              </w:rPr>
              <w:t>采</w:t>
            </w:r>
            <w:r>
              <w:rPr>
                <w:rFonts w:hint="eastAsia" w:ascii="Times New Roman" w:hAnsi="Times New Roman" w:eastAsia="宋体" w:cs="Times New Roman"/>
                <w:b w:val="0"/>
                <w:bCs/>
                <w:color w:val="auto"/>
              </w:rPr>
              <w:t>过程采取防喷、地面管线防刺、防漏、防溢等措施。在钻井和井下作业过程中，污水进入生产流程循环利用，未进入生产流程的污水采用</w:t>
            </w:r>
            <w:r>
              <w:rPr>
                <w:rFonts w:hint="eastAsia" w:ascii="Times New Roman" w:hAnsi="Times New Roman" w:eastAsia="宋体" w:cs="Times New Roman"/>
                <w:b w:val="0"/>
                <w:bCs/>
                <w:color w:val="auto"/>
                <w:lang w:val="en-US" w:eastAsia="zh-CN"/>
              </w:rPr>
              <w:t>泥浆不落地系统</w:t>
            </w:r>
            <w:r>
              <w:rPr>
                <w:rFonts w:hint="eastAsia" w:ascii="Times New Roman" w:hAnsi="Times New Roman" w:eastAsia="宋体" w:cs="Times New Roman"/>
                <w:b w:val="0"/>
                <w:bCs/>
                <w:color w:val="auto"/>
              </w:rPr>
              <w:t>固液分离</w:t>
            </w:r>
            <w:r>
              <w:rPr>
                <w:rFonts w:hint="eastAsia" w:ascii="Times New Roman" w:hAnsi="Times New Roman" w:eastAsia="宋体" w:cs="Times New Roman"/>
                <w:b w:val="0"/>
                <w:bCs/>
                <w:color w:val="auto"/>
                <w:lang w:val="en-US" w:eastAsia="zh-CN"/>
              </w:rPr>
              <w:t>由罐车拉运至附近沙埝</w:t>
            </w:r>
            <w:r>
              <w:rPr>
                <w:rFonts w:hint="eastAsia" w:ascii="Times New Roman" w:hAnsi="Times New Roman" w:eastAsia="宋体" w:cs="Times New Roman"/>
                <w:b w:val="0"/>
                <w:bCs/>
                <w:color w:val="auto"/>
              </w:rPr>
              <w:t>联合站</w:t>
            </w:r>
            <w:r>
              <w:rPr>
                <w:rFonts w:hint="eastAsia" w:ascii="Times New Roman" w:hAnsi="Times New Roman" w:eastAsia="宋体" w:cs="Times New Roman"/>
                <w:b w:val="0"/>
                <w:bCs/>
                <w:color w:val="auto"/>
                <w:lang w:val="en-US" w:eastAsia="zh-CN"/>
              </w:rPr>
              <w:t>处理达标后回注</w:t>
            </w:r>
            <w:r>
              <w:rPr>
                <w:rFonts w:hint="eastAsia" w:ascii="Times New Roman" w:hAnsi="Times New Roman" w:eastAsia="宋体" w:cs="Times New Roman"/>
                <w:b w:val="0"/>
                <w:bCs/>
                <w:color w:val="auto"/>
              </w:rPr>
              <w:t>。固体废物收集、贮存、处理处置设施应按照标准要求采取防渗措施。试采结束后，具有开采价值的井口保留采油树，试采报废井口拆除试采设备。试采过程中，由井口接密闭的管线进入储罐。整个试采过程中，严禁井筒出来的流体散落到地面，正常工况下不会产生落地油。</w:t>
            </w:r>
          </w:p>
          <w:p w14:paraId="3B1631AD">
            <w:pPr>
              <w:pStyle w:val="2"/>
              <w:ind w:firstLine="480" w:firstLineChars="200"/>
              <w:rPr>
                <w:rFonts w:hint="eastAsia" w:ascii="Times New Roman" w:hAnsi="Times New Roman" w:eastAsia="宋体" w:cs="Times New Roman"/>
                <w:b w:val="0"/>
                <w:bCs/>
                <w:color w:val="auto"/>
              </w:rPr>
            </w:pPr>
            <w:r>
              <w:rPr>
                <w:rFonts w:hint="eastAsia" w:ascii="Times New Roman" w:hAnsi="Times New Roman" w:eastAsia="宋体" w:cs="Times New Roman"/>
                <w:b w:val="0"/>
                <w:bCs/>
                <w:color w:val="auto"/>
              </w:rPr>
              <w:t>油气田企业应制定环境保护管理规定，建立并运行健康、安全与环境管理体系。加强油气田建设、勘探开发过程的环境监督管理。油气田企业应建立环境保护人员培训制度，环境监测人员、统计人员、污染治理设施操作人员应经培训合格后上岗。油气田企业应对勘探开发过程进行环境风险因素识别，制定突发环境事件应急预案并定期进行演练。应开展特征污染物监测工作，采取环境风险防范和应急措施，防止发生由突发性油气泄漏产生的环境事故。</w:t>
            </w:r>
          </w:p>
          <w:p w14:paraId="4A1B35C5">
            <w:pPr>
              <w:pStyle w:val="3"/>
              <w:ind w:left="0" w:leftChars="0" w:firstLine="480" w:firstLineChars="200"/>
              <w:rPr>
                <w:rFonts w:ascii="Times New Roman" w:hAnsi="Times New Roman" w:eastAsia="宋体"/>
                <w:color w:val="auto"/>
              </w:rPr>
            </w:pPr>
            <w:r>
              <w:rPr>
                <w:rFonts w:hint="eastAsia" w:ascii="Times New Roman" w:hAnsi="Times New Roman" w:eastAsia="宋体"/>
                <w:color w:val="auto"/>
              </w:rPr>
              <w:t>（</w:t>
            </w:r>
            <w:r>
              <w:rPr>
                <w:rFonts w:hint="eastAsia" w:ascii="Times New Roman" w:hAnsi="Times New Roman" w:eastAsia="宋体"/>
                <w:color w:val="auto"/>
                <w:lang w:val="en-US" w:eastAsia="zh-CN"/>
              </w:rPr>
              <w:t>3</w:t>
            </w:r>
            <w:r>
              <w:rPr>
                <w:rFonts w:hint="eastAsia" w:ascii="Times New Roman" w:hAnsi="Times New Roman" w:eastAsia="宋体"/>
                <w:color w:val="auto"/>
              </w:rPr>
              <w:t>）与《农用地土壤环境管理办法（试行）》符合性分析</w:t>
            </w:r>
          </w:p>
          <w:p w14:paraId="2DCFCB85">
            <w:pPr>
              <w:pStyle w:val="2"/>
              <w:ind w:firstLine="480" w:firstLineChars="200"/>
              <w:rPr>
                <w:rFonts w:hint="eastAsia" w:ascii="Times New Roman" w:hAnsi="Times New Roman" w:eastAsia="宋体"/>
                <w:b w:val="0"/>
                <w:bCs/>
                <w:color w:val="auto"/>
              </w:rPr>
            </w:pPr>
            <w:r>
              <w:rPr>
                <w:rFonts w:hint="eastAsia" w:ascii="Times New Roman" w:hAnsi="Times New Roman" w:eastAsia="宋体"/>
                <w:b w:val="0"/>
                <w:bCs/>
                <w:color w:val="auto"/>
              </w:rPr>
              <w:t>根据《农用地土壤环境管理办法（试行）》，</w:t>
            </w:r>
            <w:r>
              <w:rPr>
                <w:rFonts w:hint="default" w:ascii="Times New Roman" w:hAnsi="Times New Roman" w:eastAsia="宋体" w:cs="Times New Roman"/>
                <w:b w:val="0"/>
                <w:bCs/>
                <w:color w:val="auto"/>
              </w:rPr>
              <w:t>“</w:t>
            </w:r>
            <w:r>
              <w:rPr>
                <w:rFonts w:hint="eastAsia" w:ascii="Times New Roman" w:hAnsi="Times New Roman" w:eastAsia="宋体"/>
                <w:b w:val="0"/>
                <w:bCs/>
                <w:color w:val="auto"/>
              </w:rPr>
              <w:t>第十二条 禁止在农用地排放、倾倒、使用污泥、清淤底泥、尾矿（渣）等可能对土壤造成污染的固体废物</w:t>
            </w:r>
            <w:r>
              <w:rPr>
                <w:rFonts w:hint="default" w:ascii="Times New Roman" w:hAnsi="Times New Roman" w:eastAsia="宋体" w:cs="Times New Roman"/>
                <w:b w:val="0"/>
                <w:bCs/>
                <w:color w:val="auto"/>
              </w:rPr>
              <w:t>”</w:t>
            </w:r>
            <w:r>
              <w:rPr>
                <w:rFonts w:hint="eastAsia" w:ascii="Times New Roman" w:hAnsi="Times New Roman" w:eastAsia="宋体"/>
                <w:b w:val="0"/>
                <w:bCs/>
                <w:color w:val="auto"/>
              </w:rPr>
              <w:t>。本项目在施工过程中，不在农用地排放废水及废弃泥浆，不会对农用地排放造成污染的固体废物。</w:t>
            </w:r>
          </w:p>
          <w:p w14:paraId="6D8943A7">
            <w:pPr>
              <w:pStyle w:val="3"/>
              <w:ind w:firstLine="480"/>
              <w:rPr>
                <w:rFonts w:ascii="Times New Roman" w:hAnsi="Times New Roman" w:eastAsia="宋体"/>
                <w:color w:val="auto"/>
              </w:rPr>
            </w:pPr>
            <w:r>
              <w:rPr>
                <w:rFonts w:hint="eastAsia" w:ascii="Times New Roman" w:hAnsi="Times New Roman" w:eastAsia="宋体"/>
                <w:color w:val="auto"/>
              </w:rPr>
              <w:t>（</w:t>
            </w:r>
            <w:r>
              <w:rPr>
                <w:rFonts w:hint="eastAsia" w:ascii="Times New Roman" w:hAnsi="Times New Roman" w:eastAsia="宋体"/>
                <w:color w:val="auto"/>
                <w:lang w:val="en-US" w:eastAsia="zh-CN"/>
              </w:rPr>
              <w:t>4</w:t>
            </w:r>
            <w:r>
              <w:rPr>
                <w:rFonts w:hint="eastAsia" w:ascii="Times New Roman" w:hAnsi="Times New Roman" w:eastAsia="宋体"/>
                <w:color w:val="auto"/>
              </w:rPr>
              <w:t>）与《中华人民共和国基本农田保护条例》的相符性分析</w:t>
            </w:r>
          </w:p>
          <w:p w14:paraId="6627C687">
            <w:pPr>
              <w:pStyle w:val="3"/>
              <w:rPr>
                <w:rFonts w:hint="default" w:ascii="Times New Roman" w:hAnsi="Times New Roman" w:eastAsia="宋体" w:cs="Times New Roman"/>
                <w:b w:val="0"/>
                <w:bCs/>
                <w:color w:val="auto"/>
              </w:rPr>
            </w:pPr>
            <w:r>
              <w:rPr>
                <w:rFonts w:hint="eastAsia" w:ascii="Times New Roman" w:hAnsi="Times New Roman" w:eastAsia="宋体"/>
                <w:b w:val="0"/>
                <w:bCs/>
                <w:color w:val="auto"/>
              </w:rPr>
              <w:t>根据《中华人民共和国基本农田保护条例》第十五条：</w:t>
            </w:r>
            <w:r>
              <w:rPr>
                <w:rFonts w:hint="default" w:ascii="Times New Roman" w:hAnsi="Times New Roman" w:eastAsia="宋体" w:cs="Times New Roman"/>
                <w:b w:val="0"/>
                <w:bCs/>
                <w:color w:val="auto"/>
              </w:rPr>
              <w:t>“</w:t>
            </w:r>
            <w:r>
              <w:rPr>
                <w:rFonts w:hint="eastAsia" w:ascii="Times New Roman" w:hAnsi="Times New Roman" w:eastAsia="宋体"/>
                <w:b w:val="0"/>
                <w:bCs/>
                <w:color w:val="auto"/>
              </w:rPr>
              <w:t>基本农田保护区经依法划定后，任何单位和个人不得改变或者占用。国家能源、交通、水利、军事设施等重点建设项目选址确实无法避开基本农田保护区，需要占用基本农田，涉及农用地转用或者征收土地的，必须经国务院批准</w:t>
            </w:r>
            <w:r>
              <w:rPr>
                <w:rFonts w:hint="default" w:ascii="Times New Roman" w:hAnsi="Times New Roman" w:eastAsia="宋体" w:cs="Times New Roman"/>
                <w:b w:val="0"/>
                <w:bCs/>
                <w:color w:val="auto"/>
              </w:rPr>
              <w:t>”</w:t>
            </w:r>
            <w:r>
              <w:rPr>
                <w:rFonts w:hint="eastAsia" w:ascii="Times New Roman" w:hAnsi="Times New Roman" w:eastAsia="宋体"/>
                <w:b w:val="0"/>
                <w:bCs/>
                <w:color w:val="auto"/>
              </w:rPr>
              <w:t>。</w:t>
            </w:r>
          </w:p>
          <w:p w14:paraId="4B97122F">
            <w:pPr>
              <w:pStyle w:val="3"/>
              <w:rPr>
                <w:rFonts w:ascii="Times New Roman" w:hAnsi="Times New Roman" w:eastAsia="宋体"/>
                <w:b w:val="0"/>
                <w:bCs/>
                <w:color w:val="auto"/>
              </w:rPr>
            </w:pPr>
            <w:r>
              <w:rPr>
                <w:rFonts w:hint="eastAsia" w:ascii="Times New Roman" w:hAnsi="Times New Roman" w:eastAsia="宋体"/>
                <w:b w:val="0"/>
                <w:bCs/>
                <w:color w:val="auto"/>
              </w:rPr>
              <w:t>根据现场勘查，</w:t>
            </w:r>
            <w:r>
              <w:rPr>
                <w:rFonts w:hint="eastAsia" w:ascii="Times New Roman" w:hAnsi="Times New Roman" w:eastAsia="宋体" w:cs="Times New Roman"/>
                <w:b w:val="0"/>
                <w:bCs/>
                <w:color w:val="auto"/>
              </w:rPr>
              <w:t>本项目</w:t>
            </w:r>
            <w:r>
              <w:rPr>
                <w:rFonts w:hint="eastAsia" w:eastAsia="宋体" w:cs="Times New Roman"/>
                <w:b w:val="0"/>
                <w:bCs/>
                <w:color w:val="auto"/>
                <w:lang w:val="en-US" w:eastAsia="zh-CN"/>
              </w:rPr>
              <w:t>沙86、沙105</w:t>
            </w:r>
            <w:r>
              <w:rPr>
                <w:rFonts w:hint="eastAsia" w:ascii="Times New Roman" w:hAnsi="Times New Roman" w:eastAsia="宋体" w:cs="Times New Roman"/>
                <w:b w:val="0"/>
                <w:bCs/>
                <w:color w:val="auto"/>
              </w:rPr>
              <w:t>用地涉及基本农田</w:t>
            </w:r>
            <w:r>
              <w:rPr>
                <w:rFonts w:hint="eastAsia" w:ascii="Times New Roman" w:hAnsi="Times New Roman" w:eastAsia="宋体" w:cs="Times New Roman"/>
                <w:b w:val="0"/>
                <w:bCs/>
                <w:color w:val="auto"/>
                <w:lang w:eastAsia="zh-CN"/>
              </w:rPr>
              <w:t>（</w:t>
            </w:r>
            <w:r>
              <w:rPr>
                <w:rFonts w:hint="eastAsia" w:ascii="Times New Roman" w:hAnsi="Times New Roman" w:eastAsia="宋体" w:cs="Times New Roman"/>
                <w:b w:val="0"/>
                <w:bCs/>
                <w:color w:val="auto"/>
                <w:lang w:val="en-US" w:eastAsia="zh-CN"/>
              </w:rPr>
              <w:t>详见附图5</w:t>
            </w:r>
            <w:r>
              <w:rPr>
                <w:rFonts w:hint="eastAsia" w:ascii="Times New Roman" w:hAnsi="Times New Roman" w:eastAsia="宋体" w:cs="Times New Roman"/>
                <w:b w:val="0"/>
                <w:bCs/>
                <w:color w:val="auto"/>
                <w:lang w:eastAsia="zh-CN"/>
              </w:rPr>
              <w:t>）</w:t>
            </w:r>
            <w:r>
              <w:rPr>
                <w:rFonts w:hint="eastAsia" w:ascii="Times New Roman" w:hAnsi="Times New Roman" w:eastAsia="宋体" w:cs="Times New Roman"/>
                <w:b w:val="0"/>
                <w:bCs/>
                <w:color w:val="auto"/>
              </w:rPr>
              <w:t>，本项目为依法申请战略性矿产探矿权，用地为临时占用。</w:t>
            </w:r>
            <w:r>
              <w:rPr>
                <w:rFonts w:hint="eastAsia" w:ascii="Times New Roman" w:hAnsi="Times New Roman" w:eastAsia="宋体"/>
                <w:b w:val="0"/>
                <w:bCs/>
                <w:color w:val="auto"/>
              </w:rPr>
              <w:t>根据《关于进一步加强石油天然气行业环境影响评价管理的通知》（环办环评函〔2019〕910号），</w:t>
            </w:r>
            <w:r>
              <w:rPr>
                <w:rFonts w:ascii="Times New Roman" w:hAnsi="Times New Roman" w:eastAsia="宋体"/>
                <w:b w:val="0"/>
                <w:bCs/>
                <w:color w:val="auto"/>
              </w:rPr>
              <w:t>“</w:t>
            </w:r>
            <w:r>
              <w:rPr>
                <w:rFonts w:hint="eastAsia" w:ascii="Times New Roman" w:hAnsi="Times New Roman" w:eastAsia="宋体"/>
                <w:b w:val="0"/>
                <w:bCs/>
                <w:color w:val="auto"/>
              </w:rPr>
              <w:t>各级生态环境主管部门在审批区块环评时，不得违规设置或保留水土保持、规划选址用地预审、下级生态环境主管部门预审等前置条件</w:t>
            </w:r>
            <w:r>
              <w:rPr>
                <w:rFonts w:ascii="Times New Roman" w:hAnsi="Times New Roman" w:eastAsia="宋体"/>
                <w:b w:val="0"/>
                <w:bCs/>
                <w:color w:val="auto"/>
              </w:rPr>
              <w:t>”</w:t>
            </w:r>
            <w:r>
              <w:rPr>
                <w:rFonts w:hint="eastAsia" w:ascii="Times New Roman" w:hAnsi="Times New Roman" w:eastAsia="宋体"/>
                <w:b w:val="0"/>
                <w:bCs/>
                <w:color w:val="auto"/>
              </w:rPr>
              <w:t>。</w:t>
            </w:r>
          </w:p>
          <w:p w14:paraId="04206DCE">
            <w:pPr>
              <w:pStyle w:val="2"/>
              <w:ind w:firstLine="480" w:firstLineChars="200"/>
              <w:rPr>
                <w:rFonts w:hint="eastAsia" w:ascii="Times New Roman" w:hAnsi="Times New Roman" w:eastAsia="宋体"/>
                <w:b w:val="0"/>
                <w:bCs/>
                <w:color w:val="auto"/>
              </w:rPr>
            </w:pPr>
            <w:r>
              <w:rPr>
                <w:rFonts w:hint="eastAsia" w:ascii="Times New Roman" w:hAnsi="Times New Roman" w:eastAsia="宋体"/>
                <w:b w:val="0"/>
                <w:bCs/>
                <w:color w:val="auto"/>
              </w:rPr>
              <w:t>本项目不涉及永久占地，项目开展过程中占用农田土地为临时占用，施工结束后立即开展土地恢复工作，因此本项目符合《中华人民共和国基本农田保护条例》相关要求。勘探井如需转石油开采，则应依据《中华人民共和国基本农田保护条例》“国家能源、交通、水利、军事设施等重点建设项目选址确实无法避开基本农田保护区，需要占用基本农田，涉及农用地转用或者征用土地的，必须经国务院批准”的要求报国务院批准。</w:t>
            </w:r>
          </w:p>
          <w:p w14:paraId="64112084">
            <w:pPr>
              <w:pStyle w:val="2"/>
              <w:ind w:firstLine="480" w:firstLineChars="200"/>
              <w:rPr>
                <w:rFonts w:hint="eastAsia" w:ascii="Times New Roman" w:hAnsi="Times New Roman" w:eastAsia="宋体"/>
                <w:b w:val="0"/>
                <w:bCs/>
                <w:color w:val="auto"/>
                <w:lang w:eastAsia="zh-CN"/>
              </w:rPr>
            </w:pPr>
            <w:r>
              <w:rPr>
                <w:rFonts w:hint="eastAsia" w:ascii="Times New Roman" w:hAnsi="Times New Roman" w:eastAsia="宋体"/>
                <w:b w:val="0"/>
                <w:bCs/>
                <w:color w:val="auto"/>
                <w:lang w:eastAsia="zh-CN"/>
              </w:rPr>
              <w:t>因此本项目符合基本农田保护法规的相关要求。</w:t>
            </w:r>
          </w:p>
          <w:p w14:paraId="706EE6E4">
            <w:pPr>
              <w:pStyle w:val="2"/>
              <w:ind w:firstLine="480" w:firstLineChars="200"/>
              <w:rPr>
                <w:rFonts w:hint="eastAsia" w:ascii="Times New Roman" w:hAnsi="Times New Roman" w:eastAsia="宋体"/>
                <w:b w:val="0"/>
                <w:bCs/>
                <w:color w:val="auto"/>
                <w:lang w:eastAsia="zh-CN"/>
              </w:rPr>
            </w:pPr>
            <w:r>
              <w:rPr>
                <w:rFonts w:hint="eastAsia" w:ascii="Times New Roman" w:hAnsi="Times New Roman" w:eastAsia="宋体"/>
                <w:b w:val="0"/>
                <w:bCs/>
                <w:color w:val="auto"/>
                <w:lang w:eastAsia="zh-CN"/>
              </w:rPr>
              <w:t>（</w:t>
            </w:r>
            <w:r>
              <w:rPr>
                <w:rFonts w:hint="eastAsia" w:ascii="Times New Roman" w:hAnsi="Times New Roman" w:eastAsia="宋体"/>
                <w:b w:val="0"/>
                <w:bCs/>
                <w:color w:val="auto"/>
                <w:lang w:val="en-US" w:eastAsia="zh-CN"/>
              </w:rPr>
              <w:t>5</w:t>
            </w:r>
            <w:r>
              <w:rPr>
                <w:rFonts w:hint="eastAsia" w:ascii="Times New Roman" w:hAnsi="Times New Roman" w:eastAsia="宋体"/>
                <w:b w:val="0"/>
                <w:bCs/>
                <w:color w:val="auto"/>
                <w:lang w:eastAsia="zh-CN"/>
              </w:rPr>
              <w:t>）与《自然资源部 农业农村部关于加强和改进永久基本农田保护工作的通知》（自然资规</w:t>
            </w:r>
            <w:r>
              <w:rPr>
                <w:rFonts w:hint="eastAsia" w:ascii="Times New Roman" w:hAnsi="Times New Roman" w:eastAsia="宋体" w:cs="宋体"/>
                <w:b w:val="0"/>
                <w:bCs/>
                <w:color w:val="auto"/>
                <w:lang w:eastAsia="zh-CN"/>
              </w:rPr>
              <w:t>〔</w:t>
            </w:r>
            <w:r>
              <w:rPr>
                <w:rFonts w:hint="eastAsia" w:ascii="Times New Roman" w:hAnsi="Times New Roman" w:eastAsia="宋体"/>
                <w:b w:val="0"/>
                <w:bCs/>
                <w:color w:val="auto"/>
              </w:rPr>
              <w:t>2019</w:t>
            </w:r>
            <w:r>
              <w:rPr>
                <w:rFonts w:hint="eastAsia" w:ascii="Times New Roman" w:hAnsi="Times New Roman" w:eastAsia="宋体" w:cs="宋体"/>
                <w:b w:val="0"/>
                <w:bCs/>
                <w:color w:val="auto"/>
              </w:rPr>
              <w:t>〕</w:t>
            </w:r>
            <w:r>
              <w:rPr>
                <w:rFonts w:hint="eastAsia" w:ascii="Times New Roman" w:hAnsi="Times New Roman" w:eastAsia="宋体"/>
                <w:b w:val="0"/>
                <w:bCs/>
                <w:color w:val="auto"/>
              </w:rPr>
              <w:t>1号</w:t>
            </w:r>
            <w:r>
              <w:rPr>
                <w:rFonts w:hint="eastAsia" w:ascii="Times New Roman" w:hAnsi="Times New Roman" w:eastAsia="宋体"/>
                <w:b w:val="0"/>
                <w:bCs/>
                <w:color w:val="auto"/>
                <w:lang w:eastAsia="zh-CN"/>
              </w:rPr>
              <w:t>）</w:t>
            </w:r>
          </w:p>
          <w:p w14:paraId="53FCF2DD">
            <w:pPr>
              <w:pStyle w:val="2"/>
              <w:ind w:firstLine="480" w:firstLineChars="200"/>
              <w:rPr>
                <w:rFonts w:hint="eastAsia" w:ascii="Times New Roman" w:hAnsi="Times New Roman" w:eastAsia="宋体"/>
                <w:b w:val="0"/>
                <w:bCs/>
                <w:color w:val="auto"/>
              </w:rPr>
            </w:pPr>
            <w:r>
              <w:rPr>
                <w:rFonts w:hint="eastAsia" w:ascii="Times New Roman" w:hAnsi="Times New Roman" w:eastAsia="宋体"/>
                <w:b w:val="0"/>
                <w:bCs/>
                <w:color w:val="auto"/>
              </w:rPr>
              <w:t>根据《自然资源部 农业农村部关于加强和改进永久基本农田保护工作的通知》（自然资规</w:t>
            </w:r>
            <w:r>
              <w:rPr>
                <w:rFonts w:hint="eastAsia" w:ascii="Times New Roman" w:hAnsi="Times New Roman" w:eastAsia="宋体" w:cs="宋体"/>
                <w:b w:val="0"/>
                <w:bCs/>
                <w:color w:val="auto"/>
                <w:lang w:eastAsia="zh-CN"/>
              </w:rPr>
              <w:t>〔</w:t>
            </w:r>
            <w:r>
              <w:rPr>
                <w:rFonts w:hint="eastAsia" w:ascii="Times New Roman" w:hAnsi="Times New Roman" w:eastAsia="宋体"/>
                <w:b w:val="0"/>
                <w:bCs/>
                <w:color w:val="auto"/>
              </w:rPr>
              <w:t>2019</w:t>
            </w:r>
            <w:r>
              <w:rPr>
                <w:rFonts w:hint="eastAsia" w:ascii="Times New Roman" w:hAnsi="Times New Roman" w:eastAsia="宋体" w:cs="宋体"/>
                <w:b w:val="0"/>
                <w:bCs/>
                <w:color w:val="auto"/>
              </w:rPr>
              <w:t>〕</w:t>
            </w:r>
            <w:r>
              <w:rPr>
                <w:rFonts w:hint="eastAsia" w:ascii="Times New Roman" w:hAnsi="Times New Roman" w:eastAsia="宋体"/>
                <w:b w:val="0"/>
                <w:bCs/>
                <w:color w:val="auto"/>
              </w:rPr>
              <w:t>1号），临时用地一般不得占用永久基本农田，建设项目施工和地质勘查需要临时用地、选址确实难以避让永久基本农田的，在不修建永久性建（构）筑物、经复垦能恢复原种植条件的前提下，土地使用者按照法定程序申请临时用地并编制土地复垦方案，经县级自然资源主管部门批准可临时占用，并在市级自然资源主管部门备案，一般不超过两年，同时，通过耕地耕作层土壤剥离再利用等工程技术措施，减少对耕作层的破坏。临时用地到期后土地使用者应及时复垦恢复原种植条件，县级自然资源主管部门会同农业农村等相关主管部门开展土地复垦验收，验收合格的，继续按照永久基本农田保护和管理；验收不合格的，责令土地使用者进行整改，经整改仍不合格的，按照《土地复垦条例》（国务院令第592号）规定由县级自然资源主管部门使用缴纳的土地复垦费代为组织复垦，并由县级自然资源主管部门会同农业农村等相关主管部门开展土地复垦验收。...全国矿产资源规划确定的战略性矿产，区分油气和非油气矿产、探矿和采矿阶段、露天和井下开采等情况，在保护永久基本农田的同时，做好矿产资源勘查和开发利用。非战略性矿产，申请新设矿业权，应避让永久基本农田，其中地热、矿泉水勘查开采，不造成永久基本农田损毁、塌陷破坏的，可申请新设矿业权。矿业权申请人依法申请战略性矿产探矿权，开展地质勘查需临时用地的，应依法办理临时用地审批手续。石油、天然气、页岩气、煤层气等油气战略性矿产的地质勘查，经批准可临时占用永久基本农田布设探井。在试采和取得采矿权后转为开采井的，可直接依法办理农用地转用和土地征收审批手续，按规定补划永久基本农田。</w:t>
            </w:r>
          </w:p>
          <w:p w14:paraId="77AF4523">
            <w:pPr>
              <w:pStyle w:val="3"/>
              <w:rPr>
                <w:rFonts w:hint="eastAsia" w:ascii="Times New Roman" w:hAnsi="Times New Roman" w:eastAsia="宋体"/>
                <w:color w:val="auto"/>
              </w:rPr>
            </w:pPr>
            <w:r>
              <w:rPr>
                <w:rFonts w:hint="eastAsia" w:ascii="Times New Roman" w:hAnsi="Times New Roman" w:eastAsia="宋体"/>
                <w:b w:val="0"/>
                <w:bCs/>
                <w:color w:val="auto"/>
              </w:rPr>
              <w:t>根据现场勘查，</w:t>
            </w:r>
            <w:r>
              <w:rPr>
                <w:rFonts w:hint="eastAsia" w:ascii="Times New Roman" w:hAnsi="Times New Roman" w:eastAsia="宋体" w:cs="Times New Roman"/>
                <w:b w:val="0"/>
                <w:bCs/>
                <w:color w:val="auto"/>
              </w:rPr>
              <w:t>本项目用地涉及基本农田</w:t>
            </w:r>
            <w:r>
              <w:rPr>
                <w:rFonts w:hint="eastAsia" w:ascii="Times New Roman" w:hAnsi="Times New Roman" w:eastAsia="宋体" w:cs="Times New Roman"/>
                <w:b w:val="0"/>
                <w:bCs/>
                <w:color w:val="auto"/>
                <w:lang w:eastAsia="zh-CN"/>
              </w:rPr>
              <w:t>（</w:t>
            </w:r>
            <w:r>
              <w:rPr>
                <w:rFonts w:hint="eastAsia" w:ascii="Times New Roman" w:hAnsi="Times New Roman" w:eastAsia="宋体" w:cs="Times New Roman"/>
                <w:b w:val="0"/>
                <w:bCs/>
                <w:color w:val="auto"/>
                <w:lang w:val="en-US" w:eastAsia="zh-CN"/>
              </w:rPr>
              <w:t>详见附图5</w:t>
            </w:r>
            <w:r>
              <w:rPr>
                <w:rFonts w:hint="eastAsia" w:ascii="Times New Roman" w:hAnsi="Times New Roman" w:eastAsia="宋体" w:cs="Times New Roman"/>
                <w:b w:val="0"/>
                <w:bCs/>
                <w:color w:val="auto"/>
                <w:lang w:eastAsia="zh-CN"/>
              </w:rPr>
              <w:t>）。</w:t>
            </w:r>
            <w:r>
              <w:rPr>
                <w:rFonts w:hint="eastAsia" w:ascii="Times New Roman" w:hAnsi="Times New Roman" w:eastAsia="宋体" w:cs="Times New Roman"/>
                <w:b w:val="0"/>
                <w:bCs/>
                <w:color w:val="auto"/>
              </w:rPr>
              <w:t>项目</w:t>
            </w:r>
            <w:r>
              <w:rPr>
                <w:rFonts w:hint="eastAsia" w:ascii="Times New Roman" w:hAnsi="Times New Roman" w:eastAsia="宋体"/>
                <w:b w:val="0"/>
                <w:bCs/>
                <w:color w:val="auto"/>
              </w:rPr>
              <w:t>开展过程中占用农田土地均为临时占用，依法申请战略性矿产探矿权，开展地质勘查需临时用地的，在本项目开工建设前须取得相关临时用地手续，根据《自然资源部办公厅关于石油天然气用地政策的复函》（自然资办函〔2018〕1668号），本项目可以申请办理先行用地，先行用地批准后，应按要求在半年内报批正式用地。</w:t>
            </w:r>
          </w:p>
          <w:p w14:paraId="162F7642">
            <w:pPr>
              <w:pStyle w:val="2"/>
              <w:ind w:firstLine="480" w:firstLineChars="200"/>
              <w:rPr>
                <w:rFonts w:hint="eastAsia" w:ascii="Times New Roman" w:hAnsi="Times New Roman" w:eastAsia="宋体"/>
                <w:color w:val="auto"/>
              </w:rPr>
            </w:pPr>
            <w:r>
              <w:rPr>
                <w:rFonts w:hint="eastAsia" w:ascii="Times New Roman" w:hAnsi="Times New Roman" w:eastAsia="宋体"/>
                <w:b w:val="0"/>
                <w:bCs/>
                <w:color w:val="auto"/>
                <w:lang w:eastAsia="zh-CN"/>
              </w:rPr>
              <w:t>（</w:t>
            </w:r>
            <w:r>
              <w:rPr>
                <w:rFonts w:hint="eastAsia" w:ascii="Times New Roman" w:hAnsi="Times New Roman" w:eastAsia="宋体"/>
                <w:b w:val="0"/>
                <w:bCs/>
                <w:color w:val="auto"/>
                <w:lang w:val="en-US" w:eastAsia="zh-CN"/>
              </w:rPr>
              <w:t>6</w:t>
            </w:r>
            <w:r>
              <w:rPr>
                <w:rFonts w:hint="eastAsia" w:ascii="Times New Roman" w:hAnsi="Times New Roman" w:eastAsia="宋体"/>
                <w:b w:val="0"/>
                <w:bCs/>
                <w:color w:val="auto"/>
                <w:lang w:eastAsia="zh-CN"/>
              </w:rPr>
              <w:t>）石油勘探其余临时用地相关法律法规</w:t>
            </w:r>
          </w:p>
          <w:p w14:paraId="677F2E0D">
            <w:pPr>
              <w:pStyle w:val="16"/>
              <w:rPr>
                <w:rFonts w:hint="default" w:ascii="Times New Roman" w:hAnsi="Times New Roman" w:eastAsia="宋体" w:cs="Times New Roman"/>
                <w:color w:val="auto"/>
              </w:rPr>
            </w:pPr>
            <w:r>
              <w:rPr>
                <w:rFonts w:hint="default" w:ascii="Times New Roman" w:hAnsi="Times New Roman" w:eastAsia="宋体" w:cs="Times New Roman"/>
                <w:color w:val="auto"/>
              </w:rPr>
              <w:t>表1-1</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与本项目相关临时用地法律、法规汇总表</w:t>
            </w:r>
          </w:p>
          <w:tbl>
            <w:tblPr>
              <w:tblStyle w:val="11"/>
              <w:tblW w:w="72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669"/>
              <w:gridCol w:w="5153"/>
            </w:tblGrid>
            <w:tr w14:paraId="255F6B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3" w:type="pct"/>
                  <w:tcBorders>
                    <w:tl2br w:val="nil"/>
                    <w:tr2bl w:val="nil"/>
                  </w:tcBorders>
                  <w:shd w:val="clear" w:color="auto" w:fill="auto"/>
                  <w:vAlign w:val="center"/>
                </w:tcPr>
                <w:p w14:paraId="5E014D2C">
                  <w:pPr>
                    <w:pStyle w:val="17"/>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序号</w:t>
                  </w:r>
                </w:p>
              </w:tc>
              <w:tc>
                <w:tcPr>
                  <w:tcW w:w="1151" w:type="pct"/>
                  <w:tcBorders>
                    <w:tl2br w:val="nil"/>
                    <w:tr2bl w:val="nil"/>
                  </w:tcBorders>
                  <w:shd w:val="clear" w:color="auto" w:fill="auto"/>
                  <w:vAlign w:val="center"/>
                </w:tcPr>
                <w:p w14:paraId="3627122B">
                  <w:pPr>
                    <w:pStyle w:val="17"/>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法律法规、政策文件等</w:t>
                  </w:r>
                </w:p>
              </w:tc>
              <w:tc>
                <w:tcPr>
                  <w:tcW w:w="3554" w:type="pct"/>
                  <w:tcBorders>
                    <w:tl2br w:val="nil"/>
                    <w:tr2bl w:val="nil"/>
                  </w:tcBorders>
                  <w:shd w:val="clear" w:color="auto" w:fill="auto"/>
                  <w:vAlign w:val="center"/>
                </w:tcPr>
                <w:p w14:paraId="29F671A6">
                  <w:pPr>
                    <w:pStyle w:val="17"/>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要求</w:t>
                  </w:r>
                </w:p>
              </w:tc>
            </w:tr>
            <w:tr w14:paraId="15C2A2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3" w:type="pct"/>
                  <w:tcBorders>
                    <w:tl2br w:val="nil"/>
                    <w:tr2bl w:val="nil"/>
                  </w:tcBorders>
                  <w:shd w:val="clear" w:color="auto" w:fill="auto"/>
                  <w:vAlign w:val="center"/>
                </w:tcPr>
                <w:p w14:paraId="3B15CE5F">
                  <w:pPr>
                    <w:pStyle w:val="1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1</w:t>
                  </w:r>
                </w:p>
              </w:tc>
              <w:tc>
                <w:tcPr>
                  <w:tcW w:w="1151" w:type="pct"/>
                  <w:tcBorders>
                    <w:tl2br w:val="nil"/>
                    <w:tr2bl w:val="nil"/>
                  </w:tcBorders>
                  <w:shd w:val="clear" w:color="auto" w:fill="auto"/>
                  <w:vAlign w:val="center"/>
                </w:tcPr>
                <w:p w14:paraId="341F0BEF">
                  <w:pPr>
                    <w:pStyle w:val="1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《国土资源部关于石油天然气行业钻井及配套设施建设用地的复函》（国土资函〔1999〕219号）</w:t>
                  </w:r>
                </w:p>
              </w:tc>
              <w:tc>
                <w:tcPr>
                  <w:tcW w:w="3554" w:type="pct"/>
                  <w:tcBorders>
                    <w:tl2br w:val="nil"/>
                    <w:tr2bl w:val="nil"/>
                  </w:tcBorders>
                  <w:shd w:val="clear" w:color="auto" w:fill="auto"/>
                  <w:vAlign w:val="center"/>
                </w:tcPr>
                <w:p w14:paraId="75340E99">
                  <w:pPr>
                    <w:pStyle w:val="17"/>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t>二、</w:t>
                  </w:r>
                  <w:r>
                    <w:rPr>
                      <w:rFonts w:hint="default" w:ascii="Times New Roman" w:hAnsi="Times New Roman" w:eastAsia="宋体" w:cs="Times New Roman"/>
                      <w:b w:val="0"/>
                      <w:bCs w:val="0"/>
                      <w:color w:val="auto"/>
                    </w:rPr>
                    <w:t>可先由所在地县级人民政府土地行政主管部门按临时用地批准使用，办理有关手续。每季度末，石油天然气生产企业再将所需钻井及配套设施建设用地进行汇总，按土地管理法律、法规的规定提出用地申请，由当地县级人民政府土地行政主管部门依法向有批准权的一级人民政府报批。</w:t>
                  </w:r>
                </w:p>
                <w:p w14:paraId="64F653C6">
                  <w:pPr>
                    <w:pStyle w:val="1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rPr>
                    <w:t>三、石油天然气生产企业向县级人民政府土地行政主管部门申请钻井及配套设施临时用地时，应按照《土地管理法》第五十七条有关规定，与土地行政主管部门或农村集体经济组织、村民委员会签订临时使用土地合同，并按照合同约定支付临时使用土地补偿费。有批准权的一级人民政府批准钻井及配套设施建设用地后，石油天然气生产企业应按照《土地管理法》第四十七条有关规定，及时向当地县级人民政府土地行政主管部门缴纳有关费用。</w:t>
                  </w:r>
                </w:p>
              </w:tc>
            </w:tr>
            <w:tr w14:paraId="34119F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3" w:type="pct"/>
                  <w:tcBorders>
                    <w:tl2br w:val="nil"/>
                    <w:tr2bl w:val="nil"/>
                  </w:tcBorders>
                  <w:shd w:val="clear" w:color="auto" w:fill="auto"/>
                  <w:vAlign w:val="center"/>
                </w:tcPr>
                <w:p w14:paraId="756EAF9A">
                  <w:pPr>
                    <w:pStyle w:val="1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2</w:t>
                  </w:r>
                </w:p>
              </w:tc>
              <w:tc>
                <w:tcPr>
                  <w:tcW w:w="1151" w:type="pct"/>
                  <w:tcBorders>
                    <w:tl2br w:val="nil"/>
                    <w:tr2bl w:val="nil"/>
                  </w:tcBorders>
                  <w:shd w:val="clear" w:color="auto" w:fill="auto"/>
                  <w:vAlign w:val="center"/>
                </w:tcPr>
                <w:p w14:paraId="6141EC3F">
                  <w:pPr>
                    <w:pStyle w:val="1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《中华人民共和国矿产资源法实施细则》（2011年8月19日）</w:t>
                  </w:r>
                </w:p>
              </w:tc>
              <w:tc>
                <w:tcPr>
                  <w:tcW w:w="3554" w:type="pct"/>
                  <w:tcBorders>
                    <w:tl2br w:val="nil"/>
                    <w:tr2bl w:val="nil"/>
                  </w:tcBorders>
                  <w:shd w:val="clear" w:color="auto" w:fill="auto"/>
                  <w:vAlign w:val="center"/>
                </w:tcPr>
                <w:p w14:paraId="0218722B">
                  <w:pPr>
                    <w:pStyle w:val="17"/>
                    <w:rPr>
                      <w:rFonts w:hint="default" w:ascii="Times New Roman" w:hAnsi="Times New Roman" w:eastAsia="宋体" w:cs="Times New Roman"/>
                      <w:b w:val="0"/>
                      <w:bCs w:val="0"/>
                      <w:color w:val="auto"/>
                      <w:lang w:eastAsia="zh-CN"/>
                    </w:rPr>
                  </w:pPr>
                  <w:r>
                    <w:rPr>
                      <w:rFonts w:hint="default" w:ascii="Times New Roman" w:hAnsi="Times New Roman" w:eastAsia="宋体" w:cs="Times New Roman"/>
                      <w:b w:val="0"/>
                      <w:bCs w:val="0"/>
                      <w:color w:val="auto"/>
                    </w:rPr>
                    <w:t>探矿权人享有下列权利：根据工程需要临时使用土地；探矿权人应当履行下列义务：探矿权人取得临时使用土地权后，在勘查过程中给他人造成财产损害的，按照下列规定给以补偿：</w:t>
                  </w:r>
                  <w:r>
                    <w:rPr>
                      <w:rFonts w:hint="eastAsia" w:ascii="Times New Roman" w:hAnsi="Times New Roman" w:eastAsia="宋体" w:cs="Times New Roman"/>
                      <w:b w:val="0"/>
                      <w:bCs w:val="0"/>
                      <w:color w:val="auto"/>
                      <w:lang w:eastAsia="zh-CN"/>
                    </w:rPr>
                    <w:t>（</w:t>
                  </w:r>
                  <w:r>
                    <w:rPr>
                      <w:rFonts w:hint="default" w:ascii="Times New Roman" w:hAnsi="Times New Roman" w:eastAsia="宋体" w:cs="Times New Roman"/>
                      <w:b w:val="0"/>
                      <w:bCs w:val="0"/>
                      <w:color w:val="auto"/>
                    </w:rPr>
                    <w:t>一</w:t>
                  </w:r>
                  <w:r>
                    <w:rPr>
                      <w:rFonts w:hint="eastAsia" w:ascii="Times New Roman" w:hAnsi="Times New Roman" w:eastAsia="宋体" w:cs="Times New Roman"/>
                      <w:b w:val="0"/>
                      <w:bCs w:val="0"/>
                      <w:color w:val="auto"/>
                      <w:lang w:eastAsia="zh-CN"/>
                    </w:rPr>
                    <w:t>）</w:t>
                  </w:r>
                  <w:r>
                    <w:rPr>
                      <w:rFonts w:hint="default" w:ascii="Times New Roman" w:hAnsi="Times New Roman" w:eastAsia="宋体" w:cs="Times New Roman"/>
                      <w:b w:val="0"/>
                      <w:bCs w:val="0"/>
                      <w:color w:val="auto"/>
                    </w:rPr>
                    <w:t>对耕地造成损害的，根据受损害的耕地面积前三年平均年产量，以补偿时当地市场平均价格计算，逐年给以补偿，并负责恢复耕地的生产条件，及时归还；</w:t>
                  </w:r>
                  <w:r>
                    <w:rPr>
                      <w:rFonts w:hint="eastAsia" w:ascii="Times New Roman" w:hAnsi="Times New Roman" w:eastAsia="宋体" w:cs="Times New Roman"/>
                      <w:b w:val="0"/>
                      <w:bCs w:val="0"/>
                      <w:color w:val="auto"/>
                      <w:lang w:eastAsia="zh-CN"/>
                    </w:rPr>
                    <w:t>（</w:t>
                  </w:r>
                  <w:r>
                    <w:rPr>
                      <w:rFonts w:hint="default" w:ascii="Times New Roman" w:hAnsi="Times New Roman" w:eastAsia="宋体" w:cs="Times New Roman"/>
                      <w:b w:val="0"/>
                      <w:bCs w:val="0"/>
                      <w:color w:val="auto"/>
                    </w:rPr>
                    <w:t>三</w:t>
                  </w:r>
                  <w:r>
                    <w:rPr>
                      <w:rFonts w:hint="eastAsia" w:ascii="Times New Roman" w:hAnsi="Times New Roman" w:eastAsia="宋体" w:cs="Times New Roman"/>
                      <w:b w:val="0"/>
                      <w:bCs w:val="0"/>
                      <w:color w:val="auto"/>
                      <w:lang w:eastAsia="zh-CN"/>
                    </w:rPr>
                    <w:t>）</w:t>
                  </w:r>
                  <w:r>
                    <w:rPr>
                      <w:rFonts w:hint="default" w:ascii="Times New Roman" w:hAnsi="Times New Roman" w:eastAsia="宋体" w:cs="Times New Roman"/>
                      <w:b w:val="0"/>
                      <w:bCs w:val="0"/>
                      <w:color w:val="auto"/>
                    </w:rPr>
                    <w:t>对耕地上的农作物、经济作物造成损害的，根据受损害的耕地面积前三年平均年产量，以补偿时当地市场平均价格计算，给以补偿</w:t>
                  </w:r>
                  <w:r>
                    <w:rPr>
                      <w:rFonts w:hint="default" w:ascii="Times New Roman" w:hAnsi="Times New Roman" w:eastAsia="宋体" w:cs="Times New Roman"/>
                      <w:b w:val="0"/>
                      <w:bCs w:val="0"/>
                      <w:color w:val="auto"/>
                      <w:lang w:eastAsia="zh-CN"/>
                    </w:rPr>
                    <w:t>。</w:t>
                  </w:r>
                </w:p>
              </w:tc>
            </w:tr>
            <w:tr w14:paraId="4E1F41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3" w:type="pct"/>
                  <w:tcBorders>
                    <w:tl2br w:val="nil"/>
                    <w:tr2bl w:val="nil"/>
                  </w:tcBorders>
                  <w:shd w:val="clear" w:color="auto" w:fill="auto"/>
                  <w:vAlign w:val="center"/>
                </w:tcPr>
                <w:p w14:paraId="746890B1">
                  <w:pPr>
                    <w:pStyle w:val="1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3</w:t>
                  </w:r>
                </w:p>
              </w:tc>
              <w:tc>
                <w:tcPr>
                  <w:tcW w:w="1151" w:type="pct"/>
                  <w:tcBorders>
                    <w:tl2br w:val="nil"/>
                    <w:tr2bl w:val="nil"/>
                  </w:tcBorders>
                  <w:shd w:val="clear" w:color="auto" w:fill="auto"/>
                  <w:vAlign w:val="center"/>
                </w:tcPr>
                <w:p w14:paraId="496FA733">
                  <w:pPr>
                    <w:pStyle w:val="1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《自然资源部办公厅关于石油天然气用地政策的复函》（自然资办函〔2018〕1668号）</w:t>
                  </w:r>
                </w:p>
              </w:tc>
              <w:tc>
                <w:tcPr>
                  <w:tcW w:w="3554" w:type="pct"/>
                  <w:tcBorders>
                    <w:tl2br w:val="nil"/>
                    <w:tr2bl w:val="nil"/>
                  </w:tcBorders>
                  <w:shd w:val="clear" w:color="auto" w:fill="auto"/>
                  <w:vAlign w:val="center"/>
                </w:tcPr>
                <w:p w14:paraId="07F8C75C">
                  <w:pPr>
                    <w:pStyle w:val="17"/>
                    <w:jc w:val="both"/>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一、关于油气钻井及配套设施用地手续办理问题</w:t>
                  </w:r>
                </w:p>
                <w:p w14:paraId="5408B741">
                  <w:pPr>
                    <w:pStyle w:val="17"/>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石油、天然气、煤层气、页岩气、致密油、页岩油、致密气等油气资源开发涉及的钻井及配套设施建设用地，可先由用地所在县级以上人民政府自然资源主管部门按照有关法律法规的规定以临时用地批准使用，办理有关手续。勘探结束转入生产的，办理建设用地审批手续；不转入生产的，油气企业进行土地复垦后按期归还。每年末，油气企业汇总本年度用地有关情况后，依照有关规定向用地所在县级人民政府自然资源主管部门提出用地申请，办理建设用地审批手续。</w:t>
                  </w:r>
                </w:p>
                <w:p w14:paraId="7E2CEC50">
                  <w:pPr>
                    <w:pStyle w:val="17"/>
                    <w:jc w:val="both"/>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二、关于先行用地办理问题</w:t>
                  </w:r>
                </w:p>
                <w:p w14:paraId="7846491A">
                  <w:pPr>
                    <w:pStyle w:val="17"/>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油气开采项目涉及的各类净化、存储、安全等站场设施用地，以及输气管道工程涉及的站场、阀室等用地，急需动工建设的，可根据需要申请办理先行用地。先行用地批准后，应按要求在半年内报批正式用地。</w:t>
                  </w:r>
                </w:p>
                <w:p w14:paraId="29B6A6EB">
                  <w:pPr>
                    <w:pStyle w:val="17"/>
                    <w:jc w:val="both"/>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三、关于耕地占补平衡问题</w:t>
                  </w:r>
                </w:p>
                <w:p w14:paraId="3E18B002">
                  <w:pPr>
                    <w:pStyle w:val="17"/>
                    <w:rPr>
                      <w:rFonts w:hint="default" w:ascii="Times New Roman" w:hAnsi="Times New Roman" w:eastAsia="宋体" w:cs="Times New Roman"/>
                      <w:b w:val="0"/>
                      <w:bCs w:val="0"/>
                      <w:color w:val="auto"/>
                      <w:lang w:eastAsia="zh-CN"/>
                    </w:rPr>
                  </w:pPr>
                  <w:r>
                    <w:rPr>
                      <w:rFonts w:hint="default" w:ascii="Times New Roman" w:hAnsi="Times New Roman" w:eastAsia="宋体" w:cs="Times New Roman"/>
                      <w:b w:val="0"/>
                      <w:bCs w:val="0"/>
                      <w:color w:val="auto"/>
                    </w:rPr>
                    <w:t>油气企业自行复垦企业已征收废弃土地并垦造出耕地的（办理用地手续时已落实耕地占补平衡），在耕地按要求报部备案的前提下，新增耕地可作为企业自行补充耕地，用于企业所在省域范围用地的占补平衡。在此基础上，仍难以落实耕地占补平衡的，按照《跨省域补充耕地国家统筹管理办法》（国办发〔2018〕16号）等有关规定，由企业用地所在省（市）申请补充耕地国家统筹</w:t>
                  </w:r>
                  <w:r>
                    <w:rPr>
                      <w:rFonts w:hint="default" w:ascii="Times New Roman" w:hAnsi="Times New Roman" w:eastAsia="宋体" w:cs="Times New Roman"/>
                      <w:b w:val="0"/>
                      <w:bCs w:val="0"/>
                      <w:color w:val="auto"/>
                      <w:lang w:eastAsia="zh-CN"/>
                    </w:rPr>
                    <w:t>。</w:t>
                  </w:r>
                </w:p>
              </w:tc>
            </w:tr>
            <w:tr w14:paraId="02A85D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3" w:type="pct"/>
                  <w:tcBorders>
                    <w:tl2br w:val="nil"/>
                    <w:tr2bl w:val="nil"/>
                  </w:tcBorders>
                  <w:shd w:val="clear" w:color="auto" w:fill="auto"/>
                  <w:vAlign w:val="center"/>
                </w:tcPr>
                <w:p w14:paraId="68AADD2D">
                  <w:pPr>
                    <w:pStyle w:val="17"/>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4</w:t>
                  </w:r>
                </w:p>
              </w:tc>
              <w:tc>
                <w:tcPr>
                  <w:tcW w:w="1151" w:type="pct"/>
                  <w:tcBorders>
                    <w:tl2br w:val="nil"/>
                    <w:tr2bl w:val="nil"/>
                  </w:tcBorders>
                  <w:shd w:val="clear" w:color="auto" w:fill="auto"/>
                  <w:vAlign w:val="center"/>
                </w:tcPr>
                <w:p w14:paraId="2325C8F9">
                  <w:pPr>
                    <w:pStyle w:val="1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《中华人民共和国土地管理</w:t>
                  </w:r>
                </w:p>
                <w:p w14:paraId="3F4BAD91">
                  <w:pPr>
                    <w:pStyle w:val="1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法》（2019年8月26 日修正）</w:t>
                  </w:r>
                </w:p>
              </w:tc>
              <w:tc>
                <w:tcPr>
                  <w:tcW w:w="3554" w:type="pct"/>
                  <w:tcBorders>
                    <w:tl2br w:val="nil"/>
                    <w:tr2bl w:val="nil"/>
                  </w:tcBorders>
                  <w:shd w:val="clear" w:color="auto" w:fill="auto"/>
                  <w:vAlign w:val="center"/>
                </w:tcPr>
                <w:p w14:paraId="557655D8">
                  <w:pPr>
                    <w:pStyle w:val="17"/>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第五十七条 建设项目施工和地质勘查需要临时使用国有土地或者农民集体所有的土地的，由县级以上人民政府自然资源主管部门批准。其中，在城市规划区内的临时用地，在报批前，应当先经有关城市规划行政主管部门同意。土地使用者应当根据土地权属，与有关自然资源主管部门或者农村集体经济组织、村民委员会签订临时使用土地合同，并按照合同的约定支付临时使用土地补偿费。临时使用土地的使用者应当按照临时使用土地合同约定的用途使用土地，并不得修建永久性建筑物。临时使用土地期限一般不超过二年。</w:t>
                  </w:r>
                </w:p>
              </w:tc>
            </w:tr>
            <w:tr w14:paraId="549F47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3" w:type="pct"/>
                  <w:tcBorders>
                    <w:tl2br w:val="nil"/>
                    <w:tr2bl w:val="nil"/>
                  </w:tcBorders>
                  <w:shd w:val="clear" w:color="auto" w:fill="auto"/>
                  <w:vAlign w:val="center"/>
                </w:tcPr>
                <w:p w14:paraId="3C8F3262">
                  <w:pPr>
                    <w:pStyle w:val="17"/>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5</w:t>
                  </w:r>
                </w:p>
              </w:tc>
              <w:tc>
                <w:tcPr>
                  <w:tcW w:w="1151" w:type="pct"/>
                  <w:tcBorders>
                    <w:tl2br w:val="nil"/>
                    <w:tr2bl w:val="nil"/>
                  </w:tcBorders>
                  <w:shd w:val="clear" w:color="auto" w:fill="auto"/>
                  <w:vAlign w:val="center"/>
                </w:tcPr>
                <w:p w14:paraId="78397C71">
                  <w:pPr>
                    <w:pStyle w:val="1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《中华人民共和国土地管理</w:t>
                  </w:r>
                </w:p>
                <w:p w14:paraId="625BFC76">
                  <w:pPr>
                    <w:pStyle w:val="1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法实施条例》（中华人民共和国国务院令第 743 号）（2021</w:t>
                  </w:r>
                </w:p>
                <w:p w14:paraId="61FFCDB2">
                  <w:pPr>
                    <w:pStyle w:val="1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年7月30 日）</w:t>
                  </w:r>
                </w:p>
              </w:tc>
              <w:tc>
                <w:tcPr>
                  <w:tcW w:w="3554" w:type="pct"/>
                  <w:tcBorders>
                    <w:tl2br w:val="nil"/>
                    <w:tr2bl w:val="nil"/>
                  </w:tcBorders>
                  <w:shd w:val="clear" w:color="auto" w:fill="auto"/>
                  <w:vAlign w:val="center"/>
                </w:tcPr>
                <w:p w14:paraId="228D2AB5">
                  <w:pPr>
                    <w:pStyle w:val="17"/>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第五十七条 建设项目施工和地质勘查需要临时使用国有土地或者农民集体所有的土地的，由县级以上人民政府自然资源主管部门批准。其中，在城市规划区内的临时用地，在报批前，应当先经有关城市规划行政主管部门同意。土地使用者应当根据土地权属，与有关自然资源主管部门或者农村集体经济组织、村民委员会签订临时使用土地合同，并按照合同的约定支付临时使用土地补偿费。临时使用土地的使用者应当按照临时使用土地合同约定的用途使用土地，并不得修建永久性建筑物。临时使用土地期限一般不超过二年。</w:t>
                  </w:r>
                </w:p>
              </w:tc>
            </w:tr>
            <w:tr w14:paraId="35F58E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3" w:type="pct"/>
                  <w:tcBorders>
                    <w:tl2br w:val="nil"/>
                    <w:tr2bl w:val="nil"/>
                  </w:tcBorders>
                  <w:shd w:val="clear" w:color="auto" w:fill="auto"/>
                  <w:vAlign w:val="center"/>
                </w:tcPr>
                <w:p w14:paraId="48CE9FA9">
                  <w:pPr>
                    <w:pStyle w:val="17"/>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6</w:t>
                  </w:r>
                </w:p>
              </w:tc>
              <w:tc>
                <w:tcPr>
                  <w:tcW w:w="1151" w:type="pct"/>
                  <w:tcBorders>
                    <w:tl2br w:val="nil"/>
                    <w:tr2bl w:val="nil"/>
                  </w:tcBorders>
                  <w:shd w:val="clear" w:color="auto" w:fill="auto"/>
                  <w:vAlign w:val="center"/>
                </w:tcPr>
                <w:p w14:paraId="4C9D198A">
                  <w:pPr>
                    <w:pStyle w:val="1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《自然资源部关于规范临时用地管理的通知》（自然资规〔2021〕2 号）</w:t>
                  </w:r>
                </w:p>
              </w:tc>
              <w:tc>
                <w:tcPr>
                  <w:tcW w:w="3554" w:type="pct"/>
                  <w:tcBorders>
                    <w:tl2br w:val="nil"/>
                    <w:tr2bl w:val="nil"/>
                  </w:tcBorders>
                  <w:shd w:val="clear" w:color="auto" w:fill="auto"/>
                  <w:vAlign w:val="center"/>
                </w:tcPr>
                <w:p w14:paraId="531BE62B">
                  <w:pPr>
                    <w:pStyle w:val="17"/>
                    <w:jc w:val="both"/>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一、界定临时用地使用范围</w:t>
                  </w:r>
                </w:p>
                <w:p w14:paraId="3ED89FDD">
                  <w:pPr>
                    <w:pStyle w:val="1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 xml:space="preserve">临时用地是指建设项目施工、地质勘查等临时使用，不修建永久性建（构）筑物，使用后可恢复的土地（通过复垦可恢复原地类或者达到可供利用状态）。临时用地具有临时性和可恢复性等特点，与建设项目施工、地质勘查等无关的用地，使用后无法恢复到原地类或者复垦达不到可供利用状态的用地，不得使用临时用地。临时用地的范围包括：（二）矿产资源勘查、工程地质勘查、水文地质勘查等，在勘查期间临时生活用房、临时工棚、勘查作业及其辅助工程、施工便道、运输便道等使用的土地，包括油气资源勘查中钻井井场、配套管线、电力设施、进场道路等钻井及配套设施使用的土地。 </w:t>
                  </w:r>
                </w:p>
                <w:p w14:paraId="07195E2D">
                  <w:pPr>
                    <w:pStyle w:val="1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二、临时用地选址要求和使用期限 建设项目施工、地质勘查使用临时用地时应坚持“用多少、批多少、占多少、恢复多少”，尽量不占或者少占耕地。临时用地确需占用永久基本农田的，必须能够恢复原种植条件，并符合《自然资源部 农业农村部关于加强和改进永久基本农田 保护工作的通知》（自然资规〔2019〕1号）中申请条件、土壤剥离、复垦验收等有关规定。临时用地使用期限一般不超过两年。</w:t>
                  </w:r>
                </w:p>
                <w:p w14:paraId="5C28EAF2">
                  <w:pPr>
                    <w:pStyle w:val="1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三、规范临时用地审批油气资源探采合一开发涉及的钻井及配套设施建设用地，可先以临时用地方式批准使用，勘探结束转入生产使用的，办理建设用地审批手续；不转入生产的，油气企业应当完成土地复垦，按期归还。申请临时用地应当提供临时用地申请书、临时使用土地合同、项目建设依据文件、土地复垦方案报告表、土地权属材料、勘测定界材料、土地利用现状照片及其他必要的材料。临时用地申请人根据土地权属，与县（市）自然资源主管部门或者农村集体经济组织、村民委员会签订临时使用土地合同，明确临时用地的地点、四至范围、面积和现状地类，以及临时使用土地的用途、使用期限、土地复垦标准、补偿费用和支付方式、违约责任等。临时用地申请人应当编制临时用地土地复垦方案报告表，由有关自然资源主管部门负责审核。</w:t>
                  </w:r>
                </w:p>
              </w:tc>
            </w:tr>
          </w:tbl>
          <w:p w14:paraId="17D064DB">
            <w:pPr>
              <w:pStyle w:val="2"/>
              <w:ind w:firstLine="480" w:firstLineChars="200"/>
              <w:rPr>
                <w:rFonts w:hint="eastAsia" w:ascii="Times New Roman" w:hAnsi="Times New Roman" w:eastAsia="宋体"/>
                <w:b w:val="0"/>
                <w:bCs/>
                <w:color w:val="auto"/>
              </w:rPr>
            </w:pPr>
            <w:r>
              <w:rPr>
                <w:rFonts w:hint="eastAsia" w:ascii="Times New Roman" w:hAnsi="Times New Roman" w:eastAsia="宋体"/>
                <w:b w:val="0"/>
                <w:bCs/>
                <w:color w:val="auto"/>
              </w:rPr>
              <w:t>根据以上法律法规，石油勘探开发临时占用</w:t>
            </w:r>
            <w:r>
              <w:rPr>
                <w:rFonts w:hint="eastAsia" w:ascii="Times New Roman" w:hAnsi="Times New Roman" w:eastAsia="宋体"/>
                <w:b w:val="0"/>
                <w:bCs/>
                <w:color w:val="auto"/>
                <w:lang w:val="en-US" w:eastAsia="zh-CN"/>
              </w:rPr>
              <w:t>耕地</w:t>
            </w:r>
            <w:r>
              <w:rPr>
                <w:rFonts w:hint="eastAsia" w:ascii="Times New Roman" w:hAnsi="Times New Roman" w:eastAsia="宋体"/>
                <w:b w:val="0"/>
                <w:bCs/>
                <w:color w:val="auto"/>
              </w:rPr>
              <w:t>需要办理临时用地手续，根据《土地管理法》第五十七条规定，临时用地使用期限一般不超过2年，临时用地到期后的复垦恢复期限为1年。</w:t>
            </w:r>
          </w:p>
          <w:p w14:paraId="2A57691C">
            <w:pPr>
              <w:pStyle w:val="2"/>
              <w:ind w:firstLine="480" w:firstLineChars="200"/>
              <w:rPr>
                <w:rFonts w:hint="eastAsia" w:ascii="Times New Roman" w:hAnsi="Times New Roman" w:eastAsia="宋体"/>
                <w:b w:val="0"/>
                <w:bCs/>
                <w:color w:val="auto"/>
                <w:lang w:eastAsia="zh-CN"/>
              </w:rPr>
            </w:pPr>
            <w:r>
              <w:rPr>
                <w:rFonts w:hint="eastAsia" w:ascii="Times New Roman" w:hAnsi="Times New Roman" w:eastAsia="宋体"/>
                <w:b w:val="0"/>
                <w:bCs/>
                <w:color w:val="auto"/>
              </w:rPr>
              <w:t>办理临时用地手续应当按照各地临时用地相关规定办理，一是和原来的土地权利人签订临时用地合同，支付临时用地补偿费用，二是报县级以上国土资源部门审批。临时用地申请经国土资源部门核准后，临时用地单位应当按土地复垦方案确定的标准缴纳土地复垦保证金，复垦保证金实行专户管理，做到专款专用。涉及临时占用林地的，在办理使用临时林地时应按规定缴纳森林植被恢复费</w:t>
            </w:r>
            <w:r>
              <w:rPr>
                <w:rFonts w:hint="eastAsia" w:ascii="Times New Roman" w:hAnsi="Times New Roman" w:eastAsia="宋体"/>
                <w:b w:val="0"/>
                <w:bCs/>
                <w:color w:val="auto"/>
                <w:lang w:eastAsia="zh-CN"/>
              </w:rPr>
              <w:t>。</w:t>
            </w:r>
          </w:p>
          <w:p w14:paraId="2C52A144">
            <w:pPr>
              <w:pStyle w:val="2"/>
              <w:ind w:firstLine="480" w:firstLineChars="200"/>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本工程</w:t>
            </w:r>
            <w:r>
              <w:rPr>
                <w:rFonts w:hint="eastAsia" w:eastAsia="宋体" w:cs="Times New Roman"/>
                <w:b w:val="0"/>
                <w:bCs/>
                <w:color w:val="auto"/>
                <w:kern w:val="2"/>
                <w:sz w:val="24"/>
                <w:szCs w:val="24"/>
                <w:lang w:val="en-US" w:eastAsia="zh-CN" w:bidi="ar-SA"/>
              </w:rPr>
              <w:t>临时用地手续</w:t>
            </w:r>
            <w:r>
              <w:rPr>
                <w:rFonts w:hint="eastAsia" w:ascii="Times New Roman" w:hAnsi="Times New Roman" w:eastAsia="宋体"/>
                <w:b w:val="0"/>
                <w:bCs/>
                <w:color w:val="auto"/>
              </w:rPr>
              <w:t>按照各地临时用地相关规定办理</w:t>
            </w:r>
            <w:r>
              <w:rPr>
                <w:rFonts w:hint="eastAsia" w:ascii="Times New Roman" w:hAnsi="Times New Roman" w:eastAsia="宋体" w:cs="Times New Roman"/>
                <w:b w:val="0"/>
                <w:bCs/>
                <w:color w:val="auto"/>
                <w:kern w:val="2"/>
                <w:sz w:val="24"/>
                <w:szCs w:val="24"/>
                <w:lang w:val="en-US" w:eastAsia="zh-CN" w:bidi="ar-SA"/>
              </w:rPr>
              <w:t>，对在钻井施工临时占用耕地造成农作物减产或无法耕种，对于临时占地造成的农作物减产，本次项目除对其进行土地补偿和青苗补偿外，在施工结束后进行耕地的复垦工作，进行必要的土壤抚育，使用有机肥恢复临时占用耕地的生产力</w:t>
            </w:r>
            <w:r>
              <w:rPr>
                <w:rFonts w:hint="eastAsia" w:eastAsia="宋体" w:cs="Times New Roman"/>
                <w:b w:val="0"/>
                <w:bCs/>
                <w:color w:val="auto"/>
                <w:kern w:val="2"/>
                <w:sz w:val="24"/>
                <w:szCs w:val="24"/>
                <w:lang w:val="en-US" w:eastAsia="zh-CN" w:bidi="ar-SA"/>
              </w:rPr>
              <w:t>，且</w:t>
            </w:r>
            <w:r>
              <w:rPr>
                <w:rFonts w:hint="eastAsia" w:ascii="Times New Roman" w:hAnsi="Times New Roman" w:eastAsia="宋体"/>
                <w:b w:val="0"/>
                <w:bCs/>
                <w:color w:val="auto"/>
              </w:rPr>
              <w:t>复垦保证金实行专户管理，做到专款专用</w:t>
            </w:r>
            <w:r>
              <w:rPr>
                <w:rFonts w:hint="eastAsia" w:eastAsia="宋体"/>
                <w:b w:val="0"/>
                <w:bCs/>
                <w:color w:val="auto"/>
                <w:lang w:eastAsia="zh-CN"/>
              </w:rPr>
              <w:t>，</w:t>
            </w:r>
            <w:r>
              <w:rPr>
                <w:rFonts w:hint="eastAsia" w:eastAsia="宋体"/>
                <w:b w:val="0"/>
                <w:bCs/>
                <w:color w:val="auto"/>
                <w:lang w:val="en-US" w:eastAsia="zh-CN"/>
              </w:rPr>
              <w:t>本项目不</w:t>
            </w:r>
            <w:r>
              <w:rPr>
                <w:rFonts w:hint="eastAsia" w:ascii="Times New Roman" w:hAnsi="Times New Roman" w:eastAsia="宋体"/>
                <w:b w:val="0"/>
                <w:bCs/>
                <w:color w:val="auto"/>
              </w:rPr>
              <w:t>涉及临时占用林地</w:t>
            </w:r>
            <w:r>
              <w:rPr>
                <w:rFonts w:hint="eastAsia" w:ascii="Times New Roman" w:hAnsi="Times New Roman" w:eastAsia="宋体" w:cs="Times New Roman"/>
                <w:b w:val="0"/>
                <w:bCs/>
                <w:color w:val="auto"/>
                <w:kern w:val="2"/>
                <w:sz w:val="24"/>
                <w:szCs w:val="24"/>
                <w:lang w:val="en-US" w:eastAsia="zh-CN" w:bidi="ar-SA"/>
              </w:rPr>
              <w:t>。</w:t>
            </w:r>
          </w:p>
          <w:p w14:paraId="74B6C55A">
            <w:pPr>
              <w:pStyle w:val="2"/>
              <w:ind w:firstLine="480" w:firstLineChars="200"/>
              <w:rPr>
                <w:rFonts w:hint="eastAsia" w:ascii="Times New Roman" w:hAnsi="Times New Roman" w:eastAsia="宋体"/>
                <w:b w:val="0"/>
                <w:bCs/>
                <w:color w:val="auto"/>
                <w:lang w:eastAsia="zh-CN"/>
              </w:rPr>
            </w:pPr>
            <w:r>
              <w:rPr>
                <w:rFonts w:hint="eastAsia" w:ascii="Times New Roman" w:hAnsi="Times New Roman" w:eastAsia="宋体"/>
                <w:b w:val="0"/>
                <w:bCs/>
                <w:color w:val="auto"/>
                <w:lang w:eastAsia="zh-CN"/>
              </w:rPr>
              <w:t>（</w:t>
            </w:r>
            <w:r>
              <w:rPr>
                <w:rFonts w:hint="eastAsia" w:ascii="Times New Roman" w:hAnsi="Times New Roman" w:eastAsia="宋体"/>
                <w:b w:val="0"/>
                <w:bCs/>
                <w:color w:val="auto"/>
                <w:lang w:val="en-US" w:eastAsia="zh-CN"/>
              </w:rPr>
              <w:t>7</w:t>
            </w:r>
            <w:r>
              <w:rPr>
                <w:rFonts w:hint="eastAsia" w:ascii="Times New Roman" w:hAnsi="Times New Roman" w:eastAsia="宋体"/>
                <w:b w:val="0"/>
                <w:bCs/>
                <w:color w:val="auto"/>
                <w:lang w:eastAsia="zh-CN"/>
              </w:rPr>
              <w:t>）临时用地期满后续管理政策</w:t>
            </w:r>
          </w:p>
          <w:p w14:paraId="5F44047C">
            <w:pPr>
              <w:pStyle w:val="2"/>
              <w:ind w:firstLine="480" w:firstLineChars="200"/>
              <w:rPr>
                <w:rFonts w:hint="eastAsia" w:ascii="Times New Roman" w:hAnsi="Times New Roman" w:eastAsia="宋体"/>
                <w:b w:val="0"/>
                <w:bCs/>
                <w:color w:val="auto"/>
                <w:lang w:eastAsia="zh-CN"/>
              </w:rPr>
            </w:pPr>
            <w:r>
              <w:rPr>
                <w:rFonts w:hint="eastAsia" w:ascii="Times New Roman" w:hAnsi="Times New Roman" w:eastAsia="宋体"/>
                <w:b w:val="0"/>
                <w:bCs/>
                <w:color w:val="auto"/>
                <w:lang w:eastAsia="zh-CN"/>
              </w:rPr>
              <w:t>根据《中华人民共和国土地管理法实施条例》</w:t>
            </w:r>
            <w:r>
              <w:rPr>
                <w:rFonts w:hint="eastAsia" w:ascii="Times New Roman" w:hAnsi="Times New Roman" w:eastAsia="宋体"/>
                <w:b w:val="0"/>
                <w:bCs/>
                <w:color w:val="auto"/>
                <w:lang w:val="en-US" w:eastAsia="zh-CN"/>
              </w:rPr>
              <w:t>（</w:t>
            </w:r>
            <w:r>
              <w:rPr>
                <w:rFonts w:hint="eastAsia" w:ascii="Times New Roman" w:hAnsi="Times New Roman" w:eastAsia="宋体"/>
                <w:b w:val="0"/>
                <w:bCs/>
                <w:color w:val="auto"/>
                <w:lang w:eastAsia="zh-CN"/>
              </w:rPr>
              <w:t>国务院令第</w:t>
            </w:r>
            <w:r>
              <w:rPr>
                <w:rFonts w:hint="eastAsia" w:ascii="Times New Roman" w:hAnsi="Times New Roman" w:eastAsia="宋体"/>
                <w:b w:val="0"/>
                <w:bCs/>
                <w:color w:val="auto"/>
                <w:lang w:val="en-US" w:eastAsia="zh-CN"/>
              </w:rPr>
              <w:t>743号</w:t>
            </w:r>
            <w:r>
              <w:rPr>
                <w:rFonts w:hint="eastAsia" w:ascii="Times New Roman" w:hAnsi="Times New Roman" w:eastAsia="宋体"/>
                <w:b w:val="0"/>
                <w:bCs/>
                <w:color w:val="auto"/>
                <w:lang w:eastAsia="zh-CN"/>
              </w:rPr>
              <w:t>），第二十条，</w:t>
            </w:r>
            <w:r>
              <w:rPr>
                <w:rFonts w:hint="default" w:ascii="Times New Roman" w:hAnsi="Times New Roman" w:eastAsia="宋体" w:cs="Times New Roman"/>
                <w:b w:val="0"/>
                <w:bCs/>
                <w:color w:val="auto"/>
                <w:lang w:eastAsia="zh-CN"/>
              </w:rPr>
              <w:t>“</w:t>
            </w:r>
            <w:r>
              <w:rPr>
                <w:rFonts w:hint="eastAsia" w:ascii="Times New Roman" w:hAnsi="Times New Roman" w:eastAsia="宋体"/>
                <w:b w:val="0"/>
                <w:bCs/>
                <w:color w:val="auto"/>
                <w:lang w:eastAsia="zh-CN"/>
              </w:rPr>
              <w:t>土地使用者应当自临时用地期满之日起一年内完成土地复垦，使其达到可供利用状态</w:t>
            </w:r>
            <w:r>
              <w:rPr>
                <w:rFonts w:hint="default" w:ascii="Times New Roman" w:hAnsi="Times New Roman" w:eastAsia="宋体" w:cs="Times New Roman"/>
                <w:b w:val="0"/>
                <w:bCs/>
                <w:color w:val="auto"/>
                <w:lang w:eastAsia="zh-CN"/>
              </w:rPr>
              <w:t>”</w:t>
            </w:r>
            <w:r>
              <w:rPr>
                <w:rFonts w:hint="eastAsia" w:ascii="Times New Roman" w:hAnsi="Times New Roman" w:eastAsia="宋体"/>
                <w:b w:val="0"/>
                <w:bCs/>
                <w:color w:val="auto"/>
                <w:lang w:eastAsia="zh-CN"/>
              </w:rPr>
              <w:t>；《自然资源部 农业农村部 国家林业和草原局关于严格耕地用途管制有关问题的通知》（自然资发</w:t>
            </w:r>
            <w:r>
              <w:rPr>
                <w:rFonts w:hint="default" w:ascii="Times New Roman" w:hAnsi="Times New Roman" w:eastAsia="宋体"/>
                <w:b w:val="0"/>
                <w:bCs/>
                <w:color w:val="auto"/>
                <w:lang w:val="en-US" w:eastAsia="zh-CN"/>
              </w:rPr>
              <w:t>〔</w:t>
            </w:r>
            <w:r>
              <w:rPr>
                <w:rFonts w:hint="eastAsia" w:ascii="Times New Roman" w:hAnsi="Times New Roman" w:eastAsia="宋体"/>
                <w:b w:val="0"/>
                <w:bCs/>
                <w:color w:val="auto"/>
                <w:lang w:eastAsia="zh-CN"/>
              </w:rPr>
              <w:t>20</w:t>
            </w:r>
            <w:r>
              <w:rPr>
                <w:rFonts w:hint="eastAsia" w:ascii="Times New Roman" w:hAnsi="Times New Roman" w:eastAsia="宋体"/>
                <w:b w:val="0"/>
                <w:bCs/>
                <w:color w:val="auto"/>
                <w:lang w:val="en-US" w:eastAsia="zh-CN"/>
              </w:rPr>
              <w:t>21</w:t>
            </w:r>
            <w:r>
              <w:rPr>
                <w:rFonts w:hint="default" w:ascii="Times New Roman" w:hAnsi="Times New Roman" w:eastAsia="宋体" w:cs="Times New Roman"/>
                <w:b w:val="0"/>
                <w:bCs/>
                <w:color w:val="auto"/>
                <w:lang w:val="en-US" w:eastAsia="zh-CN"/>
              </w:rPr>
              <w:t>〕</w:t>
            </w:r>
            <w:r>
              <w:rPr>
                <w:rFonts w:hint="eastAsia" w:ascii="Times New Roman" w:hAnsi="Times New Roman" w:eastAsia="宋体"/>
                <w:b w:val="0"/>
                <w:bCs/>
                <w:color w:val="auto"/>
                <w:lang w:eastAsia="zh-CN"/>
              </w:rPr>
              <w:t>166号）要求</w:t>
            </w:r>
            <w:r>
              <w:rPr>
                <w:rFonts w:hint="default" w:ascii="Times New Roman" w:hAnsi="Times New Roman" w:eastAsia="宋体" w:cs="Times New Roman"/>
                <w:b w:val="0"/>
                <w:bCs/>
                <w:color w:val="auto"/>
                <w:lang w:eastAsia="zh-CN"/>
              </w:rPr>
              <w:t>“</w:t>
            </w:r>
            <w:r>
              <w:rPr>
                <w:rFonts w:hint="eastAsia" w:ascii="Times New Roman" w:hAnsi="Times New Roman" w:eastAsia="宋体"/>
                <w:b w:val="0"/>
                <w:bCs/>
                <w:color w:val="auto"/>
                <w:lang w:eastAsia="zh-CN"/>
              </w:rPr>
              <w:t>能源、交通、水利、军事设施等重大建设项目选址确实难以避让永久基本农田的，经依法批准，应在落实耕地占补平衡基础上，按照数量不减、质量不降原则，在可以长期稳定利用的耕地上落实永久基本农田补划任务</w:t>
            </w:r>
            <w:r>
              <w:rPr>
                <w:rFonts w:hint="default" w:ascii="Times New Roman" w:hAnsi="Times New Roman" w:eastAsia="宋体" w:cs="Times New Roman"/>
                <w:b w:val="0"/>
                <w:bCs/>
                <w:color w:val="auto"/>
                <w:lang w:eastAsia="zh-CN"/>
              </w:rPr>
              <w:t>”</w:t>
            </w:r>
            <w:r>
              <w:rPr>
                <w:rFonts w:hint="eastAsia" w:ascii="Times New Roman" w:hAnsi="Times New Roman" w:eastAsia="宋体"/>
                <w:b w:val="0"/>
                <w:bCs/>
                <w:color w:val="auto"/>
                <w:lang w:eastAsia="zh-CN"/>
              </w:rPr>
              <w:t>。</w:t>
            </w:r>
          </w:p>
          <w:p w14:paraId="088FE18B">
            <w:pPr>
              <w:pStyle w:val="3"/>
              <w:rPr>
                <w:rFonts w:hint="eastAsia" w:ascii="Times New Roman" w:hAnsi="Times New Roman" w:eastAsia="宋体"/>
                <w:color w:val="auto"/>
                <w:lang w:eastAsia="zh-CN"/>
              </w:rPr>
            </w:pPr>
            <w:r>
              <w:rPr>
                <w:rFonts w:hint="eastAsia" w:ascii="Times New Roman" w:hAnsi="Times New Roman" w:eastAsia="宋体"/>
                <w:b w:val="0"/>
                <w:bCs/>
                <w:color w:val="auto"/>
                <w:lang w:eastAsia="zh-CN"/>
              </w:rPr>
              <w:t>本项目</w:t>
            </w:r>
            <w:r>
              <w:rPr>
                <w:rFonts w:hint="eastAsia" w:eastAsia="宋体"/>
                <w:b w:val="0"/>
                <w:bCs/>
                <w:color w:val="auto"/>
                <w:lang w:val="en-US" w:eastAsia="zh-CN"/>
              </w:rPr>
              <w:t>属于勘探井项目，</w:t>
            </w:r>
            <w:r>
              <w:rPr>
                <w:rFonts w:hint="eastAsia" w:ascii="Times New Roman" w:hAnsi="Times New Roman" w:eastAsia="宋体"/>
                <w:b w:val="0"/>
                <w:bCs/>
                <w:color w:val="auto"/>
                <w:lang w:eastAsia="zh-CN"/>
              </w:rPr>
              <w:t>已明确提出勘探工程结束后，按照政府规范和要求进行土地复垦，恢复原貌。</w:t>
            </w:r>
          </w:p>
          <w:p w14:paraId="67C92C0E">
            <w:pPr>
              <w:pStyle w:val="2"/>
              <w:ind w:firstLine="482" w:firstLineChars="200"/>
              <w:rPr>
                <w:rFonts w:ascii="Times New Roman" w:hAnsi="Times New Roman" w:eastAsia="宋体"/>
                <w:color w:val="auto"/>
              </w:rPr>
            </w:pPr>
            <w:r>
              <w:rPr>
                <w:rFonts w:hint="eastAsia" w:ascii="Times New Roman" w:hAnsi="Times New Roman" w:eastAsia="宋体"/>
                <w:color w:val="auto"/>
                <w:lang w:val="en-US" w:eastAsia="zh-CN"/>
              </w:rPr>
              <w:t>2</w:t>
            </w:r>
            <w:r>
              <w:rPr>
                <w:rFonts w:hint="eastAsia" w:ascii="Times New Roman" w:hAnsi="Times New Roman" w:eastAsia="宋体"/>
                <w:color w:val="auto"/>
              </w:rPr>
              <w:t>、</w:t>
            </w:r>
            <w:r>
              <w:rPr>
                <w:rFonts w:hint="default" w:ascii="Times New Roman" w:hAnsi="Times New Roman" w:eastAsia="宋体" w:cs="Times New Roman"/>
                <w:color w:val="auto"/>
              </w:rPr>
              <w:t>“</w:t>
            </w:r>
            <w:r>
              <w:rPr>
                <w:rFonts w:hint="eastAsia" w:ascii="Times New Roman" w:hAnsi="Times New Roman" w:eastAsia="宋体"/>
                <w:color w:val="auto"/>
              </w:rPr>
              <w:t>三线一单</w:t>
            </w:r>
            <w:r>
              <w:rPr>
                <w:rFonts w:hint="default" w:ascii="Times New Roman" w:hAnsi="Times New Roman" w:eastAsia="宋体" w:cs="Times New Roman"/>
                <w:color w:val="auto"/>
              </w:rPr>
              <w:t>”</w:t>
            </w:r>
            <w:r>
              <w:rPr>
                <w:rFonts w:hint="eastAsia" w:ascii="Times New Roman" w:hAnsi="Times New Roman" w:eastAsia="宋体"/>
                <w:color w:val="auto"/>
              </w:rPr>
              <w:t>相符性分析</w:t>
            </w:r>
          </w:p>
          <w:p w14:paraId="3341398E">
            <w:pPr>
              <w:pStyle w:val="3"/>
              <w:ind w:firstLine="480"/>
              <w:rPr>
                <w:rFonts w:ascii="Times New Roman" w:hAnsi="Times New Roman" w:eastAsia="宋体"/>
                <w:color w:val="auto"/>
              </w:rPr>
            </w:pPr>
            <w:r>
              <w:rPr>
                <w:rFonts w:hint="eastAsia" w:ascii="Times New Roman" w:hAnsi="Times New Roman" w:eastAsia="宋体"/>
                <w:color w:val="auto"/>
              </w:rPr>
              <w:t>（1）生态保护红线</w:t>
            </w:r>
          </w:p>
          <w:p w14:paraId="32BE45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宋体"/>
                <w:color w:val="auto"/>
                <w:kern w:val="0"/>
                <w:sz w:val="24"/>
                <w:szCs w:val="24"/>
                <w:lang w:val="en-US" w:eastAsia="zh-CN" w:bidi="ar-SA"/>
              </w:rPr>
              <w:t>本</w:t>
            </w:r>
            <w:r>
              <w:rPr>
                <w:rFonts w:hint="eastAsia" w:ascii="Times New Roman" w:hAnsi="Times New Roman" w:eastAsia="宋体" w:cs="Times New Roman"/>
                <w:b w:val="0"/>
                <w:bCs/>
                <w:color w:val="auto"/>
                <w:kern w:val="2"/>
                <w:sz w:val="24"/>
                <w:szCs w:val="24"/>
                <w:lang w:val="en-US" w:eastAsia="zh-CN" w:bidi="ar-SA"/>
              </w:rPr>
              <w:t>项目位于高邮市汤庄镇双屏村、甸垛村。对照《省政府关于印发江苏省生态空间管控区域规划的通知》（苏政发</w:t>
            </w:r>
            <w:r>
              <w:rPr>
                <w:rFonts w:hint="default" w:ascii="Times New Roman" w:hAnsi="Times New Roman" w:eastAsia="宋体" w:cs="Times New Roman"/>
                <w:b w:val="0"/>
                <w:bCs/>
                <w:color w:val="auto"/>
                <w:kern w:val="2"/>
                <w:sz w:val="24"/>
                <w:szCs w:val="24"/>
                <w:lang w:val="en-US" w:eastAsia="zh-CN" w:bidi="ar-SA"/>
              </w:rPr>
              <w:t>〔2020〕1</w:t>
            </w:r>
            <w:r>
              <w:rPr>
                <w:rFonts w:hint="eastAsia" w:ascii="Times New Roman" w:hAnsi="Times New Roman" w:eastAsia="宋体" w:cs="Times New Roman"/>
                <w:b w:val="0"/>
                <w:bCs/>
                <w:color w:val="auto"/>
                <w:kern w:val="2"/>
                <w:sz w:val="24"/>
                <w:szCs w:val="24"/>
                <w:lang w:val="en-US" w:eastAsia="zh-CN" w:bidi="ar-SA"/>
              </w:rPr>
              <w:t>号）、《江苏省国家级生态保护红线规划》（苏政发〔</w:t>
            </w:r>
            <w:r>
              <w:rPr>
                <w:rFonts w:hint="default" w:ascii="Times New Roman" w:hAnsi="Times New Roman" w:eastAsia="宋体" w:cs="Times New Roman"/>
                <w:b w:val="0"/>
                <w:bCs/>
                <w:color w:val="auto"/>
                <w:kern w:val="2"/>
                <w:sz w:val="24"/>
                <w:szCs w:val="24"/>
                <w:lang w:val="en-US" w:eastAsia="zh-CN" w:bidi="ar-SA"/>
              </w:rPr>
              <w:t>2018</w:t>
            </w:r>
            <w:r>
              <w:rPr>
                <w:rFonts w:hint="eastAsia" w:ascii="Times New Roman" w:hAnsi="Times New Roman" w:eastAsia="宋体" w:cs="Times New Roman"/>
                <w:b w:val="0"/>
                <w:bCs/>
                <w:color w:val="auto"/>
                <w:kern w:val="2"/>
                <w:sz w:val="24"/>
                <w:szCs w:val="24"/>
                <w:lang w:val="en-US" w:eastAsia="zh-CN" w:bidi="ar-SA"/>
              </w:rPr>
              <w:t>〕</w:t>
            </w:r>
            <w:r>
              <w:rPr>
                <w:rFonts w:hint="default" w:ascii="Times New Roman" w:hAnsi="Times New Roman" w:eastAsia="宋体" w:cs="Times New Roman"/>
                <w:b w:val="0"/>
                <w:bCs/>
                <w:color w:val="auto"/>
                <w:kern w:val="2"/>
                <w:sz w:val="24"/>
                <w:szCs w:val="24"/>
                <w:lang w:val="en-US" w:eastAsia="zh-CN" w:bidi="ar-SA"/>
              </w:rPr>
              <w:t>74</w:t>
            </w:r>
            <w:r>
              <w:rPr>
                <w:rFonts w:hint="eastAsia" w:ascii="Times New Roman" w:hAnsi="Times New Roman" w:eastAsia="宋体" w:cs="Times New Roman"/>
                <w:b w:val="0"/>
                <w:bCs/>
                <w:color w:val="auto"/>
                <w:kern w:val="2"/>
                <w:sz w:val="24"/>
                <w:szCs w:val="24"/>
                <w:lang w:val="en-US" w:eastAsia="zh-CN" w:bidi="ar-SA"/>
              </w:rPr>
              <w:t>号）、《关于印发江苏省</w:t>
            </w:r>
            <w:r>
              <w:rPr>
                <w:rFonts w:hint="default" w:ascii="Times New Roman" w:hAnsi="Times New Roman" w:eastAsia="宋体" w:cs="Times New Roman"/>
                <w:b w:val="0"/>
                <w:bCs/>
                <w:color w:val="auto"/>
                <w:kern w:val="2"/>
                <w:sz w:val="24"/>
                <w:szCs w:val="24"/>
                <w:lang w:val="en-US" w:eastAsia="zh-CN" w:bidi="ar-SA"/>
              </w:rPr>
              <w:t>“</w:t>
            </w:r>
            <w:r>
              <w:rPr>
                <w:rFonts w:hint="eastAsia" w:ascii="Times New Roman" w:hAnsi="Times New Roman" w:eastAsia="宋体" w:cs="Times New Roman"/>
                <w:b w:val="0"/>
                <w:bCs/>
                <w:color w:val="auto"/>
                <w:kern w:val="2"/>
                <w:sz w:val="24"/>
                <w:szCs w:val="24"/>
                <w:lang w:val="en-US" w:eastAsia="zh-CN" w:bidi="ar-SA"/>
              </w:rPr>
              <w:t>三线一单</w:t>
            </w:r>
            <w:r>
              <w:rPr>
                <w:rFonts w:hint="default" w:ascii="Times New Roman" w:hAnsi="Times New Roman" w:eastAsia="宋体" w:cs="Times New Roman"/>
                <w:b w:val="0"/>
                <w:bCs/>
                <w:color w:val="auto"/>
                <w:kern w:val="2"/>
                <w:sz w:val="24"/>
                <w:szCs w:val="24"/>
                <w:lang w:val="en-US" w:eastAsia="zh-CN" w:bidi="ar-SA"/>
              </w:rPr>
              <w:t>”</w:t>
            </w:r>
            <w:r>
              <w:rPr>
                <w:rFonts w:hint="eastAsia" w:ascii="Times New Roman" w:hAnsi="Times New Roman" w:eastAsia="宋体" w:cs="Times New Roman"/>
                <w:b w:val="0"/>
                <w:bCs/>
                <w:color w:val="auto"/>
                <w:kern w:val="2"/>
                <w:sz w:val="24"/>
                <w:szCs w:val="24"/>
                <w:lang w:val="en-US" w:eastAsia="zh-CN" w:bidi="ar-SA"/>
              </w:rPr>
              <w:t>生态环境分区管控方案的通知》（苏政发〔</w:t>
            </w:r>
            <w:r>
              <w:rPr>
                <w:rFonts w:hint="default" w:ascii="Times New Roman" w:hAnsi="Times New Roman" w:eastAsia="宋体" w:cs="Times New Roman"/>
                <w:b w:val="0"/>
                <w:bCs/>
                <w:color w:val="auto"/>
                <w:kern w:val="2"/>
                <w:sz w:val="24"/>
                <w:szCs w:val="24"/>
                <w:lang w:val="en-US" w:eastAsia="zh-CN" w:bidi="ar-SA"/>
              </w:rPr>
              <w:t>2020</w:t>
            </w:r>
            <w:r>
              <w:rPr>
                <w:rFonts w:hint="eastAsia" w:ascii="Times New Roman" w:hAnsi="Times New Roman" w:eastAsia="宋体" w:cs="Times New Roman"/>
                <w:b w:val="0"/>
                <w:bCs/>
                <w:color w:val="auto"/>
                <w:kern w:val="2"/>
                <w:sz w:val="24"/>
                <w:szCs w:val="24"/>
                <w:lang w:val="en-US" w:eastAsia="zh-CN" w:bidi="ar-SA"/>
              </w:rPr>
              <w:t>〕</w:t>
            </w:r>
            <w:r>
              <w:rPr>
                <w:rFonts w:hint="default" w:ascii="Times New Roman" w:hAnsi="Times New Roman" w:eastAsia="宋体" w:cs="Times New Roman"/>
                <w:b w:val="0"/>
                <w:bCs/>
                <w:color w:val="auto"/>
                <w:kern w:val="2"/>
                <w:sz w:val="24"/>
                <w:szCs w:val="24"/>
                <w:lang w:val="en-US" w:eastAsia="zh-CN" w:bidi="ar-SA"/>
              </w:rPr>
              <w:t>49</w:t>
            </w:r>
            <w:r>
              <w:rPr>
                <w:rFonts w:hint="eastAsia" w:ascii="Times New Roman" w:hAnsi="Times New Roman" w:eastAsia="宋体" w:cs="Times New Roman"/>
                <w:b w:val="0"/>
                <w:bCs/>
                <w:color w:val="auto"/>
                <w:kern w:val="2"/>
                <w:sz w:val="24"/>
                <w:szCs w:val="24"/>
                <w:lang w:val="en-US" w:eastAsia="zh-CN" w:bidi="ar-SA"/>
              </w:rPr>
              <w:t>号）、《关于印发〈扬州市</w:t>
            </w:r>
            <w:r>
              <w:rPr>
                <w:rFonts w:hint="default" w:ascii="Times New Roman" w:hAnsi="Times New Roman" w:eastAsia="宋体" w:cs="Times New Roman"/>
                <w:b w:val="0"/>
                <w:bCs/>
                <w:color w:val="auto"/>
                <w:kern w:val="2"/>
                <w:sz w:val="24"/>
                <w:szCs w:val="24"/>
                <w:lang w:val="en-US" w:eastAsia="zh-CN" w:bidi="ar-SA"/>
              </w:rPr>
              <w:t>“</w:t>
            </w:r>
            <w:r>
              <w:rPr>
                <w:rFonts w:hint="eastAsia" w:ascii="Times New Roman" w:hAnsi="Times New Roman" w:eastAsia="宋体" w:cs="Times New Roman"/>
                <w:b w:val="0"/>
                <w:bCs/>
                <w:color w:val="auto"/>
                <w:kern w:val="2"/>
                <w:sz w:val="24"/>
                <w:szCs w:val="24"/>
                <w:lang w:val="en-US" w:eastAsia="zh-CN" w:bidi="ar-SA"/>
              </w:rPr>
              <w:t>三线一单</w:t>
            </w:r>
            <w:r>
              <w:rPr>
                <w:rFonts w:hint="default" w:ascii="Times New Roman" w:hAnsi="Times New Roman" w:eastAsia="宋体" w:cs="Times New Roman"/>
                <w:b w:val="0"/>
                <w:bCs/>
                <w:color w:val="auto"/>
                <w:kern w:val="2"/>
                <w:sz w:val="24"/>
                <w:szCs w:val="24"/>
                <w:lang w:val="en-US" w:eastAsia="zh-CN" w:bidi="ar-SA"/>
              </w:rPr>
              <w:t>”</w:t>
            </w:r>
            <w:r>
              <w:rPr>
                <w:rFonts w:hint="eastAsia" w:ascii="Times New Roman" w:hAnsi="Times New Roman" w:eastAsia="宋体" w:cs="Times New Roman"/>
                <w:b w:val="0"/>
                <w:bCs/>
                <w:color w:val="auto"/>
                <w:kern w:val="2"/>
                <w:sz w:val="24"/>
                <w:szCs w:val="24"/>
                <w:lang w:val="en-US" w:eastAsia="zh-CN" w:bidi="ar-SA"/>
              </w:rPr>
              <w:t>生态环境分区管控实施方案〉的通知》（扬环</w:t>
            </w:r>
            <w:r>
              <w:rPr>
                <w:rFonts w:hint="default" w:ascii="Times New Roman" w:hAnsi="Times New Roman" w:eastAsia="宋体" w:cs="Times New Roman"/>
                <w:b w:val="0"/>
                <w:bCs/>
                <w:color w:val="auto"/>
                <w:kern w:val="2"/>
                <w:sz w:val="24"/>
                <w:szCs w:val="24"/>
                <w:lang w:val="en-US" w:eastAsia="zh-CN" w:bidi="ar-SA"/>
              </w:rPr>
              <w:t>〔2021〕2</w:t>
            </w:r>
            <w:r>
              <w:rPr>
                <w:rFonts w:hint="eastAsia" w:ascii="Times New Roman" w:hAnsi="Times New Roman" w:eastAsia="宋体" w:cs="Times New Roman"/>
                <w:b w:val="0"/>
                <w:bCs/>
                <w:color w:val="auto"/>
                <w:kern w:val="2"/>
                <w:sz w:val="24"/>
                <w:szCs w:val="24"/>
                <w:lang w:val="en-US" w:eastAsia="zh-CN" w:bidi="ar-SA"/>
              </w:rPr>
              <w:t>号），本项目沙105</w:t>
            </w:r>
            <w:r>
              <w:rPr>
                <w:rFonts w:hint="eastAsia" w:cs="Times New Roman"/>
                <w:b w:val="0"/>
                <w:bCs/>
                <w:color w:val="auto"/>
                <w:kern w:val="2"/>
                <w:sz w:val="24"/>
                <w:szCs w:val="24"/>
                <w:lang w:val="en-US" w:eastAsia="zh-CN" w:bidi="ar-SA"/>
              </w:rPr>
              <w:t>、沙86</w:t>
            </w:r>
            <w:r>
              <w:rPr>
                <w:rFonts w:hint="eastAsia" w:ascii="Times New Roman" w:hAnsi="Times New Roman" w:eastAsia="宋体" w:cs="Times New Roman"/>
                <w:b w:val="0"/>
                <w:bCs/>
                <w:color w:val="auto"/>
                <w:kern w:val="2"/>
                <w:sz w:val="24"/>
                <w:szCs w:val="24"/>
                <w:lang w:val="en-US" w:eastAsia="zh-CN" w:bidi="ar-SA"/>
              </w:rPr>
              <w:t>斜井</w:t>
            </w:r>
            <w:r>
              <w:rPr>
                <w:rFonts w:hint="eastAsia" w:cs="Times New Roman"/>
                <w:b w:val="0"/>
                <w:bCs/>
                <w:color w:val="auto"/>
                <w:kern w:val="2"/>
                <w:sz w:val="24"/>
                <w:szCs w:val="24"/>
                <w:lang w:val="en-US" w:eastAsia="zh-CN" w:bidi="ar-SA"/>
              </w:rPr>
              <w:t>距离最近</w:t>
            </w:r>
            <w:r>
              <w:rPr>
                <w:rFonts w:hint="eastAsia" w:ascii="Times New Roman" w:hAnsi="Times New Roman" w:eastAsia="宋体" w:cs="Times New Roman"/>
                <w:b w:val="0"/>
                <w:bCs/>
                <w:color w:val="auto"/>
                <w:kern w:val="2"/>
                <w:sz w:val="24"/>
                <w:szCs w:val="24"/>
                <w:lang w:val="en-US" w:eastAsia="zh-CN" w:bidi="ar-SA"/>
              </w:rPr>
              <w:t>的生态空间保护区域为卤汀河（兴化市）清水通道维护区、江苏扬州花鱼塘省级湿地公园和三阳河（高邮市）清水通道维护区，区域生态空间保护区域具体情况如下。</w:t>
            </w:r>
          </w:p>
          <w:p w14:paraId="07CD5449">
            <w:pPr>
              <w:pStyle w:val="16"/>
              <w:rPr>
                <w:rFonts w:hint="eastAsia" w:ascii="Times New Roman" w:hAnsi="Times New Roman" w:eastAsia="宋体"/>
                <w:color w:val="auto"/>
              </w:rPr>
            </w:pPr>
            <w:r>
              <w:rPr>
                <w:rFonts w:hint="eastAsia" w:ascii="Times New Roman" w:hAnsi="Times New Roman" w:eastAsia="宋体"/>
                <w:color w:val="auto"/>
              </w:rPr>
              <w:t>表1-</w:t>
            </w:r>
            <w:r>
              <w:rPr>
                <w:rFonts w:hint="eastAsia" w:ascii="Times New Roman" w:hAnsi="Times New Roman" w:eastAsia="宋体"/>
                <w:color w:val="auto"/>
                <w:lang w:val="en-US" w:eastAsia="zh-CN"/>
              </w:rPr>
              <w:t>2</w:t>
            </w:r>
            <w:r>
              <w:rPr>
                <w:rFonts w:hint="eastAsia" w:ascii="Times New Roman" w:hAnsi="Times New Roman" w:eastAsia="宋体"/>
                <w:color w:val="auto"/>
              </w:rPr>
              <w:t xml:space="preserve">  生态空间保护区域情况</w:t>
            </w:r>
          </w:p>
          <w:tbl>
            <w:tblPr>
              <w:tblStyle w:val="1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8"/>
              <w:gridCol w:w="661"/>
              <w:gridCol w:w="1267"/>
              <w:gridCol w:w="1320"/>
              <w:gridCol w:w="1095"/>
              <w:gridCol w:w="1103"/>
              <w:gridCol w:w="837"/>
            </w:tblGrid>
            <w:tr w14:paraId="3D1C2D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restart"/>
                  <w:tcBorders>
                    <w:tl2br w:val="nil"/>
                    <w:tr2bl w:val="nil"/>
                  </w:tcBorders>
                  <w:shd w:val="clear" w:color="auto" w:fill="auto"/>
                  <w:vAlign w:val="center"/>
                </w:tcPr>
                <w:p w14:paraId="3EF348A0">
                  <w:pPr>
                    <w:pStyle w:val="17"/>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名称</w:t>
                  </w:r>
                </w:p>
              </w:tc>
              <w:tc>
                <w:tcPr>
                  <w:tcW w:w="460" w:type="pct"/>
                  <w:vMerge w:val="restart"/>
                  <w:tcBorders>
                    <w:tl2br w:val="nil"/>
                    <w:tr2bl w:val="nil"/>
                  </w:tcBorders>
                  <w:shd w:val="clear" w:color="auto" w:fill="auto"/>
                  <w:vAlign w:val="center"/>
                </w:tcPr>
                <w:p w14:paraId="5D0CB449">
                  <w:pPr>
                    <w:pStyle w:val="17"/>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主导生态功能</w:t>
                  </w:r>
                </w:p>
              </w:tc>
              <w:tc>
                <w:tcPr>
                  <w:tcW w:w="1801" w:type="pct"/>
                  <w:gridSpan w:val="2"/>
                  <w:tcBorders>
                    <w:tl2br w:val="nil"/>
                    <w:tr2bl w:val="nil"/>
                  </w:tcBorders>
                  <w:shd w:val="clear" w:color="auto" w:fill="auto"/>
                  <w:vAlign w:val="center"/>
                </w:tcPr>
                <w:p w14:paraId="08B7FC45">
                  <w:pPr>
                    <w:pStyle w:val="17"/>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范围</w:t>
                  </w:r>
                </w:p>
              </w:tc>
              <w:tc>
                <w:tcPr>
                  <w:tcW w:w="2113" w:type="pct"/>
                  <w:gridSpan w:val="3"/>
                  <w:tcBorders>
                    <w:tl2br w:val="nil"/>
                    <w:tr2bl w:val="nil"/>
                  </w:tcBorders>
                  <w:shd w:val="clear" w:color="auto" w:fill="auto"/>
                  <w:vAlign w:val="center"/>
                </w:tcPr>
                <w:p w14:paraId="37A67269">
                  <w:pPr>
                    <w:pStyle w:val="17"/>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面积（平方公里）</w:t>
                  </w:r>
                </w:p>
              </w:tc>
            </w:tr>
            <w:tr w14:paraId="23525A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5" w:type="pct"/>
                  <w:vMerge w:val="continue"/>
                  <w:tcBorders>
                    <w:tl2br w:val="nil"/>
                    <w:tr2bl w:val="nil"/>
                  </w:tcBorders>
                  <w:shd w:val="clear" w:color="auto" w:fill="auto"/>
                  <w:vAlign w:val="center"/>
                </w:tcPr>
                <w:p w14:paraId="2B048B4A">
                  <w:pPr>
                    <w:pStyle w:val="17"/>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color w:val="auto"/>
                      <w:sz w:val="21"/>
                      <w:szCs w:val="21"/>
                    </w:rPr>
                  </w:pPr>
                </w:p>
              </w:tc>
              <w:tc>
                <w:tcPr>
                  <w:tcW w:w="460" w:type="pct"/>
                  <w:vMerge w:val="continue"/>
                  <w:tcBorders>
                    <w:tl2br w:val="nil"/>
                    <w:tr2bl w:val="nil"/>
                  </w:tcBorders>
                  <w:shd w:val="clear" w:color="auto" w:fill="auto"/>
                  <w:vAlign w:val="center"/>
                </w:tcPr>
                <w:p w14:paraId="657A7334">
                  <w:pPr>
                    <w:pStyle w:val="17"/>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color w:val="auto"/>
                      <w:sz w:val="21"/>
                      <w:szCs w:val="21"/>
                    </w:rPr>
                  </w:pPr>
                </w:p>
              </w:tc>
              <w:tc>
                <w:tcPr>
                  <w:tcW w:w="882" w:type="pct"/>
                  <w:tcBorders>
                    <w:tl2br w:val="nil"/>
                    <w:tr2bl w:val="nil"/>
                  </w:tcBorders>
                  <w:shd w:val="clear" w:color="auto" w:fill="auto"/>
                  <w:vAlign w:val="center"/>
                </w:tcPr>
                <w:p w14:paraId="2DE0DC1F">
                  <w:pPr>
                    <w:pStyle w:val="17"/>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国家级生态保护红线范围</w:t>
                  </w:r>
                </w:p>
              </w:tc>
              <w:tc>
                <w:tcPr>
                  <w:tcW w:w="919" w:type="pct"/>
                  <w:tcBorders>
                    <w:tl2br w:val="nil"/>
                    <w:tr2bl w:val="nil"/>
                  </w:tcBorders>
                  <w:shd w:val="clear" w:color="auto" w:fill="auto"/>
                  <w:vAlign w:val="center"/>
                </w:tcPr>
                <w:p w14:paraId="1AD811F7">
                  <w:pPr>
                    <w:pStyle w:val="17"/>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生态空间管控区域范围</w:t>
                  </w:r>
                </w:p>
              </w:tc>
              <w:tc>
                <w:tcPr>
                  <w:tcW w:w="762" w:type="pct"/>
                  <w:tcBorders>
                    <w:tl2br w:val="nil"/>
                    <w:tr2bl w:val="nil"/>
                  </w:tcBorders>
                  <w:shd w:val="clear" w:color="auto" w:fill="auto"/>
                  <w:vAlign w:val="center"/>
                </w:tcPr>
                <w:p w14:paraId="09B41EE4">
                  <w:pPr>
                    <w:pStyle w:val="17"/>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color w:val="auto"/>
                      <w:sz w:val="21"/>
                      <w:szCs w:val="21"/>
                      <w:highlight w:val="yellow"/>
                      <w:lang w:eastAsia="zh-CN"/>
                    </w:rPr>
                  </w:pPr>
                  <w:r>
                    <w:rPr>
                      <w:rFonts w:hint="eastAsia" w:ascii="Times New Roman" w:hAnsi="Times New Roman" w:eastAsia="宋体" w:cs="宋体"/>
                      <w:b/>
                      <w:bCs/>
                      <w:color w:val="auto"/>
                      <w:sz w:val="21"/>
                      <w:szCs w:val="21"/>
                    </w:rPr>
                    <w:t>国家级生态保护红线</w:t>
                  </w:r>
                  <w:r>
                    <w:rPr>
                      <w:rFonts w:hint="eastAsia" w:ascii="Times New Roman" w:hAnsi="Times New Roman" w:eastAsia="宋体" w:cs="宋体"/>
                      <w:b/>
                      <w:bCs/>
                      <w:color w:val="auto"/>
                      <w:sz w:val="21"/>
                      <w:szCs w:val="21"/>
                      <w:lang w:val="en-US" w:eastAsia="zh-CN"/>
                    </w:rPr>
                    <w:t>面积</w:t>
                  </w:r>
                </w:p>
              </w:tc>
              <w:tc>
                <w:tcPr>
                  <w:tcW w:w="767" w:type="pct"/>
                  <w:tcBorders>
                    <w:tl2br w:val="nil"/>
                    <w:tr2bl w:val="nil"/>
                  </w:tcBorders>
                  <w:shd w:val="clear" w:color="auto" w:fill="auto"/>
                  <w:vAlign w:val="center"/>
                </w:tcPr>
                <w:p w14:paraId="25015093">
                  <w:pPr>
                    <w:pStyle w:val="17"/>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rPr>
                    <w:t>生态空间管控区域</w:t>
                  </w:r>
                  <w:r>
                    <w:rPr>
                      <w:rFonts w:hint="eastAsia" w:ascii="Times New Roman" w:hAnsi="Times New Roman" w:eastAsia="宋体" w:cs="宋体"/>
                      <w:b/>
                      <w:bCs/>
                      <w:color w:val="auto"/>
                      <w:sz w:val="21"/>
                      <w:szCs w:val="21"/>
                      <w:lang w:val="en-US" w:eastAsia="zh-CN"/>
                    </w:rPr>
                    <w:t>面积</w:t>
                  </w:r>
                </w:p>
              </w:tc>
              <w:tc>
                <w:tcPr>
                  <w:tcW w:w="582" w:type="pct"/>
                  <w:tcBorders>
                    <w:tl2br w:val="nil"/>
                    <w:tr2bl w:val="nil"/>
                  </w:tcBorders>
                  <w:shd w:val="clear" w:color="auto" w:fill="auto"/>
                  <w:vAlign w:val="center"/>
                </w:tcPr>
                <w:p w14:paraId="711F6B14">
                  <w:pPr>
                    <w:pStyle w:val="17"/>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总面积</w:t>
                  </w:r>
                </w:p>
              </w:tc>
            </w:tr>
            <w:tr w14:paraId="02E325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tcBorders>
                    <w:tl2br w:val="nil"/>
                    <w:tr2bl w:val="nil"/>
                  </w:tcBorders>
                  <w:shd w:val="clear" w:color="auto" w:fill="auto"/>
                  <w:vAlign w:val="center"/>
                </w:tcPr>
                <w:p w14:paraId="4A5826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color w:val="auto"/>
                      <w:kern w:val="2"/>
                      <w:sz w:val="21"/>
                      <w:szCs w:val="21"/>
                      <w:lang w:val="en-US" w:eastAsia="zh-CN" w:bidi="ar-SA"/>
                    </w:rPr>
                  </w:pPr>
                  <w:r>
                    <w:rPr>
                      <w:rFonts w:hint="eastAsia" w:ascii="Times New Roman" w:hAnsi="Times New Roman" w:eastAsia="宋体" w:cs="宋体"/>
                      <w:b w:val="0"/>
                      <w:bCs/>
                      <w:color w:val="auto"/>
                      <w:kern w:val="2"/>
                      <w:sz w:val="21"/>
                      <w:szCs w:val="21"/>
                      <w:lang w:val="en-US" w:eastAsia="zh-CN" w:bidi="ar-SA"/>
                    </w:rPr>
                    <w:t>卤汀河（兴化</w:t>
                  </w:r>
                </w:p>
                <w:p w14:paraId="58FCBB2F">
                  <w:pPr>
                    <w:pStyle w:val="1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宋体"/>
                      <w:b w:val="0"/>
                      <w:bCs/>
                      <w:color w:val="auto"/>
                      <w:kern w:val="2"/>
                      <w:sz w:val="21"/>
                      <w:szCs w:val="21"/>
                      <w:lang w:val="en-US" w:eastAsia="zh-CN" w:bidi="ar-SA"/>
                    </w:rPr>
                    <w:t>市）清水通道维护区</w:t>
                  </w:r>
                </w:p>
              </w:tc>
              <w:tc>
                <w:tcPr>
                  <w:tcW w:w="460" w:type="pct"/>
                  <w:tcBorders>
                    <w:tl2br w:val="nil"/>
                    <w:tr2bl w:val="nil"/>
                  </w:tcBorders>
                  <w:shd w:val="clear" w:color="auto" w:fill="auto"/>
                  <w:vAlign w:val="center"/>
                </w:tcPr>
                <w:p w14:paraId="13FFC5E6">
                  <w:pPr>
                    <w:pStyle w:val="1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水源水质保护</w:t>
                  </w:r>
                </w:p>
              </w:tc>
              <w:tc>
                <w:tcPr>
                  <w:tcW w:w="882" w:type="pct"/>
                  <w:tcBorders>
                    <w:tl2br w:val="nil"/>
                    <w:tr2bl w:val="nil"/>
                  </w:tcBorders>
                  <w:shd w:val="clear" w:color="auto" w:fill="auto"/>
                  <w:vAlign w:val="center"/>
                </w:tcPr>
                <w:p w14:paraId="4592334A">
                  <w:pPr>
                    <w:pStyle w:val="1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w:t>
                  </w:r>
                </w:p>
              </w:tc>
              <w:tc>
                <w:tcPr>
                  <w:tcW w:w="919" w:type="pct"/>
                  <w:tcBorders>
                    <w:tl2br w:val="nil"/>
                    <w:tr2bl w:val="nil"/>
                  </w:tcBorders>
                  <w:shd w:val="clear" w:color="auto" w:fill="auto"/>
                  <w:vAlign w:val="center"/>
                </w:tcPr>
                <w:p w14:paraId="77445C48">
                  <w:pPr>
                    <w:pStyle w:val="1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卤汀河及两岸各200米范围</w:t>
                  </w:r>
                </w:p>
              </w:tc>
              <w:tc>
                <w:tcPr>
                  <w:tcW w:w="762" w:type="pct"/>
                  <w:tcBorders>
                    <w:tl2br w:val="nil"/>
                    <w:tr2bl w:val="nil"/>
                  </w:tcBorders>
                  <w:shd w:val="clear" w:color="auto" w:fill="auto"/>
                  <w:vAlign w:val="center"/>
                </w:tcPr>
                <w:p w14:paraId="601CCF37">
                  <w:pPr>
                    <w:pStyle w:val="17"/>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eastAsia="宋体" w:cs="宋体"/>
                      <w:color w:val="auto"/>
                      <w:sz w:val="21"/>
                      <w:szCs w:val="21"/>
                      <w:lang w:val="en-US" w:eastAsia="zh-CN"/>
                    </w:rPr>
                    <w:t>/</w:t>
                  </w:r>
                </w:p>
              </w:tc>
              <w:tc>
                <w:tcPr>
                  <w:tcW w:w="767" w:type="pct"/>
                  <w:tcBorders>
                    <w:tl2br w:val="nil"/>
                    <w:tr2bl w:val="nil"/>
                  </w:tcBorders>
                  <w:shd w:val="clear" w:color="auto" w:fill="auto"/>
                  <w:vAlign w:val="center"/>
                </w:tcPr>
                <w:p w14:paraId="2B34D87A">
                  <w:pPr>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宋体"/>
                      <w:color w:val="auto"/>
                      <w:sz w:val="21"/>
                      <w:szCs w:val="21"/>
                      <w:highlight w:val="yellow"/>
                      <w:lang w:val="en-US"/>
                    </w:rPr>
                  </w:pPr>
                  <w:r>
                    <w:rPr>
                      <w:rFonts w:hint="eastAsia" w:ascii="Times New Roman" w:hAnsi="Times New Roman" w:eastAsia="宋体" w:cs="宋体"/>
                      <w:color w:val="auto"/>
                      <w:sz w:val="21"/>
                      <w:szCs w:val="21"/>
                      <w:lang w:val="en-US" w:eastAsia="zh-CN"/>
                    </w:rPr>
                    <w:t>12.09</w:t>
                  </w:r>
                </w:p>
              </w:tc>
              <w:tc>
                <w:tcPr>
                  <w:tcW w:w="582" w:type="pct"/>
                  <w:tcBorders>
                    <w:tl2br w:val="nil"/>
                    <w:tr2bl w:val="nil"/>
                  </w:tcBorders>
                  <w:shd w:val="clear" w:color="auto" w:fill="auto"/>
                  <w:vAlign w:val="center"/>
                </w:tcPr>
                <w:p w14:paraId="18C06CAD">
                  <w:pPr>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lang w:val="en-US" w:eastAsia="zh-CN"/>
                    </w:rPr>
                    <w:t>12.09</w:t>
                  </w:r>
                </w:p>
              </w:tc>
            </w:tr>
            <w:tr w14:paraId="7BE91C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8" w:hRule="atLeast"/>
                <w:jc w:val="center"/>
              </w:trPr>
              <w:tc>
                <w:tcPr>
                  <w:tcW w:w="625" w:type="pct"/>
                  <w:tcBorders>
                    <w:tl2br w:val="nil"/>
                    <w:tr2bl w:val="nil"/>
                  </w:tcBorders>
                  <w:shd w:val="clear" w:color="auto" w:fill="auto"/>
                  <w:vAlign w:val="center"/>
                </w:tcPr>
                <w:p w14:paraId="377215B5">
                  <w:pPr>
                    <w:pStyle w:val="1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b w:val="0"/>
                      <w:bCs/>
                      <w:color w:val="auto"/>
                      <w:kern w:val="2"/>
                      <w:sz w:val="21"/>
                      <w:szCs w:val="21"/>
                      <w:lang w:val="en-US" w:eastAsia="zh-CN" w:bidi="ar-SA"/>
                    </w:rPr>
                    <w:t>三阳河（高邮市）清水通道维护区</w:t>
                  </w:r>
                </w:p>
              </w:tc>
              <w:tc>
                <w:tcPr>
                  <w:tcW w:w="460" w:type="pct"/>
                  <w:tcBorders>
                    <w:tl2br w:val="nil"/>
                    <w:tr2bl w:val="nil"/>
                  </w:tcBorders>
                  <w:shd w:val="clear" w:color="auto" w:fill="auto"/>
                  <w:vAlign w:val="center"/>
                </w:tcPr>
                <w:p w14:paraId="3B82280A">
                  <w:pPr>
                    <w:pStyle w:val="1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水源水质保护</w:t>
                  </w:r>
                </w:p>
              </w:tc>
              <w:tc>
                <w:tcPr>
                  <w:tcW w:w="882" w:type="pct"/>
                  <w:tcBorders>
                    <w:tl2br w:val="nil"/>
                    <w:tr2bl w:val="nil"/>
                  </w:tcBorders>
                  <w:shd w:val="clear" w:color="auto" w:fill="auto"/>
                  <w:vAlign w:val="center"/>
                </w:tcPr>
                <w:p w14:paraId="15F3423F">
                  <w:pPr>
                    <w:pStyle w:val="1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w:t>
                  </w:r>
                </w:p>
              </w:tc>
              <w:tc>
                <w:tcPr>
                  <w:tcW w:w="919" w:type="pct"/>
                  <w:tcBorders>
                    <w:tl2br w:val="nil"/>
                    <w:tr2bl w:val="nil"/>
                  </w:tcBorders>
                  <w:shd w:val="clear" w:color="auto" w:fill="auto"/>
                  <w:vAlign w:val="center"/>
                </w:tcPr>
                <w:p w14:paraId="188EB6F4">
                  <w:pPr>
                    <w:pStyle w:val="1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南至汉留镇兴汉村，北至临泽镇陆涵村，河宽150米，全长40公里，范围为三阳河水体及河口上坎两侧陆域100米</w:t>
                  </w:r>
                </w:p>
              </w:tc>
              <w:tc>
                <w:tcPr>
                  <w:tcW w:w="762" w:type="pct"/>
                  <w:tcBorders>
                    <w:tl2br w:val="nil"/>
                    <w:tr2bl w:val="nil"/>
                  </w:tcBorders>
                  <w:shd w:val="clear" w:color="auto" w:fill="auto"/>
                  <w:vAlign w:val="center"/>
                </w:tcPr>
                <w:p w14:paraId="70C6AAA8">
                  <w:pPr>
                    <w:pStyle w:val="17"/>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eastAsia="宋体" w:cs="宋体"/>
                      <w:color w:val="auto"/>
                      <w:sz w:val="21"/>
                      <w:szCs w:val="21"/>
                      <w:lang w:val="en-US" w:eastAsia="zh-CN"/>
                    </w:rPr>
                    <w:t>/</w:t>
                  </w:r>
                </w:p>
              </w:tc>
              <w:tc>
                <w:tcPr>
                  <w:tcW w:w="767" w:type="pct"/>
                  <w:tcBorders>
                    <w:tl2br w:val="nil"/>
                    <w:tr2bl w:val="nil"/>
                  </w:tcBorders>
                  <w:shd w:val="clear" w:color="auto" w:fill="auto"/>
                  <w:vAlign w:val="center"/>
                </w:tcPr>
                <w:p w14:paraId="14C8AAC0">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sz w:val="21"/>
                      <w:szCs w:val="21"/>
                      <w:lang w:val="en-US" w:eastAsia="zh-CN"/>
                    </w:rPr>
                    <w:t>10.88</w:t>
                  </w:r>
                </w:p>
              </w:tc>
              <w:tc>
                <w:tcPr>
                  <w:tcW w:w="582" w:type="pct"/>
                  <w:tcBorders>
                    <w:tl2br w:val="nil"/>
                    <w:tr2bl w:val="nil"/>
                  </w:tcBorders>
                  <w:shd w:val="clear" w:color="auto" w:fill="auto"/>
                  <w:vAlign w:val="center"/>
                </w:tcPr>
                <w:p w14:paraId="3CA27BFA">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lang w:val="en-US" w:eastAsia="zh-CN"/>
                    </w:rPr>
                    <w:t>10.88</w:t>
                  </w:r>
                </w:p>
              </w:tc>
            </w:tr>
            <w:tr w14:paraId="72FEB9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8" w:hRule="atLeast"/>
                <w:jc w:val="center"/>
              </w:trPr>
              <w:tc>
                <w:tcPr>
                  <w:tcW w:w="625" w:type="pct"/>
                  <w:tcBorders>
                    <w:tl2br w:val="nil"/>
                    <w:tr2bl w:val="nil"/>
                  </w:tcBorders>
                  <w:shd w:val="clear" w:color="auto" w:fill="auto"/>
                  <w:vAlign w:val="center"/>
                </w:tcPr>
                <w:p w14:paraId="4A91DE71">
                  <w:pPr>
                    <w:pStyle w:val="1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宋体"/>
                      <w:b w:val="0"/>
                      <w:bCs/>
                      <w:color w:val="auto"/>
                      <w:kern w:val="2"/>
                      <w:sz w:val="21"/>
                      <w:szCs w:val="21"/>
                      <w:lang w:val="en-US" w:eastAsia="zh-CN" w:bidi="ar-SA"/>
                    </w:rPr>
                  </w:pPr>
                  <w:r>
                    <w:rPr>
                      <w:rFonts w:hint="eastAsia" w:ascii="Times New Roman" w:hAnsi="Times New Roman" w:eastAsia="宋体" w:cs="宋体"/>
                      <w:b w:val="0"/>
                      <w:bCs/>
                      <w:color w:val="auto"/>
                      <w:kern w:val="2"/>
                      <w:sz w:val="21"/>
                      <w:szCs w:val="21"/>
                      <w:lang w:val="en-US" w:eastAsia="zh-CN" w:bidi="ar-SA"/>
                    </w:rPr>
                    <w:t>江苏扬州花鱼塘省级湿地公园</w:t>
                  </w:r>
                </w:p>
              </w:tc>
              <w:tc>
                <w:tcPr>
                  <w:tcW w:w="460" w:type="pct"/>
                  <w:tcBorders>
                    <w:tl2br w:val="nil"/>
                    <w:tr2bl w:val="nil"/>
                  </w:tcBorders>
                  <w:shd w:val="clear" w:color="auto" w:fill="auto"/>
                  <w:vAlign w:val="center"/>
                </w:tcPr>
                <w:p w14:paraId="6724850F">
                  <w:pPr>
                    <w:pStyle w:val="1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湿地生态系统保护</w:t>
                  </w:r>
                </w:p>
              </w:tc>
              <w:tc>
                <w:tcPr>
                  <w:tcW w:w="882" w:type="pct"/>
                  <w:tcBorders>
                    <w:tl2br w:val="nil"/>
                    <w:tr2bl w:val="nil"/>
                  </w:tcBorders>
                  <w:shd w:val="clear" w:color="auto" w:fill="auto"/>
                  <w:vAlign w:val="center"/>
                </w:tcPr>
                <w:p w14:paraId="4807A1FE">
                  <w:pPr>
                    <w:pStyle w:val="1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江苏扬州花鱼塘省级湿地公园总体规划中确定的范围（包括湿地保育区和恢复重建区等）</w:t>
                  </w:r>
                </w:p>
              </w:tc>
              <w:tc>
                <w:tcPr>
                  <w:tcW w:w="919" w:type="pct"/>
                  <w:tcBorders>
                    <w:tl2br w:val="nil"/>
                    <w:tr2bl w:val="nil"/>
                  </w:tcBorders>
                  <w:shd w:val="clear" w:color="auto" w:fill="auto"/>
                  <w:vAlign w:val="center"/>
                </w:tcPr>
                <w:p w14:paraId="31441DF0">
                  <w:pPr>
                    <w:pStyle w:val="1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位于江都区东北部，武坚镇境内，西临鲁汀河，东邻兴化市陈堡水产村，北至兴化市三河村，南至兴化市宁乡</w:t>
                  </w:r>
                </w:p>
                <w:p w14:paraId="5DB51FE1">
                  <w:pPr>
                    <w:pStyle w:val="1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村宁乡六组（不包含保育区和恢复重建区）</w:t>
                  </w:r>
                </w:p>
              </w:tc>
              <w:tc>
                <w:tcPr>
                  <w:tcW w:w="762" w:type="pct"/>
                  <w:tcBorders>
                    <w:tl2br w:val="nil"/>
                    <w:tr2bl w:val="nil"/>
                  </w:tcBorders>
                  <w:shd w:val="clear" w:color="auto" w:fill="auto"/>
                  <w:vAlign w:val="center"/>
                </w:tcPr>
                <w:p w14:paraId="78E44A51">
                  <w:pPr>
                    <w:pStyle w:val="17"/>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eastAsia="宋体" w:cs="宋体"/>
                      <w:color w:val="auto"/>
                      <w:sz w:val="21"/>
                      <w:szCs w:val="21"/>
                      <w:lang w:val="en-US" w:eastAsia="zh-CN"/>
                    </w:rPr>
                  </w:pPr>
                  <w:r>
                    <w:rPr>
                      <w:rFonts w:hint="eastAsia" w:eastAsia="宋体" w:cs="宋体"/>
                      <w:color w:val="auto"/>
                      <w:sz w:val="21"/>
                      <w:szCs w:val="21"/>
                      <w:lang w:val="en-US" w:eastAsia="zh-CN"/>
                    </w:rPr>
                    <w:t>1.83</w:t>
                  </w:r>
                </w:p>
              </w:tc>
              <w:tc>
                <w:tcPr>
                  <w:tcW w:w="767" w:type="pct"/>
                  <w:tcBorders>
                    <w:tl2br w:val="nil"/>
                    <w:tr2bl w:val="nil"/>
                  </w:tcBorders>
                  <w:shd w:val="clear" w:color="auto" w:fill="auto"/>
                  <w:vAlign w:val="center"/>
                </w:tcPr>
                <w:p w14:paraId="2A6B6746">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宋体"/>
                      <w:color w:val="auto"/>
                      <w:sz w:val="21"/>
                      <w:szCs w:val="21"/>
                      <w:lang w:val="en-US" w:eastAsia="zh-CN"/>
                    </w:rPr>
                  </w:pPr>
                  <w:r>
                    <w:rPr>
                      <w:rFonts w:hint="eastAsia" w:cs="宋体"/>
                      <w:color w:val="auto"/>
                      <w:sz w:val="21"/>
                      <w:szCs w:val="21"/>
                      <w:lang w:val="en-US" w:eastAsia="zh-CN"/>
                    </w:rPr>
                    <w:t>1.20</w:t>
                  </w:r>
                </w:p>
              </w:tc>
              <w:tc>
                <w:tcPr>
                  <w:tcW w:w="582" w:type="pct"/>
                  <w:tcBorders>
                    <w:tl2br w:val="nil"/>
                    <w:tr2bl w:val="nil"/>
                  </w:tcBorders>
                  <w:shd w:val="clear" w:color="auto" w:fill="auto"/>
                  <w:vAlign w:val="center"/>
                </w:tcPr>
                <w:p w14:paraId="627EEC7C">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宋体"/>
                      <w:color w:val="auto"/>
                      <w:sz w:val="21"/>
                      <w:szCs w:val="21"/>
                      <w:lang w:val="en-US" w:eastAsia="zh-CN"/>
                    </w:rPr>
                  </w:pPr>
                  <w:r>
                    <w:rPr>
                      <w:rFonts w:hint="eastAsia" w:cs="宋体"/>
                      <w:color w:val="auto"/>
                      <w:sz w:val="21"/>
                      <w:szCs w:val="21"/>
                      <w:lang w:val="en-US" w:eastAsia="zh-CN"/>
                    </w:rPr>
                    <w:t>3.03</w:t>
                  </w:r>
                </w:p>
              </w:tc>
            </w:tr>
          </w:tbl>
          <w:p w14:paraId="070757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对照该生态空间保护区域的范围，本项目</w:t>
            </w:r>
            <w:r>
              <w:rPr>
                <w:rFonts w:hint="eastAsia" w:cs="Times New Roman"/>
                <w:b w:val="0"/>
                <w:bCs/>
                <w:color w:val="auto"/>
                <w:kern w:val="2"/>
                <w:sz w:val="24"/>
                <w:szCs w:val="24"/>
                <w:lang w:val="en-US" w:eastAsia="zh-CN" w:bidi="ar-SA"/>
              </w:rPr>
              <w:t>沙105井场</w:t>
            </w:r>
            <w:r>
              <w:rPr>
                <w:rFonts w:hint="eastAsia" w:ascii="Times New Roman" w:hAnsi="Times New Roman" w:eastAsia="宋体" w:cs="Times New Roman"/>
                <w:b w:val="0"/>
                <w:bCs/>
                <w:color w:val="auto"/>
                <w:kern w:val="2"/>
                <w:sz w:val="24"/>
                <w:szCs w:val="24"/>
                <w:lang w:val="en-US" w:eastAsia="zh-CN" w:bidi="ar-SA"/>
              </w:rPr>
              <w:t>位于卤汀河（兴化市）清水通道维护区的西侧64</w:t>
            </w:r>
            <w:r>
              <w:rPr>
                <w:rFonts w:hint="eastAsia" w:cs="Times New Roman"/>
                <w:b w:val="0"/>
                <w:bCs/>
                <w:color w:val="auto"/>
                <w:kern w:val="2"/>
                <w:sz w:val="24"/>
                <w:szCs w:val="24"/>
                <w:lang w:val="en-US" w:eastAsia="zh-CN" w:bidi="ar-SA"/>
              </w:rPr>
              <w:t>00</w:t>
            </w:r>
            <w:r>
              <w:rPr>
                <w:rFonts w:hint="eastAsia" w:ascii="Times New Roman" w:hAnsi="Times New Roman" w:eastAsia="宋体" w:cs="Times New Roman"/>
                <w:b w:val="0"/>
                <w:bCs/>
                <w:color w:val="auto"/>
                <w:kern w:val="2"/>
                <w:sz w:val="24"/>
                <w:szCs w:val="24"/>
                <w:lang w:val="en-US" w:eastAsia="zh-CN" w:bidi="ar-SA"/>
              </w:rPr>
              <w:t>m，</w:t>
            </w:r>
            <w:r>
              <w:rPr>
                <w:rFonts w:hint="eastAsia" w:cs="Times New Roman"/>
                <w:b w:val="0"/>
                <w:bCs/>
                <w:color w:val="auto"/>
                <w:kern w:val="2"/>
                <w:sz w:val="24"/>
                <w:szCs w:val="24"/>
                <w:lang w:val="en-US" w:eastAsia="zh-CN" w:bidi="ar-SA"/>
              </w:rPr>
              <w:t>沙86井场位于</w:t>
            </w:r>
            <w:r>
              <w:rPr>
                <w:rFonts w:hint="eastAsia" w:ascii="Times New Roman" w:hAnsi="Times New Roman" w:eastAsia="宋体" w:cs="Times New Roman"/>
                <w:b w:val="0"/>
                <w:bCs/>
                <w:color w:val="auto"/>
                <w:kern w:val="2"/>
                <w:sz w:val="24"/>
                <w:szCs w:val="24"/>
                <w:lang w:val="en-US" w:eastAsia="zh-CN" w:bidi="ar-SA"/>
              </w:rPr>
              <w:t>三阳河（高邮市）清水通道维护区的东侧</w:t>
            </w:r>
            <w:r>
              <w:rPr>
                <w:rFonts w:hint="eastAsia" w:cs="Times New Roman"/>
                <w:b w:val="0"/>
                <w:bCs/>
                <w:color w:val="auto"/>
                <w:kern w:val="2"/>
                <w:sz w:val="24"/>
                <w:szCs w:val="24"/>
                <w:lang w:val="en-US" w:eastAsia="zh-CN" w:bidi="ar-SA"/>
              </w:rPr>
              <w:t>1260m</w:t>
            </w:r>
            <w:r>
              <w:rPr>
                <w:rFonts w:hint="eastAsia" w:ascii="Times New Roman" w:hAnsi="Times New Roman" w:eastAsia="宋体" w:cs="Times New Roman"/>
                <w:b w:val="0"/>
                <w:bCs/>
                <w:color w:val="auto"/>
                <w:kern w:val="2"/>
                <w:sz w:val="24"/>
                <w:szCs w:val="24"/>
                <w:lang w:val="en-US" w:eastAsia="zh-CN" w:bidi="ar-SA"/>
              </w:rPr>
              <w:t>。因此，本项目各井场均不在</w:t>
            </w:r>
            <w:r>
              <w:rPr>
                <w:rFonts w:hint="eastAsia" w:cs="Times New Roman"/>
                <w:b w:val="0"/>
                <w:bCs/>
                <w:color w:val="auto"/>
                <w:kern w:val="2"/>
                <w:sz w:val="24"/>
                <w:szCs w:val="24"/>
                <w:lang w:val="en-US" w:eastAsia="zh-CN" w:bidi="ar-SA"/>
              </w:rPr>
              <w:t>各生态</w:t>
            </w:r>
            <w:r>
              <w:rPr>
                <w:rFonts w:hint="eastAsia" w:ascii="Times New Roman" w:hAnsi="Times New Roman" w:eastAsia="宋体" w:cs="Times New Roman"/>
                <w:b w:val="0"/>
                <w:bCs/>
                <w:color w:val="auto"/>
                <w:kern w:val="2"/>
                <w:sz w:val="24"/>
                <w:szCs w:val="24"/>
                <w:lang w:val="en-US" w:eastAsia="zh-CN" w:bidi="ar-SA"/>
              </w:rPr>
              <w:t>保护区的管控范围内，符合生态保护红线的相关要求。</w:t>
            </w:r>
          </w:p>
          <w:p w14:paraId="1159C239">
            <w:pPr>
              <w:pStyle w:val="3"/>
              <w:ind w:firstLine="480"/>
              <w:rPr>
                <w:rFonts w:ascii="Times New Roman" w:hAnsi="Times New Roman" w:eastAsia="宋体"/>
                <w:color w:val="auto"/>
              </w:rPr>
            </w:pPr>
            <w:r>
              <w:rPr>
                <w:rFonts w:ascii="Times New Roman" w:hAnsi="Times New Roman" w:eastAsia="宋体"/>
                <w:color w:val="auto"/>
              </w:rPr>
              <w:t>（2）环境质量底线</w:t>
            </w:r>
          </w:p>
          <w:p w14:paraId="7E8D4403">
            <w:pPr>
              <w:pStyle w:val="3"/>
              <w:ind w:firstLine="480"/>
              <w:jc w:val="left"/>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根据</w:t>
            </w:r>
            <w:r>
              <w:rPr>
                <w:rFonts w:hint="eastAsia" w:ascii="Times New Roman" w:hAnsi="Times New Roman" w:eastAsia="宋体" w:cs="宋体"/>
                <w:color w:val="auto"/>
              </w:rPr>
              <w:t>扬州市</w:t>
            </w:r>
            <w:r>
              <w:rPr>
                <w:rFonts w:hint="eastAsia" w:ascii="Times New Roman" w:hAnsi="Times New Roman" w:eastAsia="宋体" w:cs="宋体"/>
                <w:color w:val="auto"/>
                <w:lang w:val="en-US" w:eastAsia="zh-CN"/>
              </w:rPr>
              <w:t>高邮</w:t>
            </w:r>
            <w:r>
              <w:rPr>
                <w:rFonts w:hint="eastAsia" w:ascii="Times New Roman" w:hAnsi="Times New Roman" w:eastAsia="宋体" w:cs="宋体"/>
                <w:color w:val="auto"/>
              </w:rPr>
              <w:t>生态环境局网站公布的</w:t>
            </w:r>
            <w:r>
              <w:rPr>
                <w:rFonts w:hint="eastAsia" w:ascii="Times New Roman" w:hAnsi="Times New Roman" w:eastAsia="宋体" w:cs="宋体"/>
                <w:color w:val="auto"/>
                <w:lang w:eastAsia="zh-CN"/>
              </w:rPr>
              <w:t>《</w:t>
            </w:r>
            <w:r>
              <w:rPr>
                <w:rFonts w:hint="default" w:ascii="Times New Roman" w:hAnsi="Times New Roman" w:eastAsia="宋体" w:cs="Times New Roman"/>
                <w:color w:val="auto"/>
                <w:lang w:eastAsia="zh-CN"/>
              </w:rPr>
              <w:t>2023年高邮市生态环境质量状况公报</w:t>
            </w:r>
            <w:r>
              <w:rPr>
                <w:rFonts w:hint="eastAsia" w:ascii="Times New Roman" w:hAnsi="Times New Roman" w:eastAsia="宋体" w:cs="宋体"/>
                <w:color w:val="auto"/>
                <w:lang w:eastAsia="zh-CN"/>
              </w:rPr>
              <w:t>》中相关内容，</w:t>
            </w:r>
            <w:r>
              <w:rPr>
                <w:rFonts w:hint="eastAsia" w:ascii="Times New Roman" w:hAnsi="Times New Roman" w:eastAsia="宋体"/>
                <w:color w:val="auto"/>
              </w:rPr>
              <w:t>本项目所在区域</w:t>
            </w:r>
            <w:r>
              <w:rPr>
                <w:rFonts w:hint="eastAsia" w:ascii="Times New Roman" w:hAnsi="Times New Roman" w:eastAsia="宋体"/>
                <w:color w:val="auto"/>
                <w:lang w:val="en-US" w:eastAsia="zh-CN"/>
              </w:rPr>
              <w:t>为大气不达标区域，</w:t>
            </w:r>
            <w:r>
              <w:rPr>
                <w:rFonts w:hint="eastAsia" w:ascii="Times New Roman" w:hAnsi="Times New Roman" w:eastAsia="宋体"/>
                <w:color w:val="auto"/>
              </w:rPr>
              <w:t>地表水</w:t>
            </w:r>
            <w:r>
              <w:rPr>
                <w:rFonts w:hint="eastAsia" w:ascii="Times New Roman" w:hAnsi="Times New Roman" w:eastAsia="宋体"/>
                <w:color w:val="auto"/>
                <w:lang w:val="en-US" w:eastAsia="zh-CN"/>
              </w:rPr>
              <w:t>和</w:t>
            </w:r>
            <w:r>
              <w:rPr>
                <w:rFonts w:hint="eastAsia" w:ascii="Times New Roman" w:hAnsi="Times New Roman" w:eastAsia="宋体"/>
                <w:color w:val="auto"/>
              </w:rPr>
              <w:t>噪声</w:t>
            </w:r>
            <w:r>
              <w:rPr>
                <w:rFonts w:hint="eastAsia" w:ascii="Times New Roman" w:hAnsi="Times New Roman" w:eastAsia="宋体"/>
                <w:color w:val="auto"/>
                <w:lang w:val="en-US" w:eastAsia="zh-CN"/>
              </w:rPr>
              <w:t>均</w:t>
            </w:r>
            <w:r>
              <w:rPr>
                <w:rFonts w:hint="eastAsia" w:ascii="Times New Roman" w:hAnsi="Times New Roman" w:eastAsia="宋体"/>
                <w:color w:val="auto"/>
              </w:rPr>
              <w:t>满足相应的环境质量要求。</w:t>
            </w:r>
          </w:p>
          <w:p w14:paraId="7A266A79">
            <w:pPr>
              <w:pStyle w:val="3"/>
              <w:ind w:firstLine="480"/>
              <w:jc w:val="left"/>
              <w:rPr>
                <w:rFonts w:ascii="Times New Roman" w:hAnsi="Times New Roman" w:eastAsia="宋体"/>
                <w:color w:val="auto"/>
              </w:rPr>
            </w:pPr>
            <w:r>
              <w:rPr>
                <w:rFonts w:hint="eastAsia" w:ascii="Times New Roman" w:hAnsi="Times New Roman" w:eastAsia="宋体" w:cs="宋体"/>
                <w:color w:val="auto"/>
              </w:rPr>
              <w:t>本项目主要环境影响在施工期。施工期产生的废气、废水、固废均得到合理处置，噪声对周边的影响较小，不会突破项目所在地的环境质量底线。</w:t>
            </w:r>
            <w:r>
              <w:rPr>
                <w:rFonts w:hint="eastAsia" w:ascii="Times New Roman" w:hAnsi="Times New Roman" w:eastAsia="宋体"/>
                <w:color w:val="auto"/>
              </w:rPr>
              <w:t>本项目施工期生活污水</w:t>
            </w:r>
            <w:r>
              <w:rPr>
                <w:rFonts w:hint="eastAsia" w:ascii="Times New Roman" w:hAnsi="Times New Roman" w:eastAsia="宋体"/>
                <w:color w:val="auto"/>
                <w:lang w:val="en-US" w:eastAsia="zh-CN"/>
              </w:rPr>
              <w:t>由</w:t>
            </w:r>
            <w:r>
              <w:rPr>
                <w:rFonts w:hint="eastAsia" w:ascii="Times New Roman" w:hAnsi="Times New Roman" w:eastAsia="宋体"/>
                <w:color w:val="auto"/>
              </w:rPr>
              <w:t>钻井队便携式公共厕所</w:t>
            </w:r>
            <w:r>
              <w:rPr>
                <w:rFonts w:hint="eastAsia" w:ascii="Times New Roman" w:hAnsi="Times New Roman" w:eastAsia="宋体"/>
                <w:color w:val="auto"/>
                <w:lang w:val="en-US" w:eastAsia="zh-CN"/>
              </w:rPr>
              <w:t>处理</w:t>
            </w:r>
            <w:r>
              <w:rPr>
                <w:rFonts w:hint="eastAsia" w:ascii="Times New Roman" w:hAnsi="Times New Roman" w:eastAsia="宋体"/>
                <w:color w:val="auto"/>
              </w:rPr>
              <w:t>，</w:t>
            </w:r>
            <w:r>
              <w:rPr>
                <w:rFonts w:hint="eastAsia" w:ascii="Times New Roman" w:hAnsi="Times New Roman" w:eastAsia="宋体" w:cs="宋体"/>
                <w:color w:val="auto"/>
              </w:rPr>
              <w:t>其他废水经处理后回注；施工期废气产生量较小，无组织排放。</w:t>
            </w:r>
            <w:r>
              <w:rPr>
                <w:rFonts w:hint="eastAsia" w:ascii="Times New Roman" w:hAnsi="Times New Roman" w:eastAsia="宋体"/>
                <w:color w:val="auto"/>
              </w:rPr>
              <w:t>施工期一般固废由环卫清运或企业收集后外售，危险废物由有资质单位处置。</w:t>
            </w:r>
            <w:r>
              <w:rPr>
                <w:rFonts w:hint="eastAsia" w:ascii="Times New Roman" w:hAnsi="Times New Roman" w:eastAsia="宋体" w:cs="宋体"/>
                <w:color w:val="auto"/>
              </w:rPr>
              <w:t>因此，本项目的建设不会改变环境质量现状。</w:t>
            </w:r>
          </w:p>
          <w:p w14:paraId="7BD4D36B">
            <w:pPr>
              <w:pStyle w:val="3"/>
              <w:ind w:firstLine="480"/>
              <w:rPr>
                <w:rFonts w:ascii="Times New Roman" w:hAnsi="Times New Roman" w:eastAsia="宋体"/>
                <w:color w:val="auto"/>
              </w:rPr>
            </w:pPr>
            <w:r>
              <w:rPr>
                <w:rFonts w:ascii="Times New Roman" w:hAnsi="Times New Roman" w:eastAsia="宋体"/>
                <w:color w:val="auto"/>
              </w:rPr>
              <w:t>（3）资源利用上线</w:t>
            </w:r>
          </w:p>
          <w:p w14:paraId="32947045">
            <w:pPr>
              <w:pStyle w:val="3"/>
              <w:ind w:firstLine="480"/>
              <w:rPr>
                <w:rFonts w:ascii="Times New Roman" w:hAnsi="Times New Roman" w:eastAsia="宋体"/>
                <w:color w:val="auto"/>
              </w:rPr>
            </w:pPr>
            <w:r>
              <w:rPr>
                <w:rFonts w:ascii="Times New Roman" w:hAnsi="Times New Roman" w:eastAsia="宋体"/>
                <w:color w:val="auto"/>
              </w:rPr>
              <w:t>本项目</w:t>
            </w:r>
            <w:r>
              <w:rPr>
                <w:rFonts w:hint="eastAsia" w:ascii="Times New Roman" w:hAnsi="Times New Roman" w:eastAsia="宋体"/>
                <w:color w:val="auto"/>
                <w:lang w:val="en-US" w:eastAsia="zh-CN"/>
              </w:rPr>
              <w:t>用地为临时用地，不占用当地土地资源指标。</w:t>
            </w:r>
            <w:r>
              <w:rPr>
                <w:rFonts w:hint="eastAsia" w:ascii="Times New Roman" w:hAnsi="Times New Roman" w:eastAsia="宋体"/>
                <w:color w:val="auto"/>
              </w:rPr>
              <w:t>项目结束后，若不进一步开发，将</w:t>
            </w:r>
            <w:r>
              <w:rPr>
                <w:rFonts w:hint="eastAsia" w:ascii="Times New Roman" w:hAnsi="Times New Roman" w:eastAsia="宋体"/>
                <w:color w:val="auto"/>
                <w:lang w:val="en-US" w:eastAsia="zh-CN"/>
              </w:rPr>
              <w:t>根据国土、农业等部门要求进行复垦或用于其他用途。</w:t>
            </w:r>
            <w:r>
              <w:rPr>
                <w:rFonts w:ascii="Times New Roman" w:hAnsi="Times New Roman" w:eastAsia="宋体"/>
                <w:color w:val="auto"/>
              </w:rPr>
              <w:t>供水来自当地供水管网，使用量较少，不会超过当地自来水厂的</w:t>
            </w:r>
            <w:r>
              <w:rPr>
                <w:rFonts w:hint="eastAsia" w:ascii="Times New Roman" w:hAnsi="Times New Roman" w:eastAsia="宋体"/>
                <w:color w:val="auto"/>
              </w:rPr>
              <w:t>供水</w:t>
            </w:r>
            <w:r>
              <w:rPr>
                <w:rFonts w:ascii="Times New Roman" w:hAnsi="Times New Roman" w:eastAsia="宋体"/>
                <w:color w:val="auto"/>
              </w:rPr>
              <w:t>负荷；项目不使用高污</w:t>
            </w:r>
            <w:r>
              <w:rPr>
                <w:rFonts w:hint="eastAsia" w:ascii="Times New Roman" w:hAnsi="Times New Roman" w:eastAsia="宋体"/>
                <w:color w:val="auto"/>
              </w:rPr>
              <w:t>染</w:t>
            </w:r>
            <w:r>
              <w:rPr>
                <w:rFonts w:ascii="Times New Roman" w:hAnsi="Times New Roman" w:eastAsia="宋体"/>
                <w:color w:val="auto"/>
              </w:rPr>
              <w:t>燃料，使用的电能来自当地供电管网，用电量不超过</w:t>
            </w:r>
            <w:r>
              <w:rPr>
                <w:rFonts w:hint="eastAsia" w:ascii="Times New Roman" w:hAnsi="Times New Roman" w:eastAsia="宋体"/>
                <w:color w:val="auto"/>
              </w:rPr>
              <w:t>电</w:t>
            </w:r>
            <w:r>
              <w:rPr>
                <w:rFonts w:ascii="Times New Roman" w:hAnsi="Times New Roman" w:eastAsia="宋体"/>
                <w:color w:val="auto"/>
              </w:rPr>
              <w:t>网负荷。因此，本项目利用的土地、能源及水资源均在当地环境承载力的范围内，不</w:t>
            </w:r>
            <w:r>
              <w:rPr>
                <w:rFonts w:hint="eastAsia" w:ascii="Times New Roman" w:hAnsi="Times New Roman" w:eastAsia="宋体"/>
                <w:color w:val="auto"/>
              </w:rPr>
              <w:t>会</w:t>
            </w:r>
            <w:r>
              <w:rPr>
                <w:rFonts w:ascii="Times New Roman" w:hAnsi="Times New Roman" w:eastAsia="宋体"/>
                <w:color w:val="auto"/>
              </w:rPr>
              <w:t>突破当地资源利用上线。</w:t>
            </w:r>
          </w:p>
          <w:p w14:paraId="18A7C9D6">
            <w:pPr>
              <w:pStyle w:val="3"/>
              <w:ind w:firstLine="480"/>
              <w:rPr>
                <w:rFonts w:ascii="Times New Roman" w:hAnsi="Times New Roman" w:eastAsia="宋体"/>
                <w:color w:val="auto"/>
              </w:rPr>
            </w:pPr>
            <w:r>
              <w:rPr>
                <w:rFonts w:ascii="Times New Roman" w:hAnsi="Times New Roman" w:eastAsia="宋体"/>
                <w:color w:val="auto"/>
              </w:rPr>
              <w:t>（4）</w:t>
            </w:r>
            <w:r>
              <w:rPr>
                <w:rFonts w:hint="eastAsia" w:ascii="Times New Roman" w:hAnsi="Times New Roman" w:eastAsia="宋体"/>
                <w:color w:val="auto"/>
              </w:rPr>
              <w:t>环境准入</w:t>
            </w:r>
            <w:r>
              <w:rPr>
                <w:rFonts w:hint="eastAsia" w:ascii="Times New Roman" w:hAnsi="Times New Roman" w:eastAsia="宋体"/>
                <w:color w:val="auto"/>
                <w:lang w:val="en-US" w:eastAsia="zh-CN"/>
              </w:rPr>
              <w:t>负面</w:t>
            </w:r>
            <w:r>
              <w:rPr>
                <w:rFonts w:hint="eastAsia" w:ascii="Times New Roman" w:hAnsi="Times New Roman" w:eastAsia="宋体"/>
                <w:color w:val="auto"/>
              </w:rPr>
              <w:t>清单</w:t>
            </w:r>
          </w:p>
          <w:p w14:paraId="474611B8">
            <w:pPr>
              <w:tabs>
                <w:tab w:val="left" w:pos="0"/>
              </w:tabs>
              <w:spacing w:line="360" w:lineRule="auto"/>
              <w:ind w:firstLine="496" w:firstLineChars="200"/>
              <w:outlineLvl w:val="0"/>
              <w:rPr>
                <w:rFonts w:hint="default" w:ascii="Times New Roman" w:hAnsi="Times New Roman" w:eastAsia="宋体" w:cs="Times New Roman"/>
                <w:bCs/>
                <w:color w:val="auto"/>
                <w:spacing w:val="4"/>
                <w:sz w:val="24"/>
              </w:rPr>
            </w:pPr>
            <w:r>
              <w:rPr>
                <w:rFonts w:hint="default" w:ascii="Times New Roman" w:hAnsi="Times New Roman" w:eastAsia="宋体" w:cs="Times New Roman"/>
                <w:bCs/>
                <w:color w:val="auto"/>
                <w:spacing w:val="4"/>
                <w:sz w:val="24"/>
              </w:rPr>
              <w:t>与《长江经济带发展负面清单指南》江苏省实施细则管控条款（试行</w:t>
            </w:r>
            <w:r>
              <w:rPr>
                <w:rFonts w:hint="eastAsia" w:ascii="Times New Roman" w:hAnsi="Times New Roman" w:eastAsia="宋体" w:cs="Times New Roman"/>
                <w:bCs/>
                <w:color w:val="auto"/>
                <w:spacing w:val="4"/>
                <w:sz w:val="24"/>
                <w:lang w:eastAsia="zh-CN"/>
              </w:rPr>
              <w:t>，</w:t>
            </w:r>
            <w:r>
              <w:rPr>
                <w:rFonts w:hint="eastAsia" w:ascii="Times New Roman" w:hAnsi="Times New Roman" w:eastAsia="宋体" w:cs="Times New Roman"/>
                <w:bCs/>
                <w:color w:val="auto"/>
                <w:spacing w:val="4"/>
                <w:sz w:val="24"/>
                <w:lang w:val="en-US" w:eastAsia="zh-CN"/>
              </w:rPr>
              <w:t>2022版</w:t>
            </w:r>
            <w:r>
              <w:rPr>
                <w:rFonts w:hint="default" w:ascii="Times New Roman" w:hAnsi="Times New Roman" w:eastAsia="宋体" w:cs="Times New Roman"/>
                <w:bCs/>
                <w:color w:val="auto"/>
                <w:spacing w:val="4"/>
                <w:sz w:val="24"/>
              </w:rPr>
              <w:t>）</w:t>
            </w:r>
            <w:r>
              <w:rPr>
                <w:rFonts w:hint="eastAsia" w:ascii="Times New Roman" w:hAnsi="Times New Roman" w:eastAsia="宋体" w:cs="Times New Roman"/>
                <w:bCs/>
                <w:color w:val="auto"/>
                <w:spacing w:val="4"/>
                <w:sz w:val="24"/>
                <w:lang w:eastAsia="zh-CN"/>
              </w:rPr>
              <w:t>（</w:t>
            </w:r>
            <w:r>
              <w:rPr>
                <w:rFonts w:hint="eastAsia" w:ascii="Times New Roman" w:hAnsi="Times New Roman" w:eastAsia="宋体" w:cs="Times New Roman"/>
                <w:bCs/>
                <w:color w:val="auto"/>
                <w:spacing w:val="4"/>
                <w:sz w:val="24"/>
                <w:lang w:val="en-US" w:eastAsia="zh-CN"/>
              </w:rPr>
              <w:t>苏长江办发</w:t>
            </w:r>
            <w:r>
              <w:rPr>
                <w:rFonts w:hint="default" w:ascii="Times New Roman" w:hAnsi="Times New Roman" w:eastAsia="宋体" w:cs="Times New Roman"/>
                <w:bCs/>
                <w:color w:val="auto"/>
                <w:spacing w:val="4"/>
                <w:sz w:val="24"/>
                <w:lang w:val="en-US" w:eastAsia="zh-CN"/>
              </w:rPr>
              <w:t>〔2022〕55</w:t>
            </w:r>
            <w:r>
              <w:rPr>
                <w:rFonts w:hint="eastAsia" w:ascii="Times New Roman" w:hAnsi="Times New Roman" w:eastAsia="宋体" w:cs="Times New Roman"/>
                <w:bCs/>
                <w:color w:val="auto"/>
                <w:spacing w:val="4"/>
                <w:sz w:val="24"/>
                <w:lang w:val="en-US" w:eastAsia="zh-CN"/>
              </w:rPr>
              <w:t>号</w:t>
            </w:r>
            <w:r>
              <w:rPr>
                <w:rFonts w:hint="eastAsia" w:ascii="Times New Roman" w:hAnsi="Times New Roman" w:eastAsia="宋体" w:cs="Times New Roman"/>
                <w:bCs/>
                <w:color w:val="auto"/>
                <w:spacing w:val="4"/>
                <w:sz w:val="24"/>
                <w:lang w:eastAsia="zh-CN"/>
              </w:rPr>
              <w:t>）</w:t>
            </w:r>
            <w:r>
              <w:rPr>
                <w:rFonts w:hint="default" w:ascii="Times New Roman" w:hAnsi="Times New Roman" w:eastAsia="宋体" w:cs="Times New Roman"/>
                <w:bCs/>
                <w:color w:val="auto"/>
                <w:spacing w:val="4"/>
                <w:sz w:val="24"/>
              </w:rPr>
              <w:t>相符性分析见下表：</w:t>
            </w:r>
          </w:p>
          <w:p w14:paraId="46DD5BCF">
            <w:pPr>
              <w:tabs>
                <w:tab w:val="left" w:pos="0"/>
              </w:tabs>
              <w:jc w:val="center"/>
              <w:outlineLvl w:val="0"/>
              <w:rPr>
                <w:rFonts w:hint="default" w:ascii="Times New Roman" w:hAnsi="Times New Roman" w:eastAsia="宋体" w:cs="Times New Roman"/>
                <w:b/>
                <w:color w:val="auto"/>
                <w:szCs w:val="21"/>
              </w:rPr>
            </w:pPr>
            <w:r>
              <w:rPr>
                <w:rFonts w:hint="default" w:ascii="Times New Roman" w:hAnsi="Times New Roman" w:eastAsia="宋体" w:cs="Times New Roman"/>
                <w:b/>
                <w:color w:val="auto"/>
                <w:sz w:val="24"/>
                <w:szCs w:val="24"/>
              </w:rPr>
              <w:t>表1-</w:t>
            </w:r>
            <w:r>
              <w:rPr>
                <w:rFonts w:hint="eastAsia" w:ascii="Times New Roman" w:hAnsi="Times New Roman" w:eastAsia="宋体" w:cs="Times New Roman"/>
                <w:b/>
                <w:color w:val="auto"/>
                <w:sz w:val="24"/>
                <w:szCs w:val="24"/>
                <w:lang w:val="en-US" w:eastAsia="zh-CN"/>
              </w:rPr>
              <w:t xml:space="preserve">3  </w:t>
            </w:r>
            <w:r>
              <w:rPr>
                <w:rFonts w:hint="default" w:ascii="Times New Roman" w:hAnsi="Times New Roman" w:eastAsia="宋体" w:cs="Times New Roman"/>
                <w:b/>
                <w:color w:val="auto"/>
                <w:sz w:val="24"/>
                <w:szCs w:val="24"/>
              </w:rPr>
              <w:t>长江经济带发展负面清单</w:t>
            </w:r>
            <w:r>
              <w:rPr>
                <w:rFonts w:hint="eastAsia" w:ascii="Times New Roman" w:hAnsi="Times New Roman" w:eastAsia="宋体" w:cs="Times New Roman"/>
                <w:b/>
                <w:bCs w:val="0"/>
                <w:color w:val="auto"/>
                <w:spacing w:val="4"/>
                <w:sz w:val="24"/>
                <w:lang w:eastAsia="zh-CN"/>
              </w:rPr>
              <w:t>（</w:t>
            </w:r>
            <w:r>
              <w:rPr>
                <w:rFonts w:hint="eastAsia" w:ascii="Times New Roman" w:hAnsi="Times New Roman" w:eastAsia="宋体" w:cs="Times New Roman"/>
                <w:b/>
                <w:bCs w:val="0"/>
                <w:color w:val="auto"/>
                <w:spacing w:val="4"/>
                <w:sz w:val="24"/>
                <w:lang w:val="en-US" w:eastAsia="zh-CN"/>
              </w:rPr>
              <w:t>苏长江办发</w:t>
            </w:r>
            <w:r>
              <w:rPr>
                <w:rFonts w:hint="default" w:ascii="Times New Roman" w:hAnsi="Times New Roman" w:eastAsia="宋体"/>
                <w:b/>
                <w:bCs w:val="0"/>
                <w:color w:val="auto"/>
                <w:sz w:val="24"/>
                <w:szCs w:val="24"/>
                <w:lang w:val="en-US" w:eastAsia="zh-CN"/>
              </w:rPr>
              <w:t>〔</w:t>
            </w:r>
            <w:r>
              <w:rPr>
                <w:rFonts w:hint="eastAsia" w:ascii="Times New Roman" w:hAnsi="Times New Roman" w:eastAsia="宋体"/>
                <w:b/>
                <w:bCs w:val="0"/>
                <w:color w:val="auto"/>
                <w:sz w:val="24"/>
                <w:szCs w:val="24"/>
                <w:lang w:eastAsia="zh-CN"/>
              </w:rPr>
              <w:t>20</w:t>
            </w:r>
            <w:r>
              <w:rPr>
                <w:rFonts w:hint="eastAsia" w:ascii="Times New Roman" w:hAnsi="Times New Roman" w:eastAsia="宋体"/>
                <w:b/>
                <w:bCs w:val="0"/>
                <w:color w:val="auto"/>
                <w:sz w:val="24"/>
                <w:szCs w:val="24"/>
                <w:lang w:val="en-US" w:eastAsia="zh-CN"/>
              </w:rPr>
              <w:t>22</w:t>
            </w:r>
            <w:r>
              <w:rPr>
                <w:rFonts w:hint="default" w:ascii="Times New Roman" w:hAnsi="Times New Roman" w:eastAsia="宋体" w:cs="Times New Roman"/>
                <w:b/>
                <w:bCs w:val="0"/>
                <w:color w:val="auto"/>
                <w:sz w:val="24"/>
                <w:szCs w:val="24"/>
                <w:lang w:val="en-US" w:eastAsia="zh-CN"/>
              </w:rPr>
              <w:t>〕</w:t>
            </w:r>
            <w:r>
              <w:rPr>
                <w:rFonts w:hint="eastAsia" w:ascii="Times New Roman" w:hAnsi="Times New Roman" w:eastAsia="宋体" w:cs="Times New Roman"/>
                <w:b/>
                <w:bCs w:val="0"/>
                <w:color w:val="auto"/>
                <w:spacing w:val="4"/>
                <w:sz w:val="24"/>
                <w:lang w:val="en-US" w:eastAsia="zh-CN"/>
              </w:rPr>
              <w:t>55号</w:t>
            </w:r>
            <w:r>
              <w:rPr>
                <w:rFonts w:hint="eastAsia" w:ascii="Times New Roman" w:hAnsi="Times New Roman" w:eastAsia="宋体" w:cs="Times New Roman"/>
                <w:b/>
                <w:bCs w:val="0"/>
                <w:color w:val="auto"/>
                <w:spacing w:val="4"/>
                <w:sz w:val="24"/>
                <w:lang w:eastAsia="zh-CN"/>
              </w:rPr>
              <w:t>）</w:t>
            </w:r>
          </w:p>
          <w:tbl>
            <w:tblPr>
              <w:tblStyle w:val="1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5"/>
              <w:gridCol w:w="5919"/>
              <w:gridCol w:w="723"/>
            </w:tblGrid>
            <w:tr w14:paraId="10BD43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noWrap w:val="0"/>
                  <w:vAlign w:val="center"/>
                </w:tcPr>
                <w:p w14:paraId="59E93585">
                  <w:pPr>
                    <w:spacing w:line="35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bCs/>
                      <w:color w:val="auto"/>
                      <w:kern w:val="0"/>
                      <w:szCs w:val="21"/>
                    </w:rPr>
                    <w:t>序号</w:t>
                  </w:r>
                </w:p>
              </w:tc>
              <w:tc>
                <w:tcPr>
                  <w:tcW w:w="4124" w:type="pct"/>
                  <w:noWrap w:val="0"/>
                  <w:vAlign w:val="center"/>
                </w:tcPr>
                <w:p w14:paraId="3108D6AC">
                  <w:pPr>
                    <w:spacing w:line="350" w:lineRule="exact"/>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长江经济带发展负面清单</w:t>
                  </w:r>
                </w:p>
              </w:tc>
              <w:tc>
                <w:tcPr>
                  <w:tcW w:w="501" w:type="pct"/>
                  <w:noWrap w:val="0"/>
                  <w:vAlign w:val="center"/>
                </w:tcPr>
                <w:p w14:paraId="58C4045F">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对照</w:t>
                  </w:r>
                </w:p>
                <w:p w14:paraId="34DC19C5">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结果</w:t>
                  </w:r>
                </w:p>
              </w:tc>
            </w:tr>
            <w:tr w14:paraId="1DE114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3"/>
                  <w:noWrap w:val="0"/>
                  <w:vAlign w:val="center"/>
                </w:tcPr>
                <w:p w14:paraId="2A650904">
                  <w:pPr>
                    <w:jc w:val="left"/>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一、河段利用和岸线开发</w:t>
                  </w:r>
                </w:p>
              </w:tc>
            </w:tr>
            <w:tr w14:paraId="3B8F4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73" w:type="pct"/>
                  <w:noWrap w:val="0"/>
                  <w:vAlign w:val="center"/>
                </w:tcPr>
                <w:p w14:paraId="6C663C9E">
                  <w:pPr>
                    <w:spacing w:line="35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color w:val="auto"/>
                      <w:kern w:val="0"/>
                      <w:szCs w:val="21"/>
                    </w:rPr>
                    <w:t>1</w:t>
                  </w:r>
                </w:p>
              </w:tc>
              <w:tc>
                <w:tcPr>
                  <w:tcW w:w="4124" w:type="pct"/>
                  <w:noWrap w:val="0"/>
                  <w:vAlign w:val="center"/>
                </w:tcPr>
                <w:p w14:paraId="70EF9D4F">
                  <w:pPr>
                    <w:spacing w:line="350" w:lineRule="exact"/>
                    <w:jc w:val="left"/>
                    <w:rPr>
                      <w:rFonts w:hint="eastAsia" w:ascii="Times New Roman" w:hAnsi="Times New Roman" w:eastAsia="宋体" w:cs="Times New Roman"/>
                      <w:b/>
                      <w:color w:val="auto"/>
                      <w:szCs w:val="21"/>
                      <w:lang w:eastAsia="zh-CN"/>
                    </w:rPr>
                  </w:pPr>
                  <w:r>
                    <w:rPr>
                      <w:rFonts w:hint="default" w:ascii="Times New Roman" w:hAnsi="Times New Roman" w:eastAsia="宋体" w:cs="Times New Roman"/>
                      <w:color w:val="auto"/>
                      <w:kern w:val="0"/>
                      <w:szCs w:val="21"/>
                    </w:rPr>
                    <w:t>禁止建设不符合国家港口布局规划和《江苏省沿江沿海港口布局规划（2015-2030年）》《江苏省内河港口布局规划（2017-2035年）》以及我省有关港口总体规划的码头项目，禁止建设未纳入《长江千线过江通道布局规划》的过长江通道项目</w:t>
                  </w:r>
                  <w:r>
                    <w:rPr>
                      <w:rFonts w:hint="eastAsia" w:ascii="Times New Roman" w:hAnsi="Times New Roman" w:eastAsia="宋体" w:cs="Times New Roman"/>
                      <w:color w:val="auto"/>
                      <w:kern w:val="0"/>
                      <w:szCs w:val="21"/>
                      <w:lang w:eastAsia="zh-CN"/>
                    </w:rPr>
                    <w:t>。</w:t>
                  </w:r>
                </w:p>
              </w:tc>
              <w:tc>
                <w:tcPr>
                  <w:tcW w:w="501" w:type="pct"/>
                  <w:noWrap w:val="0"/>
                  <w:vAlign w:val="center"/>
                </w:tcPr>
                <w:p w14:paraId="0CAEE89B">
                  <w:pPr>
                    <w:spacing w:line="350" w:lineRule="exact"/>
                    <w:jc w:val="center"/>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color w:val="auto"/>
                      <w:kern w:val="0"/>
                      <w:szCs w:val="21"/>
                    </w:rPr>
                    <w:t>不属于</w:t>
                  </w:r>
                </w:p>
              </w:tc>
            </w:tr>
            <w:tr w14:paraId="5648DB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373" w:type="pct"/>
                  <w:noWrap w:val="0"/>
                  <w:vAlign w:val="center"/>
                </w:tcPr>
                <w:p w14:paraId="42F5E716">
                  <w:pPr>
                    <w:spacing w:line="35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color w:val="auto"/>
                      <w:kern w:val="0"/>
                      <w:szCs w:val="21"/>
                    </w:rPr>
                    <w:t>2</w:t>
                  </w:r>
                </w:p>
              </w:tc>
              <w:tc>
                <w:tcPr>
                  <w:tcW w:w="4124" w:type="pct"/>
                  <w:noWrap w:val="0"/>
                  <w:vAlign w:val="center"/>
                </w:tcPr>
                <w:p w14:paraId="3875114F">
                  <w:pPr>
                    <w:spacing w:line="350" w:lineRule="exact"/>
                    <w:jc w:val="left"/>
                    <w:rPr>
                      <w:rFonts w:hint="eastAsia"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国内投资建设与风景名胜资源保护无关的项目。自然保护区、风景名胜区由省林业局会同有关方面界定并落实管控责任</w:t>
                  </w:r>
                  <w:r>
                    <w:rPr>
                      <w:rFonts w:hint="eastAsia" w:ascii="Times New Roman" w:hAnsi="Times New Roman" w:eastAsia="宋体" w:cs="Times New Roman"/>
                      <w:color w:val="auto"/>
                      <w:kern w:val="0"/>
                      <w:szCs w:val="21"/>
                      <w:lang w:eastAsia="zh-CN"/>
                    </w:rPr>
                    <w:t>。</w:t>
                  </w:r>
                </w:p>
              </w:tc>
              <w:tc>
                <w:tcPr>
                  <w:tcW w:w="501" w:type="pct"/>
                  <w:noWrap w:val="0"/>
                  <w:vAlign w:val="center"/>
                </w:tcPr>
                <w:p w14:paraId="3A64C84D">
                  <w:pPr>
                    <w:spacing w:line="35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color w:val="auto"/>
                      <w:kern w:val="0"/>
                      <w:szCs w:val="21"/>
                    </w:rPr>
                    <w:t>不属于</w:t>
                  </w:r>
                </w:p>
              </w:tc>
            </w:tr>
            <w:tr w14:paraId="7C2011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3" w:type="pct"/>
                  <w:noWrap w:val="0"/>
                  <w:vAlign w:val="center"/>
                </w:tcPr>
                <w:p w14:paraId="47E02FB0">
                  <w:pPr>
                    <w:spacing w:line="35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color w:val="auto"/>
                      <w:kern w:val="0"/>
                      <w:szCs w:val="21"/>
                    </w:rPr>
                    <w:t>3</w:t>
                  </w:r>
                </w:p>
              </w:tc>
              <w:tc>
                <w:tcPr>
                  <w:tcW w:w="4124" w:type="pct"/>
                  <w:noWrap w:val="0"/>
                  <w:vAlign w:val="center"/>
                </w:tcPr>
                <w:p w14:paraId="32734EFB">
                  <w:pPr>
                    <w:spacing w:line="350" w:lineRule="exact"/>
                    <w:jc w:val="left"/>
                    <w:rPr>
                      <w:rFonts w:hint="eastAsia"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w:t>
                  </w:r>
                  <w:r>
                    <w:rPr>
                      <w:rFonts w:hint="eastAsia"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禁止在饮用水水源二级保护区的岸线和河段范围内新建改建、扩建排放污染物的投资建设项目</w:t>
                  </w:r>
                  <w:r>
                    <w:rPr>
                      <w:rFonts w:hint="eastAsia"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禁上在饮用水水源准保护区的岸线和河段范国内新建、扩建对水体污染严重的投资建设项目，改建项目应当消减排污量。饮用水水源一级保护区、二级保护区、准保护区由省生态环境厅会同水利等有关方面界定并落实管控</w:t>
                  </w:r>
                  <w:r>
                    <w:rPr>
                      <w:rFonts w:hint="eastAsia" w:ascii="Times New Roman" w:hAnsi="Times New Roman" w:eastAsia="宋体" w:cs="Times New Roman"/>
                      <w:color w:val="auto"/>
                      <w:kern w:val="0"/>
                      <w:szCs w:val="21"/>
                      <w:lang w:val="en-US" w:eastAsia="zh-CN"/>
                    </w:rPr>
                    <w:t>责</w:t>
                  </w:r>
                  <w:r>
                    <w:rPr>
                      <w:rFonts w:hint="default" w:ascii="Times New Roman" w:hAnsi="Times New Roman" w:eastAsia="宋体" w:cs="Times New Roman"/>
                      <w:color w:val="auto"/>
                      <w:kern w:val="0"/>
                      <w:szCs w:val="21"/>
                    </w:rPr>
                    <w:t>任</w:t>
                  </w:r>
                  <w:r>
                    <w:rPr>
                      <w:rFonts w:hint="eastAsia" w:ascii="Times New Roman" w:hAnsi="Times New Roman" w:eastAsia="宋体" w:cs="Times New Roman"/>
                      <w:color w:val="auto"/>
                      <w:kern w:val="0"/>
                      <w:szCs w:val="21"/>
                      <w:lang w:eastAsia="zh-CN"/>
                    </w:rPr>
                    <w:t>。</w:t>
                  </w:r>
                </w:p>
              </w:tc>
              <w:tc>
                <w:tcPr>
                  <w:tcW w:w="501" w:type="pct"/>
                  <w:noWrap w:val="0"/>
                  <w:vAlign w:val="center"/>
                </w:tcPr>
                <w:p w14:paraId="425CB371">
                  <w:pPr>
                    <w:spacing w:line="35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color w:val="auto"/>
                      <w:kern w:val="0"/>
                      <w:szCs w:val="21"/>
                    </w:rPr>
                    <w:t>不属于</w:t>
                  </w:r>
                </w:p>
              </w:tc>
            </w:tr>
            <w:tr w14:paraId="4EB83F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373" w:type="pct"/>
                  <w:noWrap w:val="0"/>
                  <w:vAlign w:val="center"/>
                </w:tcPr>
                <w:p w14:paraId="5BB0D5B2">
                  <w:pPr>
                    <w:spacing w:line="35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color w:val="auto"/>
                      <w:kern w:val="0"/>
                      <w:szCs w:val="21"/>
                    </w:rPr>
                    <w:t>4</w:t>
                  </w:r>
                </w:p>
              </w:tc>
              <w:tc>
                <w:tcPr>
                  <w:tcW w:w="4124" w:type="pct"/>
                  <w:noWrap w:val="0"/>
                  <w:vAlign w:val="center"/>
                </w:tcPr>
                <w:p w14:paraId="5142CB1A">
                  <w:pPr>
                    <w:spacing w:line="350" w:lineRule="exact"/>
                    <w:jc w:val="left"/>
                    <w:rPr>
                      <w:rFonts w:hint="eastAsia"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严格执行《水产种质资源保护区管理暂行办法》，禁止在国家级和省级水产种质资源保护区的岸线和河段范围内新建围湖造田、国海造地或国填海等投资建设项目。严格执行 《中华人民共和国湿地保护法》《江苏省湿地保护条例》</w:t>
                  </w:r>
                  <w:r>
                    <w:rPr>
                      <w:rFonts w:hint="eastAsia"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禁止在国家湿地公园的岸线和河段范国内挖沙、买矿，以及任何不符合主体功能定位的投资建设项目。水产种质资源保护区、国家湿地公园分别由省农业农村厅、省林业局会同有关方面界定并落实管控责任</w:t>
                  </w:r>
                  <w:r>
                    <w:rPr>
                      <w:rFonts w:hint="eastAsia" w:ascii="Times New Roman" w:hAnsi="Times New Roman" w:eastAsia="宋体" w:cs="Times New Roman"/>
                      <w:color w:val="auto"/>
                      <w:kern w:val="0"/>
                      <w:szCs w:val="21"/>
                      <w:lang w:eastAsia="zh-CN"/>
                    </w:rPr>
                    <w:t>。</w:t>
                  </w:r>
                </w:p>
              </w:tc>
              <w:tc>
                <w:tcPr>
                  <w:tcW w:w="501" w:type="pct"/>
                  <w:noWrap w:val="0"/>
                  <w:vAlign w:val="center"/>
                </w:tcPr>
                <w:p w14:paraId="319995B6">
                  <w:pPr>
                    <w:spacing w:line="35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color w:val="auto"/>
                      <w:kern w:val="0"/>
                      <w:szCs w:val="21"/>
                    </w:rPr>
                    <w:t>不属于</w:t>
                  </w:r>
                </w:p>
              </w:tc>
            </w:tr>
            <w:tr w14:paraId="6ADE90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373" w:type="pct"/>
                  <w:noWrap w:val="0"/>
                  <w:vAlign w:val="center"/>
                </w:tcPr>
                <w:p w14:paraId="0CC54C9A">
                  <w:pPr>
                    <w:spacing w:line="35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w:t>
                  </w:r>
                </w:p>
              </w:tc>
              <w:tc>
                <w:tcPr>
                  <w:tcW w:w="4124" w:type="pct"/>
                  <w:noWrap w:val="0"/>
                  <w:vAlign w:val="center"/>
                </w:tcPr>
                <w:p w14:paraId="35CA1DA8">
                  <w:pPr>
                    <w:spacing w:line="350" w:lineRule="exact"/>
                    <w:jc w:val="center"/>
                    <w:rPr>
                      <w:rFonts w:hint="eastAsia"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禁止违法利用</w:t>
                  </w:r>
                  <w:r>
                    <w:rPr>
                      <w:rFonts w:hint="eastAsia"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占用长江流域河湖岸线。禁止在《长江岸线保护和开发利用总体规划》划定的岸线保护区和保留区内投资建设除事关公共安全及公众利益的防洪护岸河道治理、供水生态环境保护、航道整治、国家重要基础设施以外的项目。长江</w:t>
                  </w:r>
                  <w:r>
                    <w:rPr>
                      <w:rFonts w:hint="eastAsia" w:ascii="Times New Roman" w:hAnsi="Times New Roman" w:eastAsia="宋体" w:cs="Times New Roman"/>
                      <w:color w:val="auto"/>
                      <w:kern w:val="0"/>
                      <w:szCs w:val="21"/>
                      <w:lang w:val="en-US" w:eastAsia="zh-CN"/>
                    </w:rPr>
                    <w:t>干</w:t>
                  </w:r>
                  <w:r>
                    <w:rPr>
                      <w:rFonts w:hint="default" w:ascii="Times New Roman" w:hAnsi="Times New Roman" w:eastAsia="宋体" w:cs="Times New Roman"/>
                      <w:color w:val="auto"/>
                      <w:kern w:val="0"/>
                      <w:szCs w:val="21"/>
                    </w:rPr>
                    <w:t>支流基础设施项目应按照《长江岸线保护和开发利用总体规判》和生态环境保护、岸线保护等要求，按规定开展项目前</w:t>
                  </w:r>
                  <w:r>
                    <w:rPr>
                      <w:rFonts w:hint="eastAsia" w:ascii="Times New Roman" w:hAnsi="Times New Roman" w:eastAsia="宋体" w:cs="Times New Roman"/>
                      <w:color w:val="auto"/>
                      <w:kern w:val="0"/>
                      <w:szCs w:val="21"/>
                      <w:lang w:val="en-US" w:eastAsia="zh-CN"/>
                    </w:rPr>
                    <w:t>期</w:t>
                  </w:r>
                  <w:r>
                    <w:rPr>
                      <w:rFonts w:hint="default" w:ascii="Times New Roman" w:hAnsi="Times New Roman" w:eastAsia="宋体" w:cs="Times New Roman"/>
                      <w:color w:val="auto"/>
                      <w:kern w:val="0"/>
                      <w:szCs w:val="21"/>
                    </w:rPr>
                    <w:t>论证并办理相关手续。</w:t>
                  </w:r>
                  <w:r>
                    <w:rPr>
                      <w:rFonts w:hint="eastAsia" w:ascii="Times New Roman" w:hAnsi="Times New Roman" w:eastAsia="宋体" w:cs="Times New Roman"/>
                      <w:color w:val="auto"/>
                      <w:kern w:val="0"/>
                      <w:szCs w:val="21"/>
                      <w:lang w:val="en-US" w:eastAsia="zh-CN"/>
                    </w:rPr>
                    <w:t>禁</w:t>
                  </w:r>
                  <w:r>
                    <w:rPr>
                      <w:rFonts w:hint="default" w:ascii="Times New Roman" w:hAnsi="Times New Roman" w:eastAsia="宋体" w:cs="Times New Roman"/>
                      <w:color w:val="auto"/>
                      <w:kern w:val="0"/>
                      <w:szCs w:val="21"/>
                    </w:rPr>
                    <w:t>止在《全国重要江河湖泊水功能区划》划定的河段及湖泊保护区保留区内投资建设不利</w:t>
                  </w:r>
                  <w:r>
                    <w:rPr>
                      <w:rFonts w:hint="eastAsia" w:ascii="Times New Roman" w:hAnsi="Times New Roman" w:eastAsia="宋体" w:cs="Times New Roman"/>
                      <w:color w:val="auto"/>
                      <w:kern w:val="0"/>
                      <w:szCs w:val="21"/>
                      <w:lang w:val="en-US" w:eastAsia="zh-CN"/>
                    </w:rPr>
                    <w:t>于</w:t>
                  </w:r>
                  <w:r>
                    <w:rPr>
                      <w:rFonts w:hint="default" w:ascii="Times New Roman" w:hAnsi="Times New Roman" w:eastAsia="宋体" w:cs="Times New Roman"/>
                      <w:color w:val="auto"/>
                      <w:kern w:val="0"/>
                      <w:szCs w:val="21"/>
                    </w:rPr>
                    <w:t>水资源及自然生态保护的项目</w:t>
                  </w:r>
                  <w:r>
                    <w:rPr>
                      <w:rFonts w:hint="eastAsia" w:ascii="Times New Roman" w:hAnsi="Times New Roman" w:eastAsia="宋体" w:cs="Times New Roman"/>
                      <w:color w:val="auto"/>
                      <w:kern w:val="0"/>
                      <w:szCs w:val="21"/>
                      <w:lang w:eastAsia="zh-CN"/>
                    </w:rPr>
                    <w:t>。</w:t>
                  </w:r>
                </w:p>
              </w:tc>
              <w:tc>
                <w:tcPr>
                  <w:tcW w:w="501" w:type="pct"/>
                  <w:noWrap w:val="0"/>
                  <w:vAlign w:val="center"/>
                </w:tcPr>
                <w:p w14:paraId="14E9168C">
                  <w:pPr>
                    <w:spacing w:line="35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color w:val="auto"/>
                      <w:kern w:val="0"/>
                      <w:szCs w:val="21"/>
                    </w:rPr>
                    <w:t>不属于</w:t>
                  </w:r>
                </w:p>
              </w:tc>
            </w:tr>
            <w:tr w14:paraId="35426A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noWrap w:val="0"/>
                  <w:vAlign w:val="center"/>
                </w:tcPr>
                <w:p w14:paraId="18B355CD">
                  <w:pPr>
                    <w:spacing w:line="350" w:lineRule="exact"/>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6</w:t>
                  </w:r>
                </w:p>
              </w:tc>
              <w:tc>
                <w:tcPr>
                  <w:tcW w:w="4124" w:type="pct"/>
                  <w:noWrap w:val="0"/>
                  <w:vAlign w:val="center"/>
                </w:tcPr>
                <w:p w14:paraId="509AC1D3">
                  <w:pPr>
                    <w:jc w:val="left"/>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禁止未经许可在长江干支流及湖泊新设、改设或扩大排污口。</w:t>
                  </w:r>
                </w:p>
              </w:tc>
              <w:tc>
                <w:tcPr>
                  <w:tcW w:w="501" w:type="pct"/>
                  <w:noWrap w:val="0"/>
                  <w:vAlign w:val="center"/>
                </w:tcPr>
                <w:p w14:paraId="6A117FD4">
                  <w:pPr>
                    <w:spacing w:line="35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不属于</w:t>
                  </w:r>
                </w:p>
              </w:tc>
            </w:tr>
            <w:tr w14:paraId="57451F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3"/>
                  <w:noWrap w:val="0"/>
                  <w:vAlign w:val="center"/>
                </w:tcPr>
                <w:p w14:paraId="0254096E">
                  <w:pPr>
                    <w:spacing w:line="350" w:lineRule="exact"/>
                    <w:jc w:val="left"/>
                    <w:rPr>
                      <w:rFonts w:hint="default" w:ascii="Times New Roman" w:hAnsi="Times New Roman" w:eastAsia="宋体" w:cs="Times New Roman"/>
                      <w:color w:val="auto"/>
                      <w:kern w:val="0"/>
                      <w:szCs w:val="21"/>
                    </w:rPr>
                  </w:pPr>
                  <w:r>
                    <w:rPr>
                      <w:rFonts w:hint="default" w:ascii="Times New Roman" w:hAnsi="Times New Roman" w:eastAsia="宋体" w:cs="Times New Roman"/>
                      <w:b/>
                      <w:bCs/>
                      <w:color w:val="auto"/>
                      <w:kern w:val="0"/>
                      <w:szCs w:val="21"/>
                    </w:rPr>
                    <w:t>二、区域活动</w:t>
                  </w:r>
                </w:p>
              </w:tc>
            </w:tr>
            <w:tr w14:paraId="6DF48C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373" w:type="pct"/>
                  <w:noWrap w:val="0"/>
                  <w:vAlign w:val="center"/>
                </w:tcPr>
                <w:p w14:paraId="093C2D24">
                  <w:pPr>
                    <w:spacing w:line="350" w:lineRule="exact"/>
                    <w:jc w:val="center"/>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color w:val="auto"/>
                      <w:kern w:val="0"/>
                      <w:szCs w:val="21"/>
                      <w:lang w:val="en-US" w:eastAsia="zh-CN"/>
                    </w:rPr>
                    <w:t>7</w:t>
                  </w:r>
                </w:p>
              </w:tc>
              <w:tc>
                <w:tcPr>
                  <w:tcW w:w="4124" w:type="pct"/>
                  <w:noWrap w:val="0"/>
                  <w:vAlign w:val="center"/>
                </w:tcPr>
                <w:p w14:paraId="2CC367B5">
                  <w:pPr>
                    <w:spacing w:line="350" w:lineRule="exact"/>
                    <w:jc w:val="left"/>
                    <w:rPr>
                      <w:rFonts w:hint="eastAsia"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rPr>
                    <w:t>禁止长江</w:t>
                  </w:r>
                  <w:r>
                    <w:rPr>
                      <w:rFonts w:hint="eastAsia" w:ascii="Times New Roman" w:hAnsi="Times New Roman" w:eastAsia="宋体" w:cs="Times New Roman"/>
                      <w:color w:val="auto"/>
                      <w:kern w:val="0"/>
                      <w:szCs w:val="21"/>
                      <w:lang w:val="en-US" w:eastAsia="zh-CN"/>
                    </w:rPr>
                    <w:t>干</w:t>
                  </w:r>
                  <w:r>
                    <w:rPr>
                      <w:rFonts w:hint="default" w:ascii="Times New Roman" w:hAnsi="Times New Roman" w:eastAsia="宋体" w:cs="Times New Roman"/>
                      <w:color w:val="auto"/>
                      <w:kern w:val="0"/>
                      <w:szCs w:val="21"/>
                    </w:rPr>
                    <w:t>流、长江口、34个列入《率先全面禁捕的长江流域水生生物保护区名录》的水生生物保护区以及省规定的其它禁渔水域开展生产性捕捞</w:t>
                  </w:r>
                </w:p>
              </w:tc>
              <w:tc>
                <w:tcPr>
                  <w:tcW w:w="501" w:type="pct"/>
                  <w:noWrap w:val="0"/>
                  <w:vAlign w:val="center"/>
                </w:tcPr>
                <w:p w14:paraId="78C1E900">
                  <w:pPr>
                    <w:spacing w:line="35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color w:val="auto"/>
                      <w:kern w:val="0"/>
                      <w:szCs w:val="21"/>
                    </w:rPr>
                    <w:t>不属于</w:t>
                  </w:r>
                </w:p>
              </w:tc>
            </w:tr>
            <w:tr w14:paraId="72C069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noWrap w:val="0"/>
                  <w:vAlign w:val="center"/>
                </w:tcPr>
                <w:p w14:paraId="227D122A">
                  <w:pPr>
                    <w:spacing w:line="350" w:lineRule="exact"/>
                    <w:jc w:val="center"/>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color w:val="auto"/>
                      <w:kern w:val="0"/>
                      <w:szCs w:val="21"/>
                      <w:lang w:val="en-US" w:eastAsia="zh-CN"/>
                    </w:rPr>
                    <w:t>8</w:t>
                  </w:r>
                </w:p>
              </w:tc>
              <w:tc>
                <w:tcPr>
                  <w:tcW w:w="4124" w:type="pct"/>
                  <w:noWrap w:val="0"/>
                  <w:vAlign w:val="center"/>
                </w:tcPr>
                <w:p w14:paraId="304AEFD4">
                  <w:pPr>
                    <w:spacing w:line="350" w:lineRule="exact"/>
                    <w:jc w:val="left"/>
                    <w:rPr>
                      <w:rFonts w:hint="eastAsia"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禁止在距离长江</w:t>
                  </w:r>
                  <w:r>
                    <w:rPr>
                      <w:rFonts w:hint="eastAsia" w:ascii="Times New Roman" w:hAnsi="Times New Roman" w:eastAsia="宋体" w:cs="Times New Roman"/>
                      <w:color w:val="auto"/>
                      <w:kern w:val="0"/>
                      <w:szCs w:val="21"/>
                      <w:lang w:val="en-US" w:eastAsia="zh-CN"/>
                    </w:rPr>
                    <w:t>干</w:t>
                  </w:r>
                  <w:r>
                    <w:rPr>
                      <w:rFonts w:hint="default" w:ascii="Times New Roman" w:hAnsi="Times New Roman" w:eastAsia="宋体" w:cs="Times New Roman"/>
                      <w:color w:val="auto"/>
                      <w:kern w:val="0"/>
                      <w:szCs w:val="21"/>
                    </w:rPr>
                    <w:t>支流岸线一公里</w:t>
                  </w:r>
                  <w:r>
                    <w:rPr>
                      <w:rFonts w:hint="eastAsia" w:ascii="Times New Roman" w:hAnsi="Times New Roman" w:eastAsia="宋体" w:cs="Times New Roman"/>
                      <w:color w:val="auto"/>
                      <w:kern w:val="0"/>
                      <w:szCs w:val="21"/>
                      <w:lang w:val="en-US" w:eastAsia="zh-CN"/>
                    </w:rPr>
                    <w:t>范围</w:t>
                  </w:r>
                  <w:r>
                    <w:rPr>
                      <w:rFonts w:hint="default" w:ascii="Times New Roman" w:hAnsi="Times New Roman" w:eastAsia="宋体" w:cs="Times New Roman"/>
                      <w:color w:val="auto"/>
                      <w:kern w:val="0"/>
                      <w:szCs w:val="21"/>
                    </w:rPr>
                    <w:t>内新建、扩建化工园区和化工项目。长江</w:t>
                  </w:r>
                  <w:r>
                    <w:rPr>
                      <w:rFonts w:hint="eastAsia" w:ascii="Times New Roman" w:hAnsi="Times New Roman" w:eastAsia="宋体" w:cs="Times New Roman"/>
                      <w:color w:val="auto"/>
                      <w:kern w:val="0"/>
                      <w:szCs w:val="21"/>
                      <w:lang w:val="en-US" w:eastAsia="zh-CN"/>
                    </w:rPr>
                    <w:t>干</w:t>
                  </w:r>
                  <w:r>
                    <w:rPr>
                      <w:rFonts w:hint="default" w:ascii="Times New Roman" w:hAnsi="Times New Roman" w:eastAsia="宋体" w:cs="Times New Roman"/>
                      <w:color w:val="auto"/>
                      <w:kern w:val="0"/>
                      <w:szCs w:val="21"/>
                    </w:rPr>
                    <w:t>支流一公里按照长江</w:t>
                  </w:r>
                  <w:r>
                    <w:rPr>
                      <w:rFonts w:hint="eastAsia" w:ascii="Times New Roman" w:hAnsi="Times New Roman" w:eastAsia="宋体" w:cs="Times New Roman"/>
                      <w:color w:val="auto"/>
                      <w:kern w:val="0"/>
                      <w:szCs w:val="21"/>
                      <w:lang w:val="en-US" w:eastAsia="zh-CN"/>
                    </w:rPr>
                    <w:t>干</w:t>
                  </w:r>
                  <w:r>
                    <w:rPr>
                      <w:rFonts w:hint="default" w:ascii="Times New Roman" w:hAnsi="Times New Roman" w:eastAsia="宋体" w:cs="Times New Roman"/>
                      <w:color w:val="auto"/>
                      <w:kern w:val="0"/>
                      <w:szCs w:val="21"/>
                    </w:rPr>
                    <w:t>支流岸线边界</w:t>
                  </w:r>
                  <w:r>
                    <w:rPr>
                      <w:rFonts w:hint="eastAsia" w:ascii="Times New Roman" w:hAnsi="Times New Roman" w:eastAsia="宋体" w:cs="宋体"/>
                      <w:color w:val="auto"/>
                      <w:kern w:val="0"/>
                      <w:szCs w:val="21"/>
                    </w:rPr>
                    <w:t>(</w:t>
                  </w:r>
                  <w:r>
                    <w:rPr>
                      <w:rFonts w:hint="default" w:ascii="Times New Roman" w:hAnsi="Times New Roman" w:eastAsia="宋体" w:cs="Times New Roman"/>
                      <w:color w:val="auto"/>
                      <w:kern w:val="0"/>
                      <w:szCs w:val="21"/>
                    </w:rPr>
                    <w:t>即水利部门河道管理范围边界）向陆域纵深一公里执行</w:t>
                  </w:r>
                  <w:r>
                    <w:rPr>
                      <w:rFonts w:hint="eastAsia" w:ascii="Times New Roman" w:hAnsi="Times New Roman" w:eastAsia="宋体" w:cs="Times New Roman"/>
                      <w:color w:val="auto"/>
                      <w:kern w:val="0"/>
                      <w:szCs w:val="21"/>
                      <w:lang w:eastAsia="zh-CN"/>
                    </w:rPr>
                    <w:t>。</w:t>
                  </w:r>
                </w:p>
              </w:tc>
              <w:tc>
                <w:tcPr>
                  <w:tcW w:w="501" w:type="pct"/>
                  <w:noWrap w:val="0"/>
                  <w:vAlign w:val="center"/>
                </w:tcPr>
                <w:p w14:paraId="2243ED07">
                  <w:pPr>
                    <w:spacing w:line="35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color w:val="auto"/>
                      <w:kern w:val="0"/>
                      <w:szCs w:val="21"/>
                    </w:rPr>
                    <w:t>不属于</w:t>
                  </w:r>
                </w:p>
              </w:tc>
            </w:tr>
            <w:tr w14:paraId="1D4093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noWrap w:val="0"/>
                  <w:vAlign w:val="center"/>
                </w:tcPr>
                <w:p w14:paraId="728275F6">
                  <w:pPr>
                    <w:spacing w:line="350" w:lineRule="exact"/>
                    <w:jc w:val="center"/>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color w:val="auto"/>
                      <w:kern w:val="0"/>
                      <w:szCs w:val="21"/>
                      <w:lang w:val="en-US" w:eastAsia="zh-CN"/>
                    </w:rPr>
                    <w:t>9</w:t>
                  </w:r>
                </w:p>
              </w:tc>
              <w:tc>
                <w:tcPr>
                  <w:tcW w:w="4124" w:type="pct"/>
                  <w:noWrap w:val="0"/>
                  <w:vAlign w:val="center"/>
                </w:tcPr>
                <w:p w14:paraId="4FC4B658">
                  <w:pPr>
                    <w:spacing w:line="350" w:lineRule="exact"/>
                    <w:jc w:val="left"/>
                    <w:rPr>
                      <w:rFonts w:hint="eastAsia"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禁止在长江干流岸线三公里范围内新建、改建、扩建尾矿库、冶炼渣库和磷石</w:t>
                  </w:r>
                  <w:r>
                    <w:rPr>
                      <w:rFonts w:hint="eastAsia" w:ascii="Times New Roman" w:hAnsi="Times New Roman" w:eastAsia="宋体" w:cs="Times New Roman"/>
                      <w:color w:val="auto"/>
                      <w:kern w:val="0"/>
                      <w:szCs w:val="21"/>
                      <w:lang w:val="en-US" w:eastAsia="zh-CN"/>
                    </w:rPr>
                    <w:t>膏</w:t>
                  </w:r>
                  <w:r>
                    <w:rPr>
                      <w:rFonts w:hint="default" w:ascii="Times New Roman" w:hAnsi="Times New Roman" w:eastAsia="宋体" w:cs="Times New Roman"/>
                      <w:color w:val="auto"/>
                      <w:kern w:val="0"/>
                      <w:szCs w:val="21"/>
                    </w:rPr>
                    <w:t>库，以提升安全、生态环境保护水</w:t>
                  </w:r>
                  <w:r>
                    <w:rPr>
                      <w:rFonts w:hint="eastAsia" w:ascii="Times New Roman" w:hAnsi="Times New Roman" w:eastAsia="宋体" w:cs="Times New Roman"/>
                      <w:color w:val="auto"/>
                      <w:kern w:val="0"/>
                      <w:szCs w:val="21"/>
                      <w:lang w:val="en-US" w:eastAsia="zh-CN"/>
                    </w:rPr>
                    <w:t>平</w:t>
                  </w:r>
                  <w:r>
                    <w:rPr>
                      <w:rFonts w:hint="default" w:ascii="Times New Roman" w:hAnsi="Times New Roman" w:eastAsia="宋体" w:cs="Times New Roman"/>
                      <w:color w:val="auto"/>
                      <w:kern w:val="0"/>
                      <w:szCs w:val="21"/>
                    </w:rPr>
                    <w:t>为目的的改建除外</w:t>
                  </w:r>
                  <w:r>
                    <w:rPr>
                      <w:rFonts w:hint="eastAsia" w:ascii="Times New Roman" w:hAnsi="Times New Roman" w:eastAsia="宋体" w:cs="Times New Roman"/>
                      <w:color w:val="auto"/>
                      <w:kern w:val="0"/>
                      <w:szCs w:val="21"/>
                      <w:lang w:eastAsia="zh-CN"/>
                    </w:rPr>
                    <w:t>。</w:t>
                  </w:r>
                </w:p>
              </w:tc>
              <w:tc>
                <w:tcPr>
                  <w:tcW w:w="501" w:type="pct"/>
                  <w:noWrap w:val="0"/>
                  <w:vAlign w:val="center"/>
                </w:tcPr>
                <w:p w14:paraId="345DB6B0">
                  <w:pPr>
                    <w:spacing w:line="35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color w:val="auto"/>
                      <w:kern w:val="0"/>
                      <w:szCs w:val="21"/>
                    </w:rPr>
                    <w:t>不属于</w:t>
                  </w:r>
                </w:p>
              </w:tc>
            </w:tr>
            <w:tr w14:paraId="0820AC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noWrap w:val="0"/>
                  <w:vAlign w:val="center"/>
                </w:tcPr>
                <w:p w14:paraId="62935DB7">
                  <w:pPr>
                    <w:spacing w:line="350" w:lineRule="exact"/>
                    <w:jc w:val="center"/>
                    <w:rPr>
                      <w:rFonts w:hint="default" w:ascii="Times New Roman" w:hAnsi="Times New Roman" w:eastAsia="宋体" w:cs="Times New Roman"/>
                      <w:b/>
                      <w:color w:val="auto"/>
                      <w:szCs w:val="21"/>
                      <w:lang w:val="en-US" w:eastAsia="zh-CN"/>
                    </w:rPr>
                  </w:pPr>
                  <w:r>
                    <w:rPr>
                      <w:rFonts w:hint="eastAsia" w:ascii="Times New Roman" w:hAnsi="Times New Roman" w:eastAsia="宋体" w:cs="Times New Roman"/>
                      <w:b w:val="0"/>
                      <w:bCs/>
                      <w:color w:val="auto"/>
                      <w:szCs w:val="21"/>
                      <w:lang w:val="en-US" w:eastAsia="zh-CN"/>
                    </w:rPr>
                    <w:t>10</w:t>
                  </w:r>
                </w:p>
              </w:tc>
              <w:tc>
                <w:tcPr>
                  <w:tcW w:w="4124" w:type="pct"/>
                  <w:noWrap w:val="0"/>
                  <w:vAlign w:val="center"/>
                </w:tcPr>
                <w:p w14:paraId="264865C9">
                  <w:pPr>
                    <w:spacing w:line="350" w:lineRule="exact"/>
                    <w:jc w:val="left"/>
                    <w:rPr>
                      <w:rFonts w:hint="eastAsia"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禁止在大湖流域一、二</w:t>
                  </w:r>
                  <w:r>
                    <w:rPr>
                      <w:rFonts w:hint="eastAsia"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三级保护区内开展《江苏省太湖水污染防治条例》禁止的投资建设活动</w:t>
                  </w:r>
                  <w:r>
                    <w:rPr>
                      <w:rFonts w:hint="eastAsia" w:ascii="Times New Roman" w:hAnsi="Times New Roman" w:eastAsia="宋体" w:cs="Times New Roman"/>
                      <w:color w:val="auto"/>
                      <w:kern w:val="0"/>
                      <w:szCs w:val="21"/>
                      <w:lang w:eastAsia="zh-CN"/>
                    </w:rPr>
                    <w:t>。</w:t>
                  </w:r>
                </w:p>
              </w:tc>
              <w:tc>
                <w:tcPr>
                  <w:tcW w:w="501" w:type="pct"/>
                  <w:noWrap w:val="0"/>
                  <w:vAlign w:val="center"/>
                </w:tcPr>
                <w:p w14:paraId="04B01FC8">
                  <w:pPr>
                    <w:spacing w:line="35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color w:val="auto"/>
                      <w:kern w:val="0"/>
                      <w:szCs w:val="21"/>
                    </w:rPr>
                    <w:t>不属于</w:t>
                  </w:r>
                </w:p>
              </w:tc>
            </w:tr>
            <w:tr w14:paraId="32BB2A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noWrap w:val="0"/>
                  <w:vAlign w:val="center"/>
                </w:tcPr>
                <w:p w14:paraId="50AD7077">
                  <w:pPr>
                    <w:spacing w:line="350" w:lineRule="exact"/>
                    <w:jc w:val="center"/>
                    <w:rPr>
                      <w:rFonts w:hint="eastAsia" w:ascii="Times New Roman" w:hAnsi="Times New Roman" w:eastAsia="宋体" w:cs="Times New Roman"/>
                      <w:b/>
                      <w:color w:val="auto"/>
                      <w:szCs w:val="21"/>
                      <w:lang w:val="en-US" w:eastAsia="zh-CN"/>
                    </w:rPr>
                  </w:pPr>
                  <w:r>
                    <w:rPr>
                      <w:rFonts w:hint="default" w:ascii="Times New Roman" w:hAnsi="Times New Roman" w:eastAsia="宋体" w:cs="Times New Roman"/>
                      <w:color w:val="auto"/>
                      <w:kern w:val="0"/>
                      <w:szCs w:val="21"/>
                    </w:rPr>
                    <w:t>1</w:t>
                  </w:r>
                  <w:r>
                    <w:rPr>
                      <w:rFonts w:hint="eastAsia" w:ascii="Times New Roman" w:hAnsi="Times New Roman" w:eastAsia="宋体" w:cs="Times New Roman"/>
                      <w:color w:val="auto"/>
                      <w:kern w:val="0"/>
                      <w:szCs w:val="21"/>
                      <w:lang w:val="en-US" w:eastAsia="zh-CN"/>
                    </w:rPr>
                    <w:t>1</w:t>
                  </w:r>
                </w:p>
              </w:tc>
              <w:tc>
                <w:tcPr>
                  <w:tcW w:w="4124" w:type="pct"/>
                  <w:noWrap w:val="0"/>
                  <w:vAlign w:val="center"/>
                </w:tcPr>
                <w:p w14:paraId="6EE3EDC1">
                  <w:pPr>
                    <w:spacing w:line="350" w:lineRule="exact"/>
                    <w:jc w:val="lef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禁止在沿江地区新建、扩建未纳入国家和省布局规划的燃煤发电项目</w:t>
                  </w:r>
                </w:p>
              </w:tc>
              <w:tc>
                <w:tcPr>
                  <w:tcW w:w="501" w:type="pct"/>
                  <w:noWrap w:val="0"/>
                  <w:vAlign w:val="center"/>
                </w:tcPr>
                <w:p w14:paraId="537D422A">
                  <w:pPr>
                    <w:spacing w:line="35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color w:val="auto"/>
                      <w:kern w:val="0"/>
                      <w:szCs w:val="21"/>
                    </w:rPr>
                    <w:t>不属于</w:t>
                  </w:r>
                </w:p>
              </w:tc>
            </w:tr>
            <w:tr w14:paraId="78D8D3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noWrap w:val="0"/>
                  <w:vAlign w:val="center"/>
                </w:tcPr>
                <w:p w14:paraId="377E6185">
                  <w:pPr>
                    <w:spacing w:line="350" w:lineRule="exact"/>
                    <w:jc w:val="center"/>
                    <w:rPr>
                      <w:rFonts w:hint="eastAsia"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rPr>
                    <w:t>1</w:t>
                  </w:r>
                  <w:r>
                    <w:rPr>
                      <w:rFonts w:hint="eastAsia" w:ascii="Times New Roman" w:hAnsi="Times New Roman" w:eastAsia="宋体" w:cs="Times New Roman"/>
                      <w:color w:val="auto"/>
                      <w:kern w:val="0"/>
                      <w:szCs w:val="21"/>
                      <w:lang w:val="en-US" w:eastAsia="zh-CN"/>
                    </w:rPr>
                    <w:t>2</w:t>
                  </w:r>
                </w:p>
              </w:tc>
              <w:tc>
                <w:tcPr>
                  <w:tcW w:w="4124" w:type="pct"/>
                  <w:noWrap w:val="0"/>
                  <w:vAlign w:val="center"/>
                </w:tcPr>
                <w:p w14:paraId="493CD301">
                  <w:pPr>
                    <w:spacing w:line="350" w:lineRule="exact"/>
                    <w:jc w:val="left"/>
                    <w:rPr>
                      <w:rFonts w:hint="eastAsia"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禁止在合规园区外新建、扩建钢铁、石化化工、焦化建材、有色、制</w:t>
                  </w:r>
                  <w:r>
                    <w:rPr>
                      <w:rFonts w:hint="eastAsia" w:ascii="Times New Roman" w:hAnsi="Times New Roman" w:eastAsia="宋体" w:cs="Times New Roman"/>
                      <w:color w:val="auto"/>
                      <w:kern w:val="0"/>
                      <w:szCs w:val="21"/>
                      <w:lang w:val="en-US" w:eastAsia="zh-CN"/>
                    </w:rPr>
                    <w:t>浆</w:t>
                  </w:r>
                  <w:r>
                    <w:rPr>
                      <w:rFonts w:hint="default" w:ascii="Times New Roman" w:hAnsi="Times New Roman" w:eastAsia="宋体" w:cs="Times New Roman"/>
                      <w:color w:val="auto"/>
                      <w:kern w:val="0"/>
                      <w:szCs w:val="21"/>
                    </w:rPr>
                    <w:t>造纸等高污染项目。合规园区名录接照《</w:t>
                  </w:r>
                  <w:r>
                    <w:rPr>
                      <w:rFonts w:hint="eastAsia" w:ascii="Times New Roman" w:hAnsi="Times New Roman" w:eastAsia="宋体" w:cs="宋体"/>
                      <w:color w:val="auto"/>
                      <w:kern w:val="0"/>
                      <w:szCs w:val="21"/>
                    </w:rPr>
                    <w:t>&lt;</w:t>
                  </w:r>
                  <w:r>
                    <w:rPr>
                      <w:rFonts w:hint="default" w:ascii="Times New Roman" w:hAnsi="Times New Roman" w:eastAsia="宋体" w:cs="Times New Roman"/>
                      <w:color w:val="auto"/>
                      <w:kern w:val="0"/>
                      <w:szCs w:val="21"/>
                    </w:rPr>
                    <w:t>长江经济带发展负面清单指南（试行，2022年版</w:t>
                  </w:r>
                  <w:r>
                    <w:rPr>
                      <w:rFonts w:hint="eastAsia" w:ascii="Times New Roman" w:hAnsi="Times New Roman" w:eastAsia="宋体"/>
                      <w:color w:val="auto"/>
                      <w:lang w:eastAsia="zh-CN"/>
                    </w:rPr>
                    <w:t>）</w:t>
                  </w:r>
                  <w:r>
                    <w:rPr>
                      <w:rFonts w:hint="eastAsia" w:ascii="Times New Roman" w:hAnsi="Times New Roman" w:eastAsia="宋体" w:cs="宋体"/>
                      <w:color w:val="auto"/>
                    </w:rPr>
                    <w:t>&gt;</w:t>
                  </w:r>
                  <w:r>
                    <w:rPr>
                      <w:rFonts w:hint="default" w:ascii="Times New Roman" w:hAnsi="Times New Roman" w:eastAsia="宋体" w:cs="Times New Roman"/>
                      <w:color w:val="auto"/>
                      <w:kern w:val="0"/>
                      <w:szCs w:val="21"/>
                    </w:rPr>
                    <w:t>，江苏省实施细则合规园区名录》执行</w:t>
                  </w:r>
                  <w:r>
                    <w:rPr>
                      <w:rFonts w:hint="eastAsia" w:ascii="Times New Roman" w:hAnsi="Times New Roman" w:eastAsia="宋体" w:cs="Times New Roman"/>
                      <w:color w:val="auto"/>
                      <w:kern w:val="0"/>
                      <w:szCs w:val="21"/>
                      <w:lang w:eastAsia="zh-CN"/>
                    </w:rPr>
                    <w:t>。</w:t>
                  </w:r>
                </w:p>
              </w:tc>
              <w:tc>
                <w:tcPr>
                  <w:tcW w:w="501" w:type="pct"/>
                  <w:noWrap w:val="0"/>
                  <w:vAlign w:val="center"/>
                </w:tcPr>
                <w:p w14:paraId="559483A4">
                  <w:pPr>
                    <w:spacing w:line="35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不属于</w:t>
                  </w:r>
                </w:p>
              </w:tc>
            </w:tr>
            <w:tr w14:paraId="0267BB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noWrap w:val="0"/>
                  <w:vAlign w:val="center"/>
                </w:tcPr>
                <w:p w14:paraId="6768ED14">
                  <w:pPr>
                    <w:spacing w:line="350" w:lineRule="exact"/>
                    <w:jc w:val="center"/>
                    <w:rPr>
                      <w:rFonts w:hint="eastAsia"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rPr>
                    <w:t>1</w:t>
                  </w:r>
                  <w:r>
                    <w:rPr>
                      <w:rFonts w:hint="eastAsia" w:ascii="Times New Roman" w:hAnsi="Times New Roman" w:eastAsia="宋体" w:cs="Times New Roman"/>
                      <w:color w:val="auto"/>
                      <w:kern w:val="0"/>
                      <w:szCs w:val="21"/>
                      <w:lang w:val="en-US" w:eastAsia="zh-CN"/>
                    </w:rPr>
                    <w:t>3</w:t>
                  </w:r>
                </w:p>
              </w:tc>
              <w:tc>
                <w:tcPr>
                  <w:tcW w:w="4124" w:type="pct"/>
                  <w:noWrap w:val="0"/>
                  <w:vAlign w:val="center"/>
                </w:tcPr>
                <w:p w14:paraId="0DD280B7">
                  <w:pPr>
                    <w:spacing w:line="350" w:lineRule="exact"/>
                    <w:jc w:val="left"/>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rPr>
                    <w:t>禁止在</w:t>
                  </w:r>
                  <w:r>
                    <w:rPr>
                      <w:rFonts w:hint="eastAsia" w:ascii="Times New Roman" w:hAnsi="Times New Roman" w:eastAsia="宋体" w:cs="Times New Roman"/>
                      <w:color w:val="auto"/>
                      <w:kern w:val="0"/>
                      <w:szCs w:val="21"/>
                      <w:lang w:val="en-US" w:eastAsia="zh-CN"/>
                    </w:rPr>
                    <w:t>取消化工定位的园区（集中区）内新建化工项目。</w:t>
                  </w:r>
                </w:p>
              </w:tc>
              <w:tc>
                <w:tcPr>
                  <w:tcW w:w="501" w:type="pct"/>
                  <w:noWrap w:val="0"/>
                  <w:vAlign w:val="center"/>
                </w:tcPr>
                <w:p w14:paraId="16BD8C88">
                  <w:pPr>
                    <w:spacing w:line="35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不属于</w:t>
                  </w:r>
                </w:p>
              </w:tc>
            </w:tr>
            <w:tr w14:paraId="64C846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noWrap w:val="0"/>
                  <w:vAlign w:val="center"/>
                </w:tcPr>
                <w:p w14:paraId="77DF519F">
                  <w:pPr>
                    <w:spacing w:line="350" w:lineRule="exact"/>
                    <w:jc w:val="center"/>
                    <w:rPr>
                      <w:rFonts w:hint="eastAsia"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rPr>
                    <w:t>1</w:t>
                  </w:r>
                  <w:r>
                    <w:rPr>
                      <w:rFonts w:hint="eastAsia" w:ascii="Times New Roman" w:hAnsi="Times New Roman" w:eastAsia="宋体" w:cs="Times New Roman"/>
                      <w:color w:val="auto"/>
                      <w:kern w:val="0"/>
                      <w:szCs w:val="21"/>
                      <w:lang w:val="en-US" w:eastAsia="zh-CN"/>
                    </w:rPr>
                    <w:t>4</w:t>
                  </w:r>
                </w:p>
              </w:tc>
              <w:tc>
                <w:tcPr>
                  <w:tcW w:w="4124" w:type="pct"/>
                  <w:noWrap w:val="0"/>
                  <w:vAlign w:val="center"/>
                </w:tcPr>
                <w:p w14:paraId="648F29BC">
                  <w:pPr>
                    <w:spacing w:line="350" w:lineRule="exact"/>
                    <w:jc w:val="lef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禁止在化工企业周边建设不符合安全距离规定的劳动密集型的非化工项目和其他人员密集的公共设施项目。</w:t>
                  </w:r>
                </w:p>
              </w:tc>
              <w:tc>
                <w:tcPr>
                  <w:tcW w:w="501" w:type="pct"/>
                  <w:noWrap w:val="0"/>
                  <w:vAlign w:val="center"/>
                </w:tcPr>
                <w:p w14:paraId="0FD505F8">
                  <w:pPr>
                    <w:spacing w:line="35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不属于</w:t>
                  </w:r>
                </w:p>
              </w:tc>
            </w:tr>
            <w:tr w14:paraId="36876E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3"/>
                  <w:noWrap w:val="0"/>
                  <w:vAlign w:val="center"/>
                </w:tcPr>
                <w:p w14:paraId="6EEB265C">
                  <w:pPr>
                    <w:spacing w:line="350" w:lineRule="exact"/>
                    <w:jc w:val="left"/>
                    <w:rPr>
                      <w:rFonts w:hint="default" w:ascii="Times New Roman" w:hAnsi="Times New Roman" w:eastAsia="宋体" w:cs="Times New Roman"/>
                      <w:color w:val="auto"/>
                      <w:kern w:val="0"/>
                      <w:szCs w:val="21"/>
                    </w:rPr>
                  </w:pPr>
                  <w:r>
                    <w:rPr>
                      <w:rFonts w:hint="default" w:ascii="Times New Roman" w:hAnsi="Times New Roman" w:eastAsia="宋体" w:cs="Times New Roman"/>
                      <w:b/>
                      <w:bCs/>
                      <w:color w:val="auto"/>
                      <w:kern w:val="0"/>
                      <w:szCs w:val="21"/>
                    </w:rPr>
                    <w:t>三、产业发展</w:t>
                  </w:r>
                </w:p>
              </w:tc>
            </w:tr>
            <w:tr w14:paraId="0148B8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noWrap w:val="0"/>
                  <w:vAlign w:val="center"/>
                </w:tcPr>
                <w:p w14:paraId="20841E50">
                  <w:pPr>
                    <w:spacing w:line="35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15</w:t>
                  </w:r>
                </w:p>
              </w:tc>
              <w:tc>
                <w:tcPr>
                  <w:tcW w:w="4124" w:type="pct"/>
                  <w:noWrap w:val="0"/>
                  <w:vAlign w:val="center"/>
                </w:tcPr>
                <w:p w14:paraId="0F814FCC">
                  <w:pPr>
                    <w:spacing w:line="350" w:lineRule="exact"/>
                    <w:jc w:val="lef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禁止新建、扩建</w:t>
                  </w:r>
                  <w:r>
                    <w:rPr>
                      <w:rFonts w:hint="eastAsia" w:ascii="Times New Roman" w:hAnsi="Times New Roman" w:eastAsia="宋体" w:cs="Times New Roman"/>
                      <w:color w:val="auto"/>
                      <w:kern w:val="0"/>
                      <w:szCs w:val="21"/>
                      <w:lang w:val="en-US" w:eastAsia="zh-CN"/>
                    </w:rPr>
                    <w:t>不符合国家和省产业政策的</w:t>
                  </w:r>
                  <w:r>
                    <w:rPr>
                      <w:rFonts w:hint="default" w:ascii="Times New Roman" w:hAnsi="Times New Roman" w:eastAsia="宋体" w:cs="Times New Roman"/>
                      <w:color w:val="auto"/>
                      <w:kern w:val="0"/>
                      <w:szCs w:val="21"/>
                    </w:rPr>
                    <w:t>尿素、磷铵、电石、烧碱、聚氯乙烯、纯碱</w:t>
                  </w:r>
                  <w:r>
                    <w:rPr>
                      <w:rFonts w:hint="eastAsia" w:ascii="Times New Roman" w:hAnsi="Times New Roman" w:eastAsia="宋体" w:cs="Times New Roman"/>
                      <w:color w:val="auto"/>
                      <w:kern w:val="0"/>
                      <w:szCs w:val="21"/>
                      <w:lang w:val="en-US" w:eastAsia="zh-CN"/>
                    </w:rPr>
                    <w:t>等行业</w:t>
                  </w:r>
                  <w:r>
                    <w:rPr>
                      <w:rFonts w:hint="default" w:ascii="Times New Roman" w:hAnsi="Times New Roman" w:eastAsia="宋体" w:cs="Times New Roman"/>
                      <w:color w:val="auto"/>
                      <w:kern w:val="0"/>
                      <w:szCs w:val="21"/>
                    </w:rPr>
                    <w:t>新增产能项目。</w:t>
                  </w:r>
                </w:p>
              </w:tc>
              <w:tc>
                <w:tcPr>
                  <w:tcW w:w="501" w:type="pct"/>
                  <w:noWrap w:val="0"/>
                  <w:vAlign w:val="center"/>
                </w:tcPr>
                <w:p w14:paraId="6058910A">
                  <w:pPr>
                    <w:spacing w:line="35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不属于</w:t>
                  </w:r>
                </w:p>
              </w:tc>
            </w:tr>
            <w:tr w14:paraId="0BA715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noWrap w:val="0"/>
                  <w:vAlign w:val="center"/>
                </w:tcPr>
                <w:p w14:paraId="7C23EE80">
                  <w:pPr>
                    <w:spacing w:line="35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16</w:t>
                  </w:r>
                </w:p>
              </w:tc>
              <w:tc>
                <w:tcPr>
                  <w:tcW w:w="4124" w:type="pct"/>
                  <w:noWrap w:val="0"/>
                  <w:vAlign w:val="center"/>
                </w:tcPr>
                <w:p w14:paraId="3B4FA31C">
                  <w:pPr>
                    <w:spacing w:line="350" w:lineRule="exact"/>
                    <w:jc w:val="lef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禁止新建、改建、扩建高毒、高残留以及对环境影响大的农药原药</w:t>
                  </w:r>
                  <w:r>
                    <w:rPr>
                      <w:rFonts w:hint="eastAsia" w:ascii="Times New Roman" w:hAnsi="Times New Roman" w:eastAsia="宋体" w:cs="Times New Roman"/>
                      <w:color w:val="auto"/>
                      <w:kern w:val="0"/>
                      <w:szCs w:val="21"/>
                      <w:lang w:eastAsia="zh-CN"/>
                    </w:rPr>
                    <w:t>（</w:t>
                  </w:r>
                  <w:r>
                    <w:rPr>
                      <w:rFonts w:hint="eastAsia" w:ascii="Times New Roman" w:hAnsi="Times New Roman" w:eastAsia="宋体" w:cs="Times New Roman"/>
                      <w:color w:val="auto"/>
                      <w:kern w:val="0"/>
                      <w:szCs w:val="21"/>
                      <w:lang w:val="en-US" w:eastAsia="zh-CN"/>
                    </w:rPr>
                    <w:t>化学合成类</w:t>
                  </w:r>
                  <w:r>
                    <w:rPr>
                      <w:rFonts w:hint="eastAsia"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项目，禁止新建、扩建</w:t>
                  </w:r>
                  <w:r>
                    <w:rPr>
                      <w:rFonts w:hint="eastAsia" w:ascii="Times New Roman" w:hAnsi="Times New Roman" w:eastAsia="宋体" w:cs="Times New Roman"/>
                      <w:color w:val="auto"/>
                      <w:kern w:val="0"/>
                      <w:szCs w:val="21"/>
                      <w:lang w:val="en-US" w:eastAsia="zh-CN"/>
                    </w:rPr>
                    <w:t>不符合国家和省产业政策的</w:t>
                  </w:r>
                  <w:r>
                    <w:rPr>
                      <w:rFonts w:hint="default" w:ascii="Times New Roman" w:hAnsi="Times New Roman" w:eastAsia="宋体" w:cs="Times New Roman"/>
                      <w:color w:val="auto"/>
                      <w:kern w:val="0"/>
                      <w:szCs w:val="21"/>
                    </w:rPr>
                    <w:t>农药、医药和染料中间体化工项目。</w:t>
                  </w:r>
                </w:p>
              </w:tc>
              <w:tc>
                <w:tcPr>
                  <w:tcW w:w="501" w:type="pct"/>
                  <w:noWrap w:val="0"/>
                  <w:vAlign w:val="center"/>
                </w:tcPr>
                <w:p w14:paraId="30ED6E4B">
                  <w:pPr>
                    <w:spacing w:line="35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不属于</w:t>
                  </w:r>
                </w:p>
              </w:tc>
            </w:tr>
            <w:tr w14:paraId="29129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noWrap w:val="0"/>
                  <w:vAlign w:val="center"/>
                </w:tcPr>
                <w:p w14:paraId="60F658F0">
                  <w:pPr>
                    <w:spacing w:line="35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17</w:t>
                  </w:r>
                </w:p>
              </w:tc>
              <w:tc>
                <w:tcPr>
                  <w:tcW w:w="4124" w:type="pct"/>
                  <w:noWrap w:val="0"/>
                  <w:vAlign w:val="center"/>
                </w:tcPr>
                <w:p w14:paraId="14B018C2">
                  <w:pPr>
                    <w:spacing w:line="350" w:lineRule="exact"/>
                    <w:jc w:val="lef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禁止新建、扩建不符合国家石化、现代煤化工等产业布局规划的项目，禁止新建独立焦化项目。</w:t>
                  </w:r>
                </w:p>
              </w:tc>
              <w:tc>
                <w:tcPr>
                  <w:tcW w:w="501" w:type="pct"/>
                  <w:noWrap w:val="0"/>
                  <w:vAlign w:val="center"/>
                </w:tcPr>
                <w:p w14:paraId="69C56BAE">
                  <w:pPr>
                    <w:spacing w:line="35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不属于</w:t>
                  </w:r>
                </w:p>
              </w:tc>
            </w:tr>
            <w:tr w14:paraId="6B546A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noWrap w:val="0"/>
                  <w:vAlign w:val="center"/>
                </w:tcPr>
                <w:p w14:paraId="31487970">
                  <w:pPr>
                    <w:spacing w:line="35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18</w:t>
                  </w:r>
                </w:p>
              </w:tc>
              <w:tc>
                <w:tcPr>
                  <w:tcW w:w="4124" w:type="pct"/>
                  <w:noWrap w:val="0"/>
                  <w:vAlign w:val="center"/>
                </w:tcPr>
                <w:p w14:paraId="7BC302A4">
                  <w:pPr>
                    <w:spacing w:line="350" w:lineRule="exact"/>
                    <w:jc w:val="lef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501" w:type="pct"/>
                  <w:noWrap w:val="0"/>
                  <w:vAlign w:val="center"/>
                </w:tcPr>
                <w:p w14:paraId="69FDD72E">
                  <w:pPr>
                    <w:spacing w:line="35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不属于</w:t>
                  </w:r>
                </w:p>
              </w:tc>
            </w:tr>
            <w:tr w14:paraId="7F532E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noWrap w:val="0"/>
                  <w:vAlign w:val="center"/>
                </w:tcPr>
                <w:p w14:paraId="0509DD39">
                  <w:pPr>
                    <w:spacing w:line="35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19</w:t>
                  </w:r>
                </w:p>
              </w:tc>
              <w:tc>
                <w:tcPr>
                  <w:tcW w:w="4124" w:type="pct"/>
                  <w:noWrap w:val="0"/>
                  <w:vAlign w:val="center"/>
                </w:tcPr>
                <w:p w14:paraId="7B9D2335">
                  <w:pPr>
                    <w:spacing w:line="350" w:lineRule="exact"/>
                    <w:jc w:val="left"/>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rPr>
                    <w:t>禁止新建、扩建不符合国家产能置换要求的严重过剩产能行业的项目。禁止新建、扩建不符合</w:t>
                  </w:r>
                  <w:r>
                    <w:rPr>
                      <w:rFonts w:hint="eastAsia" w:ascii="Times New Roman" w:hAnsi="Times New Roman" w:eastAsia="宋体" w:cs="Times New Roman"/>
                      <w:color w:val="auto"/>
                      <w:kern w:val="0"/>
                      <w:szCs w:val="21"/>
                      <w:lang w:val="en-US" w:eastAsia="zh-CN"/>
                    </w:rPr>
                    <w:t>要求的高耗能高排放项目。</w:t>
                  </w:r>
                </w:p>
              </w:tc>
              <w:tc>
                <w:tcPr>
                  <w:tcW w:w="501" w:type="pct"/>
                  <w:noWrap w:val="0"/>
                  <w:vAlign w:val="center"/>
                </w:tcPr>
                <w:p w14:paraId="082697CC">
                  <w:pPr>
                    <w:spacing w:line="35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不属于</w:t>
                  </w:r>
                </w:p>
              </w:tc>
            </w:tr>
            <w:tr w14:paraId="3379D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noWrap w:val="0"/>
                  <w:vAlign w:val="center"/>
                </w:tcPr>
                <w:p w14:paraId="4664C3E4">
                  <w:pPr>
                    <w:spacing w:line="35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20</w:t>
                  </w:r>
                </w:p>
              </w:tc>
              <w:tc>
                <w:tcPr>
                  <w:tcW w:w="4124" w:type="pct"/>
                  <w:noWrap w:val="0"/>
                  <w:vAlign w:val="center"/>
                </w:tcPr>
                <w:p w14:paraId="4DFB202C">
                  <w:pPr>
                    <w:spacing w:line="350" w:lineRule="exact"/>
                    <w:jc w:val="left"/>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法律法规及相关政策文件有更加严格规定的从其规定。</w:t>
                  </w:r>
                </w:p>
              </w:tc>
              <w:tc>
                <w:tcPr>
                  <w:tcW w:w="501" w:type="pct"/>
                  <w:noWrap w:val="0"/>
                  <w:vAlign w:val="center"/>
                </w:tcPr>
                <w:p w14:paraId="3B559561">
                  <w:pPr>
                    <w:spacing w:line="35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无更严规定</w:t>
                  </w:r>
                </w:p>
              </w:tc>
            </w:tr>
          </w:tbl>
          <w:p w14:paraId="21B7EA1B">
            <w:pPr>
              <w:tabs>
                <w:tab w:val="left" w:pos="0"/>
              </w:tabs>
              <w:adjustRightInd w:val="0"/>
              <w:spacing w:line="360" w:lineRule="auto"/>
              <w:ind w:firstLine="480" w:firstLineChars="200"/>
              <w:jc w:val="left"/>
              <w:outlineLvl w:val="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根据《扬州市“三线一单”生态环境分区管控实施方案》，扬州市全市共划定环境管控单元281个，分为优先保护单元、重点管控单元和一般管控单元三类，实施分类管控。</w:t>
            </w:r>
          </w:p>
          <w:p w14:paraId="05CFDD63">
            <w:pPr>
              <w:tabs>
                <w:tab w:val="left" w:pos="0"/>
              </w:tabs>
              <w:adjustRightInd w:val="0"/>
              <w:spacing w:line="360" w:lineRule="auto"/>
              <w:ind w:firstLine="480" w:firstLineChars="200"/>
              <w:jc w:val="left"/>
              <w:outlineLvl w:val="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eastAsia" w:ascii="Times New Roman" w:hAnsi="Times New Roman" w:eastAsia="宋体" w:cs="Times New Roman"/>
                <w:color w:val="auto"/>
                <w:sz w:val="24"/>
                <w:lang w:val="en-US" w:eastAsia="zh-CN"/>
              </w:rPr>
              <w:t>位于高邮市汤庄镇</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属于一般管控单元，</w:t>
            </w:r>
            <w:r>
              <w:rPr>
                <w:rFonts w:hint="default" w:ascii="Times New Roman" w:hAnsi="Times New Roman" w:eastAsia="宋体" w:cs="Times New Roman"/>
                <w:color w:val="auto"/>
                <w:sz w:val="24"/>
              </w:rPr>
              <w:t>与扬州市</w:t>
            </w:r>
            <w:r>
              <w:rPr>
                <w:rFonts w:hint="eastAsia" w:ascii="Times New Roman" w:hAnsi="Times New Roman" w:eastAsia="宋体" w:cs="Times New Roman"/>
                <w:color w:val="auto"/>
                <w:sz w:val="24"/>
                <w:lang w:val="en-US" w:eastAsia="zh-CN"/>
              </w:rPr>
              <w:t>一般</w:t>
            </w:r>
            <w:r>
              <w:rPr>
                <w:rFonts w:hint="default" w:ascii="Times New Roman" w:hAnsi="Times New Roman" w:eastAsia="宋体" w:cs="Times New Roman"/>
                <w:color w:val="auto"/>
                <w:sz w:val="24"/>
              </w:rPr>
              <w:t>管控单元生态环境准入清单相符性分析见下表：</w:t>
            </w:r>
          </w:p>
          <w:p w14:paraId="06F132B3">
            <w:pPr>
              <w:tabs>
                <w:tab w:val="left" w:pos="0"/>
              </w:tabs>
              <w:adjustRightInd w:val="0"/>
              <w:spacing w:line="360" w:lineRule="auto"/>
              <w:ind w:firstLine="480" w:firstLineChars="200"/>
              <w:jc w:val="left"/>
              <w:outlineLvl w:val="0"/>
              <w:rPr>
                <w:rFonts w:hint="default" w:ascii="Times New Roman" w:hAnsi="Times New Roman" w:eastAsia="宋体" w:cs="Times New Roman"/>
                <w:color w:val="auto"/>
                <w:sz w:val="24"/>
              </w:rPr>
            </w:pPr>
          </w:p>
          <w:p w14:paraId="5E3076E4">
            <w:pPr>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表1-</w:t>
            </w:r>
            <w:r>
              <w:rPr>
                <w:rFonts w:hint="eastAsia"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rPr>
              <w:t xml:space="preserve"> 与扬州市</w:t>
            </w:r>
            <w:r>
              <w:rPr>
                <w:rFonts w:hint="eastAsia" w:ascii="Times New Roman" w:hAnsi="Times New Roman" w:eastAsia="宋体" w:cs="Times New Roman"/>
                <w:b/>
                <w:color w:val="auto"/>
                <w:sz w:val="24"/>
                <w:szCs w:val="24"/>
                <w:lang w:val="en-US" w:eastAsia="zh-CN"/>
              </w:rPr>
              <w:t>一般</w:t>
            </w:r>
            <w:r>
              <w:rPr>
                <w:rFonts w:hint="default" w:ascii="Times New Roman" w:hAnsi="Times New Roman" w:eastAsia="宋体" w:cs="Times New Roman"/>
                <w:b/>
                <w:color w:val="auto"/>
                <w:sz w:val="24"/>
                <w:szCs w:val="24"/>
              </w:rPr>
              <w:t>管控单元生态环境准入清单相符性分析表</w:t>
            </w:r>
          </w:p>
          <w:tbl>
            <w:tblPr>
              <w:tblStyle w:val="11"/>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8"/>
              <w:gridCol w:w="430"/>
              <w:gridCol w:w="680"/>
              <w:gridCol w:w="966"/>
              <w:gridCol w:w="404"/>
              <w:gridCol w:w="1209"/>
              <w:gridCol w:w="496"/>
              <w:gridCol w:w="755"/>
              <w:gridCol w:w="629"/>
              <w:gridCol w:w="1149"/>
            </w:tblGrid>
            <w:tr w14:paraId="25C497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9" w:type="pct"/>
                  <w:vMerge w:val="restart"/>
                  <w:noWrap w:val="0"/>
                  <w:vAlign w:val="center"/>
                </w:tcPr>
                <w:p w14:paraId="760398BF">
                  <w:pPr>
                    <w:tabs>
                      <w:tab w:val="left" w:pos="0"/>
                    </w:tabs>
                    <w:jc w:val="center"/>
                    <w:outlineLvl w:val="0"/>
                    <w:rPr>
                      <w:rFonts w:hint="default" w:ascii="Times New Roman" w:hAnsi="Times New Roman" w:eastAsia="宋体" w:cs="Times New Roman"/>
                      <w:b/>
                      <w:color w:val="auto"/>
                      <w:spacing w:val="4"/>
                      <w:sz w:val="21"/>
                      <w:szCs w:val="21"/>
                      <w:lang w:bidi="ar"/>
                    </w:rPr>
                  </w:pPr>
                  <w:r>
                    <w:rPr>
                      <w:rFonts w:hint="default" w:ascii="Times New Roman" w:hAnsi="Times New Roman" w:eastAsia="宋体" w:cs="Times New Roman"/>
                      <w:b/>
                      <w:color w:val="auto"/>
                      <w:spacing w:val="4"/>
                      <w:sz w:val="21"/>
                      <w:szCs w:val="21"/>
                      <w:lang w:bidi="ar"/>
                    </w:rPr>
                    <w:t>序号</w:t>
                  </w:r>
                </w:p>
              </w:tc>
              <w:tc>
                <w:tcPr>
                  <w:tcW w:w="773" w:type="pct"/>
                  <w:gridSpan w:val="2"/>
                  <w:noWrap w:val="0"/>
                  <w:vAlign w:val="center"/>
                </w:tcPr>
                <w:p w14:paraId="194F901B">
                  <w:pPr>
                    <w:tabs>
                      <w:tab w:val="left" w:pos="0"/>
                    </w:tabs>
                    <w:jc w:val="center"/>
                    <w:outlineLvl w:val="0"/>
                    <w:rPr>
                      <w:rFonts w:hint="default" w:ascii="Times New Roman" w:hAnsi="Times New Roman" w:eastAsia="宋体" w:cs="Times New Roman"/>
                      <w:b/>
                      <w:color w:val="auto"/>
                      <w:spacing w:val="4"/>
                      <w:sz w:val="21"/>
                      <w:szCs w:val="21"/>
                      <w:lang w:bidi="ar"/>
                    </w:rPr>
                  </w:pPr>
                  <w:r>
                    <w:rPr>
                      <w:rFonts w:hint="default" w:ascii="Times New Roman" w:hAnsi="Times New Roman" w:eastAsia="宋体" w:cs="Times New Roman"/>
                      <w:b/>
                      <w:color w:val="auto"/>
                      <w:spacing w:val="4"/>
                      <w:sz w:val="21"/>
                      <w:szCs w:val="21"/>
                      <w:lang w:bidi="ar"/>
                    </w:rPr>
                    <w:t>环境管控单元空间属性</w:t>
                  </w:r>
                </w:p>
              </w:tc>
              <w:tc>
                <w:tcPr>
                  <w:tcW w:w="3907" w:type="pct"/>
                  <w:gridSpan w:val="7"/>
                  <w:noWrap w:val="0"/>
                  <w:vAlign w:val="center"/>
                </w:tcPr>
                <w:p w14:paraId="581CE0C8">
                  <w:pPr>
                    <w:tabs>
                      <w:tab w:val="left" w:pos="0"/>
                    </w:tabs>
                    <w:jc w:val="center"/>
                    <w:outlineLvl w:val="0"/>
                    <w:rPr>
                      <w:rFonts w:hint="default" w:ascii="Times New Roman" w:hAnsi="Times New Roman" w:eastAsia="宋体" w:cs="Times New Roman"/>
                      <w:b/>
                      <w:color w:val="auto"/>
                      <w:spacing w:val="4"/>
                      <w:sz w:val="21"/>
                      <w:szCs w:val="21"/>
                      <w:lang w:bidi="ar"/>
                    </w:rPr>
                  </w:pPr>
                  <w:r>
                    <w:rPr>
                      <w:rFonts w:hint="default" w:ascii="Times New Roman" w:hAnsi="Times New Roman" w:eastAsia="宋体" w:cs="Times New Roman"/>
                      <w:b/>
                      <w:color w:val="auto"/>
                      <w:spacing w:val="4"/>
                      <w:sz w:val="21"/>
                      <w:szCs w:val="21"/>
                      <w:lang w:bidi="ar"/>
                    </w:rPr>
                    <w:t>环境管控单元生态环境准入清单</w:t>
                  </w:r>
                </w:p>
              </w:tc>
            </w:tr>
            <w:tr w14:paraId="13AA12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9" w:type="pct"/>
                  <w:vMerge w:val="continue"/>
                  <w:noWrap w:val="0"/>
                  <w:vAlign w:val="center"/>
                </w:tcPr>
                <w:p w14:paraId="64F0AD0C">
                  <w:pPr>
                    <w:tabs>
                      <w:tab w:val="left" w:pos="0"/>
                    </w:tabs>
                    <w:jc w:val="center"/>
                    <w:outlineLvl w:val="0"/>
                    <w:rPr>
                      <w:rFonts w:hint="default" w:ascii="Times New Roman" w:hAnsi="Times New Roman" w:eastAsia="宋体" w:cs="Times New Roman"/>
                      <w:b/>
                      <w:color w:val="auto"/>
                      <w:spacing w:val="4"/>
                      <w:sz w:val="21"/>
                      <w:szCs w:val="21"/>
                      <w:lang w:bidi="ar"/>
                    </w:rPr>
                  </w:pPr>
                </w:p>
              </w:tc>
              <w:tc>
                <w:tcPr>
                  <w:tcW w:w="299" w:type="pct"/>
                  <w:noWrap w:val="0"/>
                  <w:vAlign w:val="center"/>
                </w:tcPr>
                <w:p w14:paraId="57F4B41D">
                  <w:pPr>
                    <w:tabs>
                      <w:tab w:val="left" w:pos="0"/>
                    </w:tabs>
                    <w:jc w:val="center"/>
                    <w:outlineLvl w:val="0"/>
                    <w:rPr>
                      <w:rFonts w:hint="default" w:ascii="Times New Roman" w:hAnsi="Times New Roman" w:eastAsia="宋体" w:cs="Times New Roman"/>
                      <w:b/>
                      <w:color w:val="auto"/>
                      <w:spacing w:val="4"/>
                      <w:sz w:val="21"/>
                      <w:szCs w:val="21"/>
                      <w:lang w:bidi="ar"/>
                    </w:rPr>
                  </w:pPr>
                  <w:r>
                    <w:rPr>
                      <w:rFonts w:hint="default" w:ascii="Times New Roman" w:hAnsi="Times New Roman" w:eastAsia="宋体" w:cs="Times New Roman"/>
                      <w:b/>
                      <w:color w:val="auto"/>
                      <w:spacing w:val="4"/>
                      <w:sz w:val="21"/>
                      <w:szCs w:val="21"/>
                      <w:lang w:bidi="ar"/>
                    </w:rPr>
                    <w:t>行政区划</w:t>
                  </w:r>
                </w:p>
              </w:tc>
              <w:tc>
                <w:tcPr>
                  <w:tcW w:w="473" w:type="pct"/>
                  <w:noWrap w:val="0"/>
                  <w:vAlign w:val="center"/>
                </w:tcPr>
                <w:p w14:paraId="6937868A">
                  <w:pPr>
                    <w:tabs>
                      <w:tab w:val="left" w:pos="0"/>
                    </w:tabs>
                    <w:jc w:val="center"/>
                    <w:outlineLvl w:val="0"/>
                    <w:rPr>
                      <w:rFonts w:hint="default" w:ascii="Times New Roman" w:hAnsi="Times New Roman" w:eastAsia="宋体" w:cs="Times New Roman"/>
                      <w:b/>
                      <w:color w:val="auto"/>
                      <w:spacing w:val="4"/>
                      <w:sz w:val="21"/>
                      <w:szCs w:val="21"/>
                      <w:lang w:bidi="ar"/>
                    </w:rPr>
                  </w:pPr>
                  <w:r>
                    <w:rPr>
                      <w:rFonts w:hint="default" w:ascii="Times New Roman" w:hAnsi="Times New Roman" w:eastAsia="宋体" w:cs="Times New Roman"/>
                      <w:b/>
                      <w:color w:val="auto"/>
                      <w:spacing w:val="4"/>
                      <w:sz w:val="21"/>
                      <w:szCs w:val="21"/>
                      <w:lang w:bidi="ar"/>
                    </w:rPr>
                    <w:t>环境管控单元名称</w:t>
                  </w:r>
                </w:p>
              </w:tc>
              <w:tc>
                <w:tcPr>
                  <w:tcW w:w="673" w:type="pct"/>
                  <w:noWrap w:val="0"/>
                  <w:vAlign w:val="center"/>
                </w:tcPr>
                <w:p w14:paraId="1869E4B9">
                  <w:pPr>
                    <w:tabs>
                      <w:tab w:val="left" w:pos="0"/>
                    </w:tabs>
                    <w:jc w:val="center"/>
                    <w:outlineLvl w:val="0"/>
                    <w:rPr>
                      <w:rFonts w:hint="default" w:ascii="Times New Roman" w:hAnsi="Times New Roman" w:eastAsia="宋体" w:cs="Times New Roman"/>
                      <w:b/>
                      <w:color w:val="auto"/>
                      <w:spacing w:val="4"/>
                      <w:sz w:val="21"/>
                      <w:szCs w:val="21"/>
                      <w:lang w:bidi="ar"/>
                    </w:rPr>
                  </w:pPr>
                  <w:r>
                    <w:rPr>
                      <w:rFonts w:hint="default" w:ascii="Times New Roman" w:hAnsi="Times New Roman" w:eastAsia="宋体" w:cs="Times New Roman"/>
                      <w:b/>
                      <w:color w:val="auto"/>
                      <w:spacing w:val="4"/>
                      <w:sz w:val="21"/>
                      <w:szCs w:val="21"/>
                      <w:lang w:bidi="ar"/>
                    </w:rPr>
                    <w:t>空间布局约束</w:t>
                  </w:r>
                </w:p>
              </w:tc>
              <w:tc>
                <w:tcPr>
                  <w:tcW w:w="1123" w:type="pct"/>
                  <w:gridSpan w:val="2"/>
                  <w:noWrap w:val="0"/>
                  <w:vAlign w:val="center"/>
                </w:tcPr>
                <w:p w14:paraId="5976F16C">
                  <w:pPr>
                    <w:tabs>
                      <w:tab w:val="left" w:pos="0"/>
                    </w:tabs>
                    <w:jc w:val="center"/>
                    <w:outlineLvl w:val="0"/>
                    <w:rPr>
                      <w:rFonts w:hint="default" w:ascii="Times New Roman" w:hAnsi="Times New Roman" w:eastAsia="宋体" w:cs="Times New Roman"/>
                      <w:b/>
                      <w:color w:val="auto"/>
                      <w:spacing w:val="4"/>
                      <w:sz w:val="21"/>
                      <w:szCs w:val="21"/>
                      <w:lang w:bidi="ar"/>
                    </w:rPr>
                  </w:pPr>
                  <w:r>
                    <w:rPr>
                      <w:rFonts w:hint="default" w:ascii="Times New Roman" w:hAnsi="Times New Roman" w:eastAsia="宋体" w:cs="Times New Roman"/>
                      <w:b/>
                      <w:color w:val="auto"/>
                      <w:spacing w:val="4"/>
                      <w:sz w:val="21"/>
                      <w:szCs w:val="21"/>
                      <w:lang w:bidi="ar"/>
                    </w:rPr>
                    <w:t>污染物排放管控</w:t>
                  </w:r>
                </w:p>
              </w:tc>
              <w:tc>
                <w:tcPr>
                  <w:tcW w:w="871" w:type="pct"/>
                  <w:gridSpan w:val="2"/>
                  <w:noWrap w:val="0"/>
                  <w:vAlign w:val="center"/>
                </w:tcPr>
                <w:p w14:paraId="6935FA0B">
                  <w:pPr>
                    <w:tabs>
                      <w:tab w:val="left" w:pos="0"/>
                    </w:tabs>
                    <w:jc w:val="center"/>
                    <w:outlineLvl w:val="0"/>
                    <w:rPr>
                      <w:rFonts w:hint="default" w:ascii="Times New Roman" w:hAnsi="Times New Roman" w:eastAsia="宋体" w:cs="Times New Roman"/>
                      <w:b/>
                      <w:color w:val="auto"/>
                      <w:spacing w:val="4"/>
                      <w:sz w:val="21"/>
                      <w:szCs w:val="21"/>
                      <w:lang w:bidi="ar"/>
                    </w:rPr>
                  </w:pPr>
                  <w:r>
                    <w:rPr>
                      <w:rFonts w:hint="default" w:ascii="Times New Roman" w:hAnsi="Times New Roman" w:eastAsia="宋体" w:cs="Times New Roman"/>
                      <w:b/>
                      <w:color w:val="auto"/>
                      <w:spacing w:val="4"/>
                      <w:sz w:val="21"/>
                      <w:szCs w:val="21"/>
                      <w:lang w:bidi="ar"/>
                    </w:rPr>
                    <w:t>环境风险防控</w:t>
                  </w:r>
                </w:p>
              </w:tc>
              <w:tc>
                <w:tcPr>
                  <w:tcW w:w="1239" w:type="pct"/>
                  <w:gridSpan w:val="2"/>
                  <w:noWrap w:val="0"/>
                  <w:vAlign w:val="center"/>
                </w:tcPr>
                <w:p w14:paraId="76DFFC67">
                  <w:pPr>
                    <w:tabs>
                      <w:tab w:val="left" w:pos="0"/>
                    </w:tabs>
                    <w:jc w:val="center"/>
                    <w:outlineLvl w:val="0"/>
                    <w:rPr>
                      <w:rFonts w:hint="default" w:ascii="Times New Roman" w:hAnsi="Times New Roman" w:eastAsia="宋体" w:cs="Times New Roman"/>
                      <w:b/>
                      <w:color w:val="auto"/>
                      <w:spacing w:val="4"/>
                      <w:sz w:val="21"/>
                      <w:szCs w:val="21"/>
                      <w:lang w:bidi="ar"/>
                    </w:rPr>
                  </w:pPr>
                  <w:r>
                    <w:rPr>
                      <w:rFonts w:hint="default" w:ascii="Times New Roman" w:hAnsi="Times New Roman" w:eastAsia="宋体" w:cs="Times New Roman"/>
                      <w:b/>
                      <w:color w:val="auto"/>
                      <w:spacing w:val="4"/>
                      <w:sz w:val="21"/>
                      <w:szCs w:val="21"/>
                      <w:lang w:bidi="ar"/>
                    </w:rPr>
                    <w:t>资源开发效率要求</w:t>
                  </w:r>
                </w:p>
              </w:tc>
            </w:tr>
            <w:tr w14:paraId="12589D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319" w:type="pct"/>
                  <w:noWrap w:val="0"/>
                  <w:vAlign w:val="center"/>
                </w:tcPr>
                <w:p w14:paraId="7F9B39E8">
                  <w:pPr>
                    <w:tabs>
                      <w:tab w:val="left" w:pos="0"/>
                    </w:tabs>
                    <w:jc w:val="center"/>
                    <w:outlineLvl w:val="0"/>
                    <w:rPr>
                      <w:rFonts w:hint="default" w:ascii="Times New Roman" w:hAnsi="Times New Roman" w:eastAsia="宋体" w:cs="Times New Roman"/>
                      <w:bCs/>
                      <w:color w:val="auto"/>
                      <w:spacing w:val="4"/>
                      <w:sz w:val="21"/>
                      <w:szCs w:val="21"/>
                      <w:lang w:bidi="ar"/>
                    </w:rPr>
                  </w:pPr>
                  <w:r>
                    <w:rPr>
                      <w:rFonts w:hint="default" w:ascii="Times New Roman" w:hAnsi="Times New Roman" w:eastAsia="宋体" w:cs="Times New Roman"/>
                      <w:bCs/>
                      <w:color w:val="auto"/>
                      <w:spacing w:val="4"/>
                      <w:sz w:val="21"/>
                      <w:szCs w:val="21"/>
                      <w:lang w:bidi="ar"/>
                    </w:rPr>
                    <w:t>1</w:t>
                  </w:r>
                </w:p>
              </w:tc>
              <w:tc>
                <w:tcPr>
                  <w:tcW w:w="299" w:type="pct"/>
                  <w:noWrap w:val="0"/>
                  <w:vAlign w:val="center"/>
                </w:tcPr>
                <w:p w14:paraId="144995A8">
                  <w:pPr>
                    <w:tabs>
                      <w:tab w:val="left" w:pos="0"/>
                    </w:tabs>
                    <w:jc w:val="center"/>
                    <w:outlineLvl w:val="0"/>
                    <w:rPr>
                      <w:rFonts w:hint="default" w:ascii="Times New Roman" w:hAnsi="Times New Roman" w:eastAsia="宋体" w:cs="Times New Roman"/>
                      <w:bCs/>
                      <w:color w:val="auto"/>
                      <w:spacing w:val="4"/>
                      <w:sz w:val="21"/>
                      <w:szCs w:val="21"/>
                      <w:lang w:val="en-US" w:eastAsia="zh-CN" w:bidi="ar"/>
                    </w:rPr>
                  </w:pPr>
                  <w:r>
                    <w:rPr>
                      <w:rFonts w:hint="eastAsia" w:ascii="Times New Roman" w:hAnsi="Times New Roman" w:eastAsia="宋体" w:cs="Times New Roman"/>
                      <w:bCs/>
                      <w:color w:val="auto"/>
                      <w:spacing w:val="4"/>
                      <w:sz w:val="21"/>
                      <w:szCs w:val="21"/>
                      <w:lang w:val="en-US" w:eastAsia="zh-CN" w:bidi="ar"/>
                    </w:rPr>
                    <w:t>高邮市</w:t>
                  </w:r>
                </w:p>
              </w:tc>
              <w:tc>
                <w:tcPr>
                  <w:tcW w:w="473" w:type="pct"/>
                  <w:noWrap w:val="0"/>
                  <w:vAlign w:val="center"/>
                </w:tcPr>
                <w:p w14:paraId="5E1C41E4">
                  <w:pPr>
                    <w:tabs>
                      <w:tab w:val="left" w:pos="0"/>
                    </w:tabs>
                    <w:jc w:val="center"/>
                    <w:outlineLvl w:val="0"/>
                    <w:rPr>
                      <w:rFonts w:hint="default" w:ascii="Times New Roman" w:hAnsi="Times New Roman" w:eastAsia="宋体" w:cs="Times New Roman"/>
                      <w:bCs/>
                      <w:color w:val="auto"/>
                      <w:spacing w:val="4"/>
                      <w:sz w:val="21"/>
                      <w:szCs w:val="21"/>
                      <w:lang w:val="en-US" w:eastAsia="zh-CN" w:bidi="ar"/>
                    </w:rPr>
                  </w:pPr>
                  <w:r>
                    <w:rPr>
                      <w:rFonts w:hint="eastAsia" w:ascii="Times New Roman" w:hAnsi="Times New Roman" w:eastAsia="宋体" w:cs="Times New Roman"/>
                      <w:bCs/>
                      <w:color w:val="auto"/>
                      <w:spacing w:val="4"/>
                      <w:sz w:val="21"/>
                      <w:szCs w:val="21"/>
                      <w:lang w:val="en-US" w:eastAsia="zh-CN" w:bidi="ar"/>
                    </w:rPr>
                    <w:t>汤庄镇</w:t>
                  </w:r>
                </w:p>
              </w:tc>
              <w:tc>
                <w:tcPr>
                  <w:tcW w:w="673" w:type="pct"/>
                  <w:noWrap w:val="0"/>
                  <w:vAlign w:val="center"/>
                </w:tcPr>
                <w:p w14:paraId="51DDC3C2">
                  <w:pPr>
                    <w:keepNext w:val="0"/>
                    <w:keepLines w:val="0"/>
                    <w:pageBreakBefore w:val="0"/>
                    <w:widowControl w:val="0"/>
                    <w:tabs>
                      <w:tab w:val="left" w:pos="0"/>
                    </w:tabs>
                    <w:kinsoku/>
                    <w:wordWrap/>
                    <w:overflowPunct/>
                    <w:topLinePunct w:val="0"/>
                    <w:autoSpaceDE/>
                    <w:autoSpaceDN/>
                    <w:bidi w:val="0"/>
                    <w:adjustRightInd/>
                    <w:snapToGrid/>
                    <w:spacing w:line="220" w:lineRule="exact"/>
                    <w:jc w:val="center"/>
                    <w:textAlignment w:val="auto"/>
                    <w:outlineLvl w:val="0"/>
                    <w:rPr>
                      <w:rFonts w:hint="default" w:ascii="Times New Roman" w:hAnsi="Times New Roman" w:eastAsia="宋体" w:cs="Times New Roman"/>
                      <w:bCs/>
                      <w:color w:val="auto"/>
                      <w:spacing w:val="4"/>
                      <w:sz w:val="21"/>
                      <w:szCs w:val="21"/>
                      <w:lang w:val="en-US" w:eastAsia="zh-CN" w:bidi="ar"/>
                    </w:rPr>
                  </w:pPr>
                  <w:r>
                    <w:rPr>
                      <w:rFonts w:hint="default" w:ascii="Times New Roman" w:hAnsi="Times New Roman" w:eastAsia="宋体" w:cs="Times New Roman"/>
                      <w:bCs/>
                      <w:color w:val="auto"/>
                      <w:spacing w:val="4"/>
                      <w:sz w:val="21"/>
                      <w:szCs w:val="21"/>
                      <w:lang w:bidi="ar"/>
                    </w:rPr>
                    <w:t>（1）各类开发建设活动应符合扬州市总体规划、控制性详细规划、土地利用规划等相关要求。（2）位于通榆河流域的建设项目，符合《江苏省通榆河水污染防治条例》等相关要求。</w:t>
                  </w:r>
                </w:p>
              </w:tc>
              <w:tc>
                <w:tcPr>
                  <w:tcW w:w="1123" w:type="pct"/>
                  <w:gridSpan w:val="2"/>
                  <w:noWrap w:val="0"/>
                  <w:vAlign w:val="center"/>
                </w:tcPr>
                <w:p w14:paraId="3DC5AD66">
                  <w:pPr>
                    <w:keepNext w:val="0"/>
                    <w:keepLines w:val="0"/>
                    <w:pageBreakBefore w:val="0"/>
                    <w:widowControl w:val="0"/>
                    <w:tabs>
                      <w:tab w:val="left" w:pos="0"/>
                    </w:tabs>
                    <w:kinsoku/>
                    <w:wordWrap/>
                    <w:overflowPunct/>
                    <w:topLinePunct w:val="0"/>
                    <w:autoSpaceDE/>
                    <w:autoSpaceDN/>
                    <w:bidi w:val="0"/>
                    <w:adjustRightInd/>
                    <w:snapToGrid/>
                    <w:spacing w:line="220" w:lineRule="exact"/>
                    <w:jc w:val="center"/>
                    <w:textAlignment w:val="auto"/>
                    <w:outlineLvl w:val="0"/>
                    <w:rPr>
                      <w:rFonts w:hint="eastAsia" w:ascii="Times New Roman" w:hAnsi="Times New Roman" w:eastAsia="宋体" w:cs="Times New Roman"/>
                      <w:bCs/>
                      <w:color w:val="auto"/>
                      <w:spacing w:val="4"/>
                      <w:sz w:val="21"/>
                      <w:szCs w:val="21"/>
                      <w:lang w:eastAsia="zh-CN" w:bidi="ar"/>
                    </w:rPr>
                  </w:pPr>
                  <w:r>
                    <w:rPr>
                      <w:rFonts w:hint="default" w:ascii="Times New Roman" w:hAnsi="Times New Roman" w:eastAsia="宋体" w:cs="Times New Roman"/>
                      <w:bCs/>
                      <w:color w:val="auto"/>
                      <w:spacing w:val="4"/>
                      <w:sz w:val="21"/>
                      <w:szCs w:val="21"/>
                      <w:lang w:bidi="ar"/>
                    </w:rPr>
                    <w:t>（1）落实污染物总量控制制度，根据区域环境质量改善目标，削减污染物排放总量。（2）进一步开展管网排查，提升污水收集效率。强化餐饮油烟治理，加强噪声污染防治，严格施工扬尘监管，加强土壤和地下水污染防治与修复。（3）加强农业面源污染治理，严格控制化肥农药施加量，合理水产养殖布局，控制水产养殖污染，逐步削减农业面源污染物排放量。</w:t>
                  </w:r>
                </w:p>
              </w:tc>
              <w:tc>
                <w:tcPr>
                  <w:tcW w:w="871" w:type="pct"/>
                  <w:gridSpan w:val="2"/>
                  <w:noWrap w:val="0"/>
                  <w:vAlign w:val="center"/>
                </w:tcPr>
                <w:p w14:paraId="45360480">
                  <w:pPr>
                    <w:keepNext w:val="0"/>
                    <w:keepLines w:val="0"/>
                    <w:pageBreakBefore w:val="0"/>
                    <w:widowControl w:val="0"/>
                    <w:tabs>
                      <w:tab w:val="left" w:pos="0"/>
                    </w:tabs>
                    <w:kinsoku/>
                    <w:wordWrap/>
                    <w:overflowPunct/>
                    <w:topLinePunct w:val="0"/>
                    <w:autoSpaceDE/>
                    <w:autoSpaceDN/>
                    <w:bidi w:val="0"/>
                    <w:adjustRightInd/>
                    <w:snapToGrid/>
                    <w:spacing w:line="220" w:lineRule="exact"/>
                    <w:jc w:val="center"/>
                    <w:textAlignment w:val="auto"/>
                    <w:outlineLvl w:val="0"/>
                    <w:rPr>
                      <w:rFonts w:hint="eastAsia" w:ascii="Times New Roman" w:hAnsi="Times New Roman" w:eastAsia="宋体" w:cs="Times New Roman"/>
                      <w:bCs/>
                      <w:color w:val="auto"/>
                      <w:spacing w:val="4"/>
                      <w:sz w:val="21"/>
                      <w:szCs w:val="21"/>
                      <w:lang w:eastAsia="zh-CN" w:bidi="ar"/>
                    </w:rPr>
                  </w:pPr>
                  <w:r>
                    <w:rPr>
                      <w:rFonts w:hint="default" w:ascii="Times New Roman" w:hAnsi="Times New Roman" w:eastAsia="宋体" w:cs="Times New Roman"/>
                      <w:bCs/>
                      <w:color w:val="auto"/>
                      <w:spacing w:val="4"/>
                      <w:sz w:val="21"/>
                      <w:szCs w:val="21"/>
                      <w:lang w:bidi="ar"/>
                    </w:rPr>
                    <w:t>（1）加强环境风险防范应急体系建设，加强环境应急预案管理，定期开展应急演练，持续开展环境安全隐患排查整治，提升应急监测能力，加强应急物资管理。（2）合理布局商业、居住、科教等功能区块，严格控制噪声、恶臭、油烟等污染排放较大的建设项目布局。</w:t>
                  </w:r>
                </w:p>
              </w:tc>
              <w:tc>
                <w:tcPr>
                  <w:tcW w:w="1239" w:type="pct"/>
                  <w:gridSpan w:val="2"/>
                  <w:noWrap w:val="0"/>
                  <w:vAlign w:val="center"/>
                </w:tcPr>
                <w:p w14:paraId="050B6920">
                  <w:pPr>
                    <w:keepNext w:val="0"/>
                    <w:keepLines w:val="0"/>
                    <w:pageBreakBefore w:val="0"/>
                    <w:widowControl w:val="0"/>
                    <w:tabs>
                      <w:tab w:val="left" w:pos="0"/>
                    </w:tabs>
                    <w:kinsoku/>
                    <w:wordWrap/>
                    <w:overflowPunct/>
                    <w:topLinePunct w:val="0"/>
                    <w:autoSpaceDE/>
                    <w:autoSpaceDN/>
                    <w:bidi w:val="0"/>
                    <w:adjustRightInd/>
                    <w:snapToGrid/>
                    <w:spacing w:line="220" w:lineRule="exact"/>
                    <w:jc w:val="center"/>
                    <w:textAlignment w:val="auto"/>
                    <w:outlineLvl w:val="0"/>
                    <w:rPr>
                      <w:rFonts w:hint="eastAsia" w:ascii="Times New Roman" w:hAnsi="Times New Roman" w:eastAsia="宋体" w:cs="Times New Roman"/>
                      <w:bCs/>
                      <w:color w:val="auto"/>
                      <w:spacing w:val="4"/>
                      <w:sz w:val="21"/>
                      <w:szCs w:val="21"/>
                      <w:lang w:val="en-US" w:eastAsia="zh-CN" w:bidi="ar"/>
                    </w:rPr>
                  </w:pPr>
                  <w:r>
                    <w:rPr>
                      <w:rFonts w:hint="default" w:ascii="Times New Roman" w:hAnsi="Times New Roman" w:eastAsia="宋体" w:cs="Times New Roman"/>
                      <w:bCs/>
                      <w:color w:val="auto"/>
                      <w:spacing w:val="4"/>
                      <w:sz w:val="21"/>
                      <w:szCs w:val="21"/>
                      <w:lang w:bidi="ar"/>
                    </w:rPr>
                    <w:t>（1）优化能源结构，加强能源清洁利用。（2）万元GDP能耗、万元GDP用水量等指标达到市定目标。 （3）提高土地利用效率，节约集约利用土地资源。</w:t>
                  </w:r>
                </w:p>
              </w:tc>
            </w:tr>
            <w:tr w14:paraId="62ECBB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7" w:hRule="atLeast"/>
              </w:trPr>
              <w:tc>
                <w:tcPr>
                  <w:tcW w:w="1092" w:type="pct"/>
                  <w:gridSpan w:val="3"/>
                  <w:noWrap w:val="0"/>
                  <w:vAlign w:val="center"/>
                </w:tcPr>
                <w:p w14:paraId="78AB4DA6">
                  <w:pPr>
                    <w:tabs>
                      <w:tab w:val="left" w:pos="0"/>
                    </w:tabs>
                    <w:jc w:val="center"/>
                    <w:outlineLvl w:val="0"/>
                    <w:rPr>
                      <w:rFonts w:hint="default" w:ascii="Times New Roman" w:hAnsi="Times New Roman" w:eastAsia="宋体" w:cs="Times New Roman"/>
                      <w:bCs/>
                      <w:color w:val="auto"/>
                      <w:spacing w:val="4"/>
                      <w:sz w:val="21"/>
                      <w:szCs w:val="21"/>
                      <w:lang w:bidi="ar"/>
                    </w:rPr>
                  </w:pPr>
                  <w:r>
                    <w:rPr>
                      <w:rFonts w:hint="default" w:ascii="Times New Roman" w:hAnsi="Times New Roman" w:eastAsia="宋体" w:cs="Times New Roman"/>
                      <w:bCs/>
                      <w:color w:val="auto"/>
                      <w:spacing w:val="4"/>
                      <w:sz w:val="21"/>
                      <w:szCs w:val="21"/>
                      <w:lang w:bidi="ar"/>
                    </w:rPr>
                    <w:t>相符性分析</w:t>
                  </w:r>
                </w:p>
              </w:tc>
              <w:tc>
                <w:tcPr>
                  <w:tcW w:w="954" w:type="pct"/>
                  <w:gridSpan w:val="2"/>
                  <w:noWrap w:val="0"/>
                  <w:vAlign w:val="center"/>
                </w:tcPr>
                <w:p w14:paraId="2BE7574D">
                  <w:pPr>
                    <w:keepNext w:val="0"/>
                    <w:keepLines w:val="0"/>
                    <w:pageBreakBefore w:val="0"/>
                    <w:widowControl w:val="0"/>
                    <w:tabs>
                      <w:tab w:val="left" w:pos="0"/>
                    </w:tabs>
                    <w:kinsoku/>
                    <w:wordWrap/>
                    <w:overflowPunct/>
                    <w:topLinePunct w:val="0"/>
                    <w:autoSpaceDE/>
                    <w:autoSpaceDN/>
                    <w:bidi w:val="0"/>
                    <w:adjustRightInd/>
                    <w:snapToGrid/>
                    <w:spacing w:line="220" w:lineRule="exact"/>
                    <w:jc w:val="center"/>
                    <w:textAlignment w:val="auto"/>
                    <w:outlineLvl w:val="0"/>
                    <w:rPr>
                      <w:rFonts w:hint="default" w:ascii="Times New Roman" w:hAnsi="Times New Roman" w:eastAsia="宋体" w:cs="Times New Roman"/>
                      <w:bCs/>
                      <w:color w:val="auto"/>
                      <w:spacing w:val="4"/>
                      <w:sz w:val="21"/>
                      <w:szCs w:val="21"/>
                      <w:lang w:bidi="ar"/>
                    </w:rPr>
                  </w:pPr>
                  <w:r>
                    <w:rPr>
                      <w:rFonts w:hint="default" w:ascii="Times New Roman" w:hAnsi="Times New Roman" w:eastAsia="宋体" w:cs="Times New Roman"/>
                      <w:bCs/>
                      <w:color w:val="auto"/>
                      <w:spacing w:val="4"/>
                      <w:sz w:val="21"/>
                      <w:szCs w:val="21"/>
                      <w:lang w:bidi="ar"/>
                    </w:rPr>
                    <w:t>本项目为</w:t>
                  </w:r>
                  <w:r>
                    <w:rPr>
                      <w:rFonts w:hint="eastAsia" w:ascii="Times New Roman" w:hAnsi="Times New Roman" w:eastAsia="宋体" w:cs="Times New Roman"/>
                      <w:bCs/>
                      <w:color w:val="auto"/>
                      <w:spacing w:val="4"/>
                      <w:sz w:val="21"/>
                      <w:szCs w:val="21"/>
                      <w:lang w:val="en-US" w:eastAsia="zh-CN" w:bidi="ar"/>
                    </w:rPr>
                    <w:t>油气田勘探项目，符合当地各项规划要求；项目</w:t>
                  </w:r>
                  <w:r>
                    <w:rPr>
                      <w:rFonts w:hint="eastAsia" w:cs="Times New Roman"/>
                      <w:bCs/>
                      <w:color w:val="auto"/>
                      <w:spacing w:val="4"/>
                      <w:sz w:val="21"/>
                      <w:szCs w:val="21"/>
                      <w:lang w:val="en-US" w:eastAsia="zh-CN" w:bidi="ar"/>
                    </w:rPr>
                    <w:t>不在</w:t>
                  </w:r>
                  <w:r>
                    <w:rPr>
                      <w:rFonts w:hint="default" w:ascii="Times New Roman" w:hAnsi="Times New Roman" w:eastAsia="宋体" w:cs="Times New Roman"/>
                      <w:bCs/>
                      <w:color w:val="auto"/>
                      <w:spacing w:val="4"/>
                      <w:sz w:val="21"/>
                      <w:szCs w:val="21"/>
                      <w:lang w:bidi="ar"/>
                    </w:rPr>
                    <w:t>通榆河</w:t>
                  </w:r>
                  <w:r>
                    <w:rPr>
                      <w:rFonts w:hint="eastAsia" w:cs="Times New Roman"/>
                      <w:bCs/>
                      <w:color w:val="auto"/>
                      <w:spacing w:val="4"/>
                      <w:sz w:val="21"/>
                      <w:szCs w:val="21"/>
                      <w:lang w:val="en-US" w:eastAsia="zh-CN" w:bidi="ar"/>
                    </w:rPr>
                    <w:t>保护区</w:t>
                  </w:r>
                  <w:r>
                    <w:rPr>
                      <w:rFonts w:hint="eastAsia" w:ascii="Times New Roman" w:hAnsi="Times New Roman" w:eastAsia="宋体" w:cs="Times New Roman"/>
                      <w:bCs/>
                      <w:color w:val="auto"/>
                      <w:spacing w:val="4"/>
                      <w:sz w:val="21"/>
                      <w:szCs w:val="21"/>
                      <w:lang w:val="en-US" w:eastAsia="zh-CN" w:bidi="ar"/>
                    </w:rPr>
                    <w:t>内，符合相关要求</w:t>
                  </w:r>
                  <w:r>
                    <w:rPr>
                      <w:rFonts w:hint="default" w:ascii="Times New Roman" w:hAnsi="Times New Roman" w:eastAsia="宋体" w:cs="Times New Roman"/>
                      <w:bCs/>
                      <w:color w:val="auto"/>
                      <w:spacing w:val="4"/>
                      <w:sz w:val="21"/>
                      <w:szCs w:val="21"/>
                      <w:lang w:bidi="ar"/>
                    </w:rPr>
                    <w:t>。</w:t>
                  </w:r>
                </w:p>
              </w:tc>
              <w:tc>
                <w:tcPr>
                  <w:tcW w:w="1187" w:type="pct"/>
                  <w:gridSpan w:val="2"/>
                  <w:noWrap w:val="0"/>
                  <w:vAlign w:val="center"/>
                </w:tcPr>
                <w:p w14:paraId="0D0BB139">
                  <w:pPr>
                    <w:keepNext w:val="0"/>
                    <w:keepLines w:val="0"/>
                    <w:pageBreakBefore w:val="0"/>
                    <w:widowControl w:val="0"/>
                    <w:tabs>
                      <w:tab w:val="left" w:pos="0"/>
                    </w:tabs>
                    <w:kinsoku/>
                    <w:wordWrap/>
                    <w:overflowPunct/>
                    <w:topLinePunct w:val="0"/>
                    <w:autoSpaceDE/>
                    <w:autoSpaceDN/>
                    <w:bidi w:val="0"/>
                    <w:adjustRightInd/>
                    <w:snapToGrid/>
                    <w:spacing w:line="220" w:lineRule="exact"/>
                    <w:jc w:val="center"/>
                    <w:textAlignment w:val="auto"/>
                    <w:outlineLvl w:val="0"/>
                    <w:rPr>
                      <w:rFonts w:hint="default" w:ascii="Times New Roman" w:hAnsi="Times New Roman" w:eastAsia="宋体" w:cs="Times New Roman"/>
                      <w:bCs/>
                      <w:color w:val="auto"/>
                      <w:spacing w:val="4"/>
                      <w:sz w:val="21"/>
                      <w:szCs w:val="21"/>
                      <w:lang w:val="en-US" w:eastAsia="zh-CN" w:bidi="ar"/>
                    </w:rPr>
                  </w:pPr>
                  <w:r>
                    <w:rPr>
                      <w:rFonts w:hint="default" w:ascii="Times New Roman" w:hAnsi="Times New Roman" w:eastAsia="宋体" w:cs="Times New Roman"/>
                      <w:bCs/>
                      <w:color w:val="auto"/>
                      <w:spacing w:val="4"/>
                      <w:sz w:val="21"/>
                      <w:szCs w:val="21"/>
                      <w:lang w:bidi="ar"/>
                    </w:rPr>
                    <w:t>本项目为施工建设期过程性污染，主要加强过程性污染控制，故原则上不计总量</w:t>
                  </w:r>
                  <w:r>
                    <w:rPr>
                      <w:rFonts w:hint="eastAsia" w:ascii="Times New Roman" w:hAnsi="Times New Roman" w:eastAsia="宋体" w:cs="Times New Roman"/>
                      <w:bCs/>
                      <w:color w:val="auto"/>
                      <w:spacing w:val="4"/>
                      <w:sz w:val="21"/>
                      <w:szCs w:val="21"/>
                      <w:lang w:eastAsia="zh-CN" w:bidi="ar"/>
                    </w:rPr>
                    <w:t>；</w:t>
                  </w:r>
                  <w:r>
                    <w:rPr>
                      <w:rFonts w:hint="eastAsia" w:ascii="Times New Roman" w:hAnsi="Times New Roman" w:eastAsia="宋体" w:cs="Times New Roman"/>
                      <w:bCs/>
                      <w:color w:val="auto"/>
                      <w:spacing w:val="4"/>
                      <w:sz w:val="21"/>
                      <w:szCs w:val="21"/>
                      <w:lang w:val="en-US" w:eastAsia="zh-CN" w:bidi="ar"/>
                    </w:rPr>
                    <w:t>项目</w:t>
                  </w:r>
                  <w:r>
                    <w:rPr>
                      <w:rFonts w:hint="default" w:ascii="Times New Roman" w:hAnsi="Times New Roman" w:eastAsia="宋体" w:cs="Times New Roman"/>
                      <w:bCs/>
                      <w:color w:val="auto"/>
                      <w:spacing w:val="4"/>
                      <w:sz w:val="21"/>
                      <w:szCs w:val="21"/>
                      <w:lang w:bidi="ar"/>
                    </w:rPr>
                    <w:t>严格施工扬尘监管，</w:t>
                  </w:r>
                  <w:r>
                    <w:rPr>
                      <w:rFonts w:hint="eastAsia" w:ascii="Times New Roman" w:hAnsi="Times New Roman" w:eastAsia="宋体" w:cs="Times New Roman"/>
                      <w:bCs/>
                      <w:color w:val="auto"/>
                      <w:spacing w:val="4"/>
                      <w:sz w:val="21"/>
                      <w:szCs w:val="21"/>
                      <w:lang w:val="en-US" w:eastAsia="zh-CN" w:bidi="ar"/>
                    </w:rPr>
                    <w:t>项目不涉及</w:t>
                  </w:r>
                  <w:r>
                    <w:rPr>
                      <w:rFonts w:hint="default" w:ascii="Times New Roman" w:hAnsi="Times New Roman" w:eastAsia="宋体" w:cs="Times New Roman"/>
                      <w:bCs/>
                      <w:color w:val="auto"/>
                      <w:spacing w:val="4"/>
                      <w:sz w:val="21"/>
                      <w:szCs w:val="21"/>
                      <w:lang w:bidi="ar"/>
                    </w:rPr>
                    <w:t>农业面源污染</w:t>
                  </w:r>
                  <w:r>
                    <w:rPr>
                      <w:rFonts w:hint="eastAsia" w:ascii="Times New Roman" w:hAnsi="Times New Roman" w:eastAsia="宋体" w:cs="Times New Roman"/>
                      <w:bCs/>
                      <w:color w:val="auto"/>
                      <w:spacing w:val="4"/>
                      <w:sz w:val="21"/>
                      <w:szCs w:val="21"/>
                      <w:lang w:val="en-US" w:eastAsia="zh-CN" w:bidi="ar"/>
                    </w:rPr>
                    <w:t>及水产养殖。</w:t>
                  </w:r>
                </w:p>
              </w:tc>
              <w:tc>
                <w:tcPr>
                  <w:tcW w:w="964" w:type="pct"/>
                  <w:gridSpan w:val="2"/>
                  <w:noWrap w:val="0"/>
                  <w:vAlign w:val="center"/>
                </w:tcPr>
                <w:p w14:paraId="5A7DB532">
                  <w:pPr>
                    <w:keepNext w:val="0"/>
                    <w:keepLines w:val="0"/>
                    <w:pageBreakBefore w:val="0"/>
                    <w:widowControl w:val="0"/>
                    <w:tabs>
                      <w:tab w:val="left" w:pos="0"/>
                    </w:tabs>
                    <w:kinsoku/>
                    <w:wordWrap/>
                    <w:overflowPunct/>
                    <w:topLinePunct w:val="0"/>
                    <w:autoSpaceDE/>
                    <w:autoSpaceDN/>
                    <w:bidi w:val="0"/>
                    <w:adjustRightInd/>
                    <w:snapToGrid/>
                    <w:spacing w:line="220" w:lineRule="exact"/>
                    <w:jc w:val="center"/>
                    <w:textAlignment w:val="auto"/>
                    <w:outlineLvl w:val="0"/>
                    <w:rPr>
                      <w:rFonts w:hint="eastAsia" w:ascii="Times New Roman" w:hAnsi="Times New Roman" w:eastAsia="宋体" w:cs="Times New Roman"/>
                      <w:bCs/>
                      <w:color w:val="auto"/>
                      <w:spacing w:val="4"/>
                      <w:sz w:val="21"/>
                      <w:szCs w:val="21"/>
                      <w:lang w:eastAsia="zh-CN" w:bidi="ar"/>
                    </w:rPr>
                  </w:pPr>
                  <w:r>
                    <w:rPr>
                      <w:rFonts w:hint="default" w:ascii="Times New Roman" w:hAnsi="Times New Roman" w:eastAsia="宋体" w:cs="Times New Roman"/>
                      <w:bCs/>
                      <w:color w:val="auto"/>
                      <w:spacing w:val="4"/>
                      <w:sz w:val="21"/>
                      <w:szCs w:val="21"/>
                      <w:lang w:bidi="ar"/>
                    </w:rPr>
                    <w:t>本项目将按要求执行风险防范措施，严格控制噪声等污染排放</w:t>
                  </w:r>
                  <w:r>
                    <w:rPr>
                      <w:rFonts w:hint="eastAsia" w:ascii="Times New Roman" w:hAnsi="Times New Roman" w:eastAsia="宋体" w:cs="Times New Roman"/>
                      <w:bCs/>
                      <w:color w:val="auto"/>
                      <w:spacing w:val="4"/>
                      <w:sz w:val="21"/>
                      <w:szCs w:val="21"/>
                      <w:lang w:eastAsia="zh-CN" w:bidi="ar"/>
                    </w:rPr>
                    <w:t>。</w:t>
                  </w:r>
                </w:p>
              </w:tc>
              <w:tc>
                <w:tcPr>
                  <w:tcW w:w="800" w:type="pct"/>
                  <w:noWrap w:val="0"/>
                  <w:vAlign w:val="center"/>
                </w:tcPr>
                <w:p w14:paraId="1DA30AB7">
                  <w:pPr>
                    <w:keepNext w:val="0"/>
                    <w:keepLines w:val="0"/>
                    <w:pageBreakBefore w:val="0"/>
                    <w:widowControl w:val="0"/>
                    <w:tabs>
                      <w:tab w:val="left" w:pos="0"/>
                    </w:tabs>
                    <w:kinsoku/>
                    <w:wordWrap/>
                    <w:overflowPunct/>
                    <w:topLinePunct w:val="0"/>
                    <w:autoSpaceDE/>
                    <w:autoSpaceDN/>
                    <w:bidi w:val="0"/>
                    <w:adjustRightInd/>
                    <w:snapToGrid/>
                    <w:spacing w:line="220" w:lineRule="exact"/>
                    <w:jc w:val="center"/>
                    <w:textAlignment w:val="auto"/>
                    <w:outlineLvl w:val="0"/>
                    <w:rPr>
                      <w:rFonts w:hint="default" w:ascii="Times New Roman" w:hAnsi="Times New Roman" w:eastAsia="宋体" w:cs="Times New Roman"/>
                      <w:bCs/>
                      <w:color w:val="auto"/>
                      <w:spacing w:val="4"/>
                      <w:sz w:val="21"/>
                      <w:szCs w:val="21"/>
                      <w:lang w:val="en-US" w:eastAsia="zh-CN" w:bidi="ar"/>
                    </w:rPr>
                  </w:pPr>
                  <w:r>
                    <w:rPr>
                      <w:rFonts w:hint="default" w:ascii="Times New Roman" w:hAnsi="Times New Roman" w:eastAsia="宋体" w:cs="Times New Roman"/>
                      <w:bCs/>
                      <w:color w:val="auto"/>
                      <w:spacing w:val="4"/>
                      <w:sz w:val="21"/>
                      <w:szCs w:val="21"/>
                      <w:lang w:bidi="ar"/>
                    </w:rPr>
                    <w:t>本项目将按要求控制单位工业能耗、水耗</w:t>
                  </w:r>
                  <w:r>
                    <w:rPr>
                      <w:rFonts w:hint="eastAsia" w:ascii="Times New Roman" w:hAnsi="Times New Roman" w:eastAsia="宋体" w:cs="Times New Roman"/>
                      <w:bCs/>
                      <w:color w:val="auto"/>
                      <w:spacing w:val="4"/>
                      <w:sz w:val="21"/>
                      <w:szCs w:val="21"/>
                      <w:lang w:eastAsia="zh-CN" w:bidi="ar"/>
                    </w:rPr>
                    <w:t>，</w:t>
                  </w:r>
                  <w:r>
                    <w:rPr>
                      <w:rFonts w:hint="default" w:ascii="Times New Roman" w:hAnsi="Times New Roman" w:eastAsia="宋体" w:cs="Times New Roman"/>
                      <w:bCs/>
                      <w:color w:val="auto"/>
                      <w:spacing w:val="4"/>
                      <w:sz w:val="21"/>
                      <w:szCs w:val="21"/>
                      <w:lang w:bidi="ar"/>
                    </w:rPr>
                    <w:t>提高土地利用效率</w:t>
                  </w:r>
                  <w:r>
                    <w:rPr>
                      <w:rFonts w:hint="eastAsia" w:ascii="Times New Roman" w:hAnsi="Times New Roman" w:eastAsia="宋体" w:cs="Times New Roman"/>
                      <w:bCs/>
                      <w:color w:val="auto"/>
                      <w:spacing w:val="4"/>
                      <w:sz w:val="21"/>
                      <w:szCs w:val="21"/>
                      <w:lang w:val="en-US" w:eastAsia="zh-CN" w:bidi="ar"/>
                    </w:rPr>
                    <w:t>。</w:t>
                  </w:r>
                </w:p>
              </w:tc>
            </w:tr>
          </w:tbl>
          <w:p w14:paraId="548BE205">
            <w:pPr>
              <w:pStyle w:val="3"/>
              <w:ind w:left="0" w:leftChars="0" w:firstLine="960" w:firstLineChars="400"/>
              <w:rPr>
                <w:rFonts w:hint="eastAsia" w:ascii="Times New Roman" w:hAnsi="Times New Roman" w:eastAsia="宋体" w:cs="宋体"/>
                <w:b w:val="0"/>
                <w:bCs w:val="0"/>
                <w:color w:val="auto"/>
                <w:sz w:val="24"/>
              </w:rPr>
            </w:pPr>
            <w:r>
              <w:rPr>
                <w:rFonts w:hint="eastAsia" w:ascii="Times New Roman" w:hAnsi="Times New Roman" w:eastAsia="宋体" w:cs="宋体"/>
                <w:b w:val="0"/>
                <w:bCs w:val="0"/>
                <w:color w:val="auto"/>
                <w:sz w:val="24"/>
              </w:rPr>
              <w:t>本项目不在上述负面清单范围内，符合</w:t>
            </w:r>
            <w:r>
              <w:rPr>
                <w:rFonts w:hint="default" w:ascii="Times New Roman" w:hAnsi="Times New Roman" w:eastAsia="宋体" w:cs="Times New Roman"/>
                <w:b w:val="0"/>
                <w:bCs w:val="0"/>
                <w:color w:val="auto"/>
                <w:sz w:val="24"/>
              </w:rPr>
              <w:t>“</w:t>
            </w:r>
            <w:r>
              <w:rPr>
                <w:rFonts w:hint="eastAsia" w:ascii="Times New Roman" w:hAnsi="Times New Roman" w:eastAsia="宋体" w:cs="宋体"/>
                <w:b w:val="0"/>
                <w:bCs w:val="0"/>
                <w:color w:val="auto"/>
                <w:sz w:val="24"/>
              </w:rPr>
              <w:t>环境准入负面清单</w:t>
            </w:r>
            <w:r>
              <w:rPr>
                <w:rFonts w:hint="default" w:ascii="Times New Roman" w:hAnsi="Times New Roman" w:eastAsia="宋体" w:cs="Times New Roman"/>
                <w:b w:val="0"/>
                <w:bCs w:val="0"/>
                <w:color w:val="auto"/>
                <w:sz w:val="24"/>
              </w:rPr>
              <w:t>”</w:t>
            </w:r>
            <w:r>
              <w:rPr>
                <w:rFonts w:hint="eastAsia" w:ascii="Times New Roman" w:hAnsi="Times New Roman" w:eastAsia="宋体" w:cs="宋体"/>
                <w:b w:val="0"/>
                <w:bCs w:val="0"/>
                <w:color w:val="auto"/>
                <w:sz w:val="24"/>
              </w:rPr>
              <w:t>要求。</w:t>
            </w:r>
          </w:p>
          <w:p w14:paraId="1168BDFB">
            <w:pPr>
              <w:pStyle w:val="3"/>
              <w:ind w:firstLine="480"/>
              <w:rPr>
                <w:rFonts w:hint="eastAsia" w:ascii="Times New Roman" w:hAnsi="Times New Roman" w:eastAsia="宋体" w:cs="宋体"/>
                <w:b w:val="0"/>
                <w:bCs w:val="0"/>
                <w:color w:val="auto"/>
                <w:sz w:val="24"/>
              </w:rPr>
            </w:pPr>
            <w:r>
              <w:rPr>
                <w:rFonts w:hint="eastAsia" w:ascii="Times New Roman" w:hAnsi="Times New Roman" w:eastAsia="宋体" w:cs="宋体"/>
                <w:b w:val="0"/>
                <w:bCs w:val="0"/>
                <w:color w:val="auto"/>
                <w:sz w:val="24"/>
              </w:rPr>
              <w:t>综上所述，本项目的建设符合</w:t>
            </w:r>
            <w:r>
              <w:rPr>
                <w:rFonts w:hint="default" w:ascii="Times New Roman" w:hAnsi="Times New Roman" w:eastAsia="宋体" w:cs="Times New Roman"/>
                <w:b w:val="0"/>
                <w:bCs w:val="0"/>
                <w:color w:val="auto"/>
                <w:sz w:val="24"/>
              </w:rPr>
              <w:t>“</w:t>
            </w:r>
            <w:r>
              <w:rPr>
                <w:rFonts w:hint="eastAsia" w:ascii="Times New Roman" w:hAnsi="Times New Roman" w:eastAsia="宋体" w:cs="宋体"/>
                <w:b w:val="0"/>
                <w:bCs w:val="0"/>
                <w:color w:val="auto"/>
                <w:sz w:val="24"/>
              </w:rPr>
              <w:t>三线一单</w:t>
            </w:r>
            <w:r>
              <w:rPr>
                <w:rFonts w:hint="default" w:ascii="Times New Roman" w:hAnsi="Times New Roman" w:eastAsia="宋体" w:cs="Times New Roman"/>
                <w:b w:val="0"/>
                <w:bCs w:val="0"/>
                <w:color w:val="auto"/>
                <w:sz w:val="24"/>
              </w:rPr>
              <w:t>”</w:t>
            </w:r>
            <w:r>
              <w:rPr>
                <w:rFonts w:hint="eastAsia" w:ascii="Times New Roman" w:hAnsi="Times New Roman" w:eastAsia="宋体" w:cs="宋体"/>
                <w:b w:val="0"/>
                <w:bCs w:val="0"/>
                <w:color w:val="auto"/>
                <w:sz w:val="24"/>
              </w:rPr>
              <w:t>的管理。</w:t>
            </w:r>
          </w:p>
          <w:p w14:paraId="282CE709">
            <w:pPr>
              <w:pStyle w:val="2"/>
              <w:ind w:firstLine="482" w:firstLineChars="20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rPr>
              <w:t>、与《江苏省通榆河水污染防治条例》（2018年3月修正）相符性分析</w:t>
            </w:r>
          </w:p>
          <w:p w14:paraId="09B6D6DB">
            <w:pPr>
              <w:pStyle w:val="3"/>
              <w:ind w:firstLine="480"/>
              <w:jc w:val="left"/>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rPr>
              <w:t>通榆河实行分级保护，划分为三级保护区。通榆河及其两侧各一公里、主要供水河道及其两侧各一公里区域为通榆河一级保护区；新沂河南偏泓、盐河和斗龙港、新洋港、黄沙港、射阳河、车路河、沂南小河、沭新河等与通榆河平交的主要河道上溯五公里以及沿岸两侧各一公里区域为通榆河二级保护区；其他与通榆河平交的河道上溯五公里以及沿岸两侧各一公里区域为通榆河三级保护区。</w:t>
            </w:r>
          </w:p>
          <w:p w14:paraId="693EEE14">
            <w:pPr>
              <w:pStyle w:val="3"/>
              <w:ind w:firstLine="480"/>
              <w:jc w:val="left"/>
              <w:rPr>
                <w:rFonts w:hint="eastAsia" w:ascii="Times New Roman" w:hAnsi="Times New Roman" w:eastAsia="宋体" w:cs="宋体"/>
                <w:color w:val="auto"/>
                <w:sz w:val="24"/>
              </w:rPr>
            </w:pPr>
            <w:r>
              <w:rPr>
                <w:rFonts w:hint="eastAsia" w:ascii="Times New Roman" w:hAnsi="Times New Roman" w:eastAsia="宋体" w:cs="宋体"/>
                <w:color w:val="auto"/>
                <w:sz w:val="24"/>
                <w:lang w:val="en-US" w:eastAsia="zh-CN"/>
              </w:rPr>
              <w:t>通</w:t>
            </w:r>
            <w:r>
              <w:rPr>
                <w:rFonts w:hint="eastAsia" w:ascii="Times New Roman" w:hAnsi="Times New Roman" w:eastAsia="宋体" w:cs="宋体"/>
                <w:color w:val="auto"/>
                <w:sz w:val="24"/>
              </w:rPr>
              <w:t>榆河是继京杭运河之后贯穿江苏的第二条南北走向的千吨级水运大通道。</w:t>
            </w:r>
            <w:r>
              <w:rPr>
                <w:rFonts w:hint="eastAsia" w:eastAsia="宋体" w:cs="宋体"/>
                <w:color w:val="auto"/>
                <w:sz w:val="24"/>
                <w:lang w:val="en-US" w:eastAsia="zh-CN"/>
              </w:rPr>
              <w:t>高邮</w:t>
            </w:r>
            <w:r>
              <w:rPr>
                <w:rFonts w:hint="eastAsia" w:ascii="Times New Roman" w:hAnsi="Times New Roman" w:eastAsia="宋体" w:cs="宋体"/>
                <w:color w:val="auto"/>
                <w:sz w:val="24"/>
              </w:rPr>
              <w:t>共有</w:t>
            </w:r>
            <w:r>
              <w:rPr>
                <w:rFonts w:hint="eastAsia" w:eastAsia="宋体" w:cs="宋体"/>
                <w:color w:val="auto"/>
                <w:sz w:val="24"/>
                <w:lang w:val="en-US" w:eastAsia="zh-CN"/>
              </w:rPr>
              <w:t>1</w:t>
            </w:r>
            <w:r>
              <w:rPr>
                <w:rFonts w:hint="eastAsia" w:ascii="Times New Roman" w:hAnsi="Times New Roman" w:eastAsia="宋体" w:cs="宋体"/>
                <w:color w:val="auto"/>
                <w:sz w:val="24"/>
              </w:rPr>
              <w:t>条河道位于通榆河流域，</w:t>
            </w:r>
            <w:r>
              <w:rPr>
                <w:rFonts w:hint="eastAsia" w:eastAsia="宋体" w:cs="宋体"/>
                <w:color w:val="auto"/>
                <w:sz w:val="24"/>
                <w:lang w:val="en-US" w:eastAsia="zh-CN"/>
              </w:rPr>
              <w:t>为</w:t>
            </w:r>
            <w:r>
              <w:rPr>
                <w:rFonts w:hint="eastAsia" w:ascii="Times New Roman" w:hAnsi="Times New Roman" w:eastAsia="宋体" w:cs="宋体"/>
                <w:color w:val="auto"/>
                <w:sz w:val="24"/>
              </w:rPr>
              <w:t>三阳河</w:t>
            </w:r>
            <w:r>
              <w:rPr>
                <w:rFonts w:hint="eastAsia" w:cs="宋体"/>
                <w:color w:val="auto"/>
                <w:sz w:val="24"/>
                <w:lang w:val="en-US" w:eastAsia="zh-CN"/>
              </w:rPr>
              <w:t>，</w:t>
            </w:r>
            <w:r>
              <w:rPr>
                <w:rFonts w:hint="eastAsia" w:ascii="Times New Roman" w:hAnsi="Times New Roman" w:eastAsia="宋体" w:cs="宋体"/>
                <w:color w:val="auto"/>
                <w:sz w:val="24"/>
              </w:rPr>
              <w:t>与本项目</w:t>
            </w:r>
            <w:r>
              <w:rPr>
                <w:rFonts w:hint="eastAsia" w:eastAsia="宋体" w:cs="宋体"/>
                <w:color w:val="auto"/>
                <w:sz w:val="24"/>
                <w:lang w:val="en-US" w:eastAsia="zh-CN"/>
              </w:rPr>
              <w:t>沙86</w:t>
            </w:r>
            <w:r>
              <w:rPr>
                <w:rFonts w:hint="eastAsia" w:ascii="Times New Roman" w:hAnsi="Times New Roman" w:eastAsia="宋体" w:cs="宋体"/>
                <w:color w:val="auto"/>
                <w:sz w:val="24"/>
              </w:rPr>
              <w:t>最近</w:t>
            </w:r>
            <w:r>
              <w:rPr>
                <w:rFonts w:hint="eastAsia" w:ascii="Times New Roman" w:hAnsi="Times New Roman" w:eastAsia="宋体" w:cs="宋体"/>
                <w:color w:val="auto"/>
                <w:sz w:val="24"/>
                <w:lang w:eastAsia="zh-CN"/>
              </w:rPr>
              <w:t>距离</w:t>
            </w:r>
            <w:r>
              <w:rPr>
                <w:rFonts w:hint="eastAsia" w:ascii="Times New Roman" w:hAnsi="Times New Roman" w:eastAsia="宋体" w:cs="宋体"/>
                <w:color w:val="auto"/>
                <w:sz w:val="24"/>
              </w:rPr>
              <w:t>约</w:t>
            </w:r>
            <w:r>
              <w:rPr>
                <w:rFonts w:hint="eastAsia" w:cs="Times New Roman"/>
                <w:color w:val="auto"/>
                <w:sz w:val="24"/>
                <w:lang w:val="en-US" w:eastAsia="zh-CN"/>
              </w:rPr>
              <w:t>1360</w:t>
            </w:r>
            <w:r>
              <w:rPr>
                <w:rFonts w:hint="default" w:ascii="Times New Roman" w:hAnsi="Times New Roman" w:eastAsia="宋体" w:cs="Times New Roman"/>
                <w:color w:val="auto"/>
                <w:sz w:val="24"/>
              </w:rPr>
              <w:t>m</w:t>
            </w:r>
            <w:r>
              <w:rPr>
                <w:rFonts w:hint="eastAsia" w:eastAsia="宋体" w:cs="宋体"/>
                <w:color w:val="auto"/>
                <w:sz w:val="24"/>
                <w:lang w:eastAsia="zh-CN"/>
              </w:rPr>
              <w:t>；</w:t>
            </w:r>
            <w:r>
              <w:rPr>
                <w:rFonts w:hint="eastAsia" w:eastAsia="宋体" w:cs="宋体"/>
                <w:color w:val="auto"/>
                <w:sz w:val="24"/>
                <w:lang w:val="en-US" w:eastAsia="zh-CN"/>
              </w:rPr>
              <w:t>与沙105最近距离约9600m，</w:t>
            </w:r>
            <w:r>
              <w:rPr>
                <w:rFonts w:hint="eastAsia" w:ascii="Times New Roman" w:hAnsi="Times New Roman" w:eastAsia="宋体" w:cs="宋体"/>
                <w:color w:val="auto"/>
                <w:sz w:val="24"/>
              </w:rPr>
              <w:t>本项目不在各级保护区范围内。</w:t>
            </w:r>
          </w:p>
          <w:p w14:paraId="665E2D08">
            <w:pPr>
              <w:pStyle w:val="3"/>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与《江苏省通榆河水污染防治条例》相符性分析</w:t>
            </w:r>
            <w:r>
              <w:rPr>
                <w:rFonts w:hint="eastAsia" w:ascii="Times New Roman" w:hAnsi="Times New Roman" w:eastAsia="宋体" w:cs="Times New Roman"/>
                <w:color w:val="auto"/>
                <w:lang w:val="en-US" w:eastAsia="zh-CN"/>
              </w:rPr>
              <w:t>见下表：</w:t>
            </w:r>
          </w:p>
          <w:p w14:paraId="762AF3D9">
            <w:pPr>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表1-</w:t>
            </w:r>
            <w:r>
              <w:rPr>
                <w:rFonts w:hint="eastAsia" w:cs="Times New Roman"/>
                <w:b/>
                <w:color w:val="auto"/>
                <w:sz w:val="24"/>
                <w:szCs w:val="24"/>
                <w:highlight w:val="none"/>
                <w:lang w:val="en-US" w:eastAsia="zh-CN"/>
              </w:rPr>
              <w:t>7</w:t>
            </w:r>
            <w:r>
              <w:rPr>
                <w:rFonts w:hint="default" w:ascii="Times New Roman" w:hAnsi="Times New Roman" w:eastAsia="宋体" w:cs="Times New Roman"/>
                <w:b/>
                <w:color w:val="auto"/>
                <w:sz w:val="24"/>
                <w:szCs w:val="24"/>
                <w:highlight w:val="none"/>
              </w:rPr>
              <w:t xml:space="preserve"> 与《江苏省通榆河水污染防治条例》相符性分析表</w:t>
            </w:r>
          </w:p>
          <w:tbl>
            <w:tblPr>
              <w:tblStyle w:val="1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2"/>
              <w:gridCol w:w="5851"/>
              <w:gridCol w:w="868"/>
            </w:tblGrid>
            <w:tr w14:paraId="6B9FA1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322" w:type="pct"/>
                  <w:noWrap w:val="0"/>
                  <w:vAlign w:val="center"/>
                </w:tcPr>
                <w:p w14:paraId="30173C8B">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kern w:val="0"/>
                      <w:sz w:val="21"/>
                      <w:szCs w:val="21"/>
                    </w:rPr>
                    <w:t>序号</w:t>
                  </w:r>
                </w:p>
              </w:tc>
              <w:tc>
                <w:tcPr>
                  <w:tcW w:w="4074" w:type="pct"/>
                  <w:noWrap w:val="0"/>
                  <w:vAlign w:val="center"/>
                </w:tcPr>
                <w:p w14:paraId="05E365AE">
                  <w:pPr>
                    <w:spacing w:line="240" w:lineRule="auto"/>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江苏省通榆河水污染防治条例</w:t>
                  </w:r>
                </w:p>
              </w:tc>
              <w:tc>
                <w:tcPr>
                  <w:tcW w:w="602" w:type="pct"/>
                  <w:noWrap w:val="0"/>
                  <w:vAlign w:val="center"/>
                </w:tcPr>
                <w:p w14:paraId="40F0EB93">
                  <w:pPr>
                    <w:spacing w:line="240" w:lineRule="auto"/>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对照</w:t>
                  </w:r>
                </w:p>
                <w:p w14:paraId="1FEB171A">
                  <w:pPr>
                    <w:spacing w:line="240" w:lineRule="auto"/>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结果</w:t>
                  </w:r>
                </w:p>
              </w:tc>
            </w:tr>
            <w:tr w14:paraId="29C9EE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3"/>
                  <w:noWrap w:val="0"/>
                  <w:vAlign w:val="center"/>
                </w:tcPr>
                <w:p w14:paraId="54E57127">
                  <w:pPr>
                    <w:spacing w:line="240" w:lineRule="auto"/>
                    <w:jc w:val="left"/>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一、通榆河一级保护区、二级保护区内禁止下列行为</w:t>
                  </w:r>
                </w:p>
              </w:tc>
            </w:tr>
            <w:tr w14:paraId="085C1D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322" w:type="pct"/>
                  <w:noWrap w:val="0"/>
                  <w:vAlign w:val="center"/>
                </w:tcPr>
                <w:p w14:paraId="5F0D3491">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0"/>
                      <w:sz w:val="21"/>
                      <w:szCs w:val="21"/>
                    </w:rPr>
                    <w:t>1</w:t>
                  </w:r>
                </w:p>
              </w:tc>
              <w:tc>
                <w:tcPr>
                  <w:tcW w:w="4074" w:type="pct"/>
                  <w:noWrap w:val="0"/>
                  <w:vAlign w:val="center"/>
                </w:tcPr>
                <w:p w14:paraId="19C27338">
                  <w:pPr>
                    <w:spacing w:line="240" w:lineRule="auto"/>
                    <w:jc w:val="left"/>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新建、改建、扩建制浆、造纸、化工、制革、酿造、染料、印染、电镀、炼油、铅酸蓄电池和排放水污染物的黑色金属冶炼及压延加工项目、有色金属冶炼及压延加工项目、金属制品项目等污染环境的项目；</w:t>
                  </w:r>
                </w:p>
              </w:tc>
              <w:tc>
                <w:tcPr>
                  <w:tcW w:w="602" w:type="pct"/>
                  <w:noWrap w:val="0"/>
                  <w:vAlign w:val="center"/>
                </w:tcPr>
                <w:p w14:paraId="31B3DA6B">
                  <w:pPr>
                    <w:spacing w:line="240" w:lineRule="auto"/>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color w:val="auto"/>
                      <w:kern w:val="0"/>
                      <w:sz w:val="21"/>
                      <w:szCs w:val="21"/>
                    </w:rPr>
                    <w:t>不属于</w:t>
                  </w:r>
                </w:p>
              </w:tc>
            </w:tr>
            <w:tr w14:paraId="30076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noWrap w:val="0"/>
                  <w:vAlign w:val="center"/>
                </w:tcPr>
                <w:p w14:paraId="06ACC7D7">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0"/>
                      <w:sz w:val="21"/>
                      <w:szCs w:val="21"/>
                    </w:rPr>
                    <w:t>2</w:t>
                  </w:r>
                </w:p>
              </w:tc>
              <w:tc>
                <w:tcPr>
                  <w:tcW w:w="4074" w:type="pct"/>
                  <w:noWrap w:val="0"/>
                  <w:vAlign w:val="center"/>
                </w:tcPr>
                <w:p w14:paraId="69E5CBA3">
                  <w:pPr>
                    <w:spacing w:line="240" w:lineRule="auto"/>
                    <w:jc w:val="left"/>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b w:val="0"/>
                      <w:bCs w:val="0"/>
                      <w:color w:val="auto"/>
                      <w:kern w:val="0"/>
                      <w:sz w:val="21"/>
                      <w:szCs w:val="21"/>
                      <w:lang w:eastAsia="zh-CN"/>
                    </w:rPr>
                    <w:t>在河道内设置经营性餐饮设施；</w:t>
                  </w:r>
                </w:p>
              </w:tc>
              <w:tc>
                <w:tcPr>
                  <w:tcW w:w="602" w:type="pct"/>
                  <w:noWrap w:val="0"/>
                  <w:vAlign w:val="center"/>
                </w:tcPr>
                <w:p w14:paraId="5AEC908D">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kern w:val="0"/>
                      <w:sz w:val="21"/>
                      <w:szCs w:val="21"/>
                    </w:rPr>
                    <w:t>不属于</w:t>
                  </w:r>
                </w:p>
              </w:tc>
            </w:tr>
            <w:tr w14:paraId="79EC2F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noWrap w:val="0"/>
                  <w:vAlign w:val="center"/>
                </w:tcPr>
                <w:p w14:paraId="1EBE629B">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0"/>
                      <w:sz w:val="21"/>
                      <w:szCs w:val="21"/>
                    </w:rPr>
                    <w:t>3</w:t>
                  </w:r>
                </w:p>
              </w:tc>
              <w:tc>
                <w:tcPr>
                  <w:tcW w:w="4074" w:type="pct"/>
                  <w:noWrap w:val="0"/>
                  <w:vAlign w:val="center"/>
                </w:tcPr>
                <w:p w14:paraId="5A64DFEB">
                  <w:pPr>
                    <w:spacing w:line="240" w:lineRule="auto"/>
                    <w:jc w:val="left"/>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b w:val="0"/>
                      <w:bCs w:val="0"/>
                      <w:color w:val="auto"/>
                      <w:kern w:val="0"/>
                      <w:sz w:val="21"/>
                      <w:szCs w:val="21"/>
                      <w:lang w:eastAsia="zh-CN"/>
                    </w:rPr>
                    <w:t>向河道、水体倾倒工业废渣、水处理污泥、生活垃圾、船舶垃圾；</w:t>
                  </w:r>
                </w:p>
              </w:tc>
              <w:tc>
                <w:tcPr>
                  <w:tcW w:w="602" w:type="pct"/>
                  <w:noWrap w:val="0"/>
                  <w:vAlign w:val="center"/>
                </w:tcPr>
                <w:p w14:paraId="6F9F82DD">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kern w:val="0"/>
                      <w:sz w:val="21"/>
                      <w:szCs w:val="21"/>
                    </w:rPr>
                    <w:t>不属于</w:t>
                  </w:r>
                </w:p>
              </w:tc>
            </w:tr>
            <w:tr w14:paraId="73EDCC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22" w:type="pct"/>
                  <w:noWrap w:val="0"/>
                  <w:vAlign w:val="center"/>
                </w:tcPr>
                <w:p w14:paraId="0E97955B">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0"/>
                      <w:sz w:val="21"/>
                      <w:szCs w:val="21"/>
                    </w:rPr>
                    <w:t>4</w:t>
                  </w:r>
                </w:p>
              </w:tc>
              <w:tc>
                <w:tcPr>
                  <w:tcW w:w="4074" w:type="pct"/>
                  <w:noWrap w:val="0"/>
                  <w:vAlign w:val="center"/>
                </w:tcPr>
                <w:p w14:paraId="020F2228">
                  <w:pPr>
                    <w:spacing w:line="240" w:lineRule="auto"/>
                    <w:jc w:val="left"/>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b w:val="0"/>
                      <w:bCs w:val="0"/>
                      <w:color w:val="auto"/>
                      <w:kern w:val="0"/>
                      <w:sz w:val="21"/>
                      <w:szCs w:val="21"/>
                      <w:lang w:eastAsia="zh-CN"/>
                    </w:rPr>
                    <w:t>将畜禽养殖场的粪便和污水直接排入水体；</w:t>
                  </w:r>
                </w:p>
              </w:tc>
              <w:tc>
                <w:tcPr>
                  <w:tcW w:w="602" w:type="pct"/>
                  <w:noWrap w:val="0"/>
                  <w:vAlign w:val="center"/>
                </w:tcPr>
                <w:p w14:paraId="40BB057E">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kern w:val="0"/>
                      <w:sz w:val="21"/>
                      <w:szCs w:val="21"/>
                    </w:rPr>
                    <w:t>不属于</w:t>
                  </w:r>
                </w:p>
              </w:tc>
            </w:tr>
            <w:tr w14:paraId="624E4E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322" w:type="pct"/>
                  <w:noWrap w:val="0"/>
                  <w:vAlign w:val="center"/>
                </w:tcPr>
                <w:p w14:paraId="2ADC6095">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0"/>
                      <w:sz w:val="21"/>
                      <w:szCs w:val="21"/>
                    </w:rPr>
                    <w:t>5</w:t>
                  </w:r>
                </w:p>
              </w:tc>
              <w:tc>
                <w:tcPr>
                  <w:tcW w:w="4074" w:type="pct"/>
                  <w:noWrap w:val="0"/>
                  <w:vAlign w:val="center"/>
                </w:tcPr>
                <w:p w14:paraId="1CA06561">
                  <w:pPr>
                    <w:spacing w:line="240" w:lineRule="auto"/>
                    <w:jc w:val="left"/>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b w:val="0"/>
                      <w:bCs w:val="0"/>
                      <w:color w:val="auto"/>
                      <w:kern w:val="0"/>
                      <w:sz w:val="21"/>
                      <w:szCs w:val="21"/>
                      <w:lang w:eastAsia="zh-CN"/>
                    </w:rPr>
                    <w:t>将船舶的残油、废油排入水体；</w:t>
                  </w:r>
                </w:p>
              </w:tc>
              <w:tc>
                <w:tcPr>
                  <w:tcW w:w="602" w:type="pct"/>
                  <w:noWrap w:val="0"/>
                  <w:vAlign w:val="center"/>
                </w:tcPr>
                <w:p w14:paraId="70E5C5C0">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kern w:val="0"/>
                      <w:sz w:val="21"/>
                      <w:szCs w:val="21"/>
                    </w:rPr>
                    <w:t>不属于</w:t>
                  </w:r>
                </w:p>
              </w:tc>
            </w:tr>
            <w:tr w14:paraId="6472CC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noWrap w:val="0"/>
                  <w:vAlign w:val="center"/>
                </w:tcPr>
                <w:p w14:paraId="2F733B45">
                  <w:pPr>
                    <w:spacing w:line="240" w:lineRule="auto"/>
                    <w:jc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6</w:t>
                  </w:r>
                </w:p>
              </w:tc>
              <w:tc>
                <w:tcPr>
                  <w:tcW w:w="4074" w:type="pct"/>
                  <w:noWrap w:val="0"/>
                  <w:vAlign w:val="center"/>
                </w:tcPr>
                <w:p w14:paraId="668C9F5B">
                  <w:pPr>
                    <w:spacing w:line="240" w:lineRule="auto"/>
                    <w:jc w:val="left"/>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在水体洗涤装贮过油类、有毒有害物品的车辆、船舶和容器以及污染水体的回收废旧物品；</w:t>
                  </w:r>
                </w:p>
              </w:tc>
              <w:tc>
                <w:tcPr>
                  <w:tcW w:w="602" w:type="pct"/>
                  <w:noWrap w:val="0"/>
                  <w:vAlign w:val="center"/>
                </w:tcPr>
                <w:p w14:paraId="1304E8B1">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不属于</w:t>
                  </w:r>
                </w:p>
              </w:tc>
            </w:tr>
            <w:tr w14:paraId="15959F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noWrap w:val="0"/>
                  <w:vAlign w:val="center"/>
                </w:tcPr>
                <w:p w14:paraId="5A34FA72">
                  <w:pPr>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w:t>
                  </w:r>
                </w:p>
              </w:tc>
              <w:tc>
                <w:tcPr>
                  <w:tcW w:w="4074" w:type="pct"/>
                  <w:noWrap w:val="0"/>
                  <w:vAlign w:val="center"/>
                </w:tcPr>
                <w:p w14:paraId="68043C12">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法律、法规禁止的其他行为。</w:t>
                  </w:r>
                </w:p>
              </w:tc>
              <w:tc>
                <w:tcPr>
                  <w:tcW w:w="602" w:type="pct"/>
                  <w:noWrap w:val="0"/>
                  <w:vAlign w:val="center"/>
                </w:tcPr>
                <w:p w14:paraId="42A90CD7">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不属于</w:t>
                  </w:r>
                </w:p>
              </w:tc>
            </w:tr>
            <w:tr w14:paraId="4A4DF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3"/>
                  <w:noWrap w:val="0"/>
                  <w:vAlign w:val="center"/>
                </w:tcPr>
                <w:p w14:paraId="208E148D">
                  <w:pPr>
                    <w:spacing w:line="240" w:lineRule="auto"/>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bCs/>
                      <w:color w:val="auto"/>
                      <w:kern w:val="0"/>
                      <w:sz w:val="21"/>
                      <w:szCs w:val="21"/>
                    </w:rPr>
                    <w:t>二、通榆河一级保护区内禁止下列行为</w:t>
                  </w:r>
                </w:p>
              </w:tc>
            </w:tr>
            <w:tr w14:paraId="277C0E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322" w:type="pct"/>
                  <w:noWrap w:val="0"/>
                  <w:vAlign w:val="center"/>
                </w:tcPr>
                <w:p w14:paraId="3A8384A4">
                  <w:pPr>
                    <w:spacing w:line="240" w:lineRule="auto"/>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rPr>
                    <w:t>8</w:t>
                  </w:r>
                </w:p>
              </w:tc>
              <w:tc>
                <w:tcPr>
                  <w:tcW w:w="4074" w:type="pct"/>
                  <w:noWrap w:val="0"/>
                  <w:vAlign w:val="center"/>
                </w:tcPr>
                <w:p w14:paraId="3E5DF46E">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新建、扩建直接或者间接向水体排放污染物的项目；</w:t>
                  </w:r>
                </w:p>
              </w:tc>
              <w:tc>
                <w:tcPr>
                  <w:tcW w:w="602" w:type="pct"/>
                  <w:noWrap w:val="0"/>
                  <w:vAlign w:val="center"/>
                </w:tcPr>
                <w:p w14:paraId="077F46F1">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kern w:val="0"/>
                      <w:sz w:val="21"/>
                      <w:szCs w:val="21"/>
                    </w:rPr>
                    <w:t>不属于</w:t>
                  </w:r>
                </w:p>
              </w:tc>
            </w:tr>
            <w:tr w14:paraId="59A564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noWrap w:val="0"/>
                  <w:vAlign w:val="center"/>
                </w:tcPr>
                <w:p w14:paraId="2B79D81A">
                  <w:pPr>
                    <w:spacing w:line="240" w:lineRule="auto"/>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rPr>
                    <w:t>9</w:t>
                  </w:r>
                </w:p>
              </w:tc>
              <w:tc>
                <w:tcPr>
                  <w:tcW w:w="4074" w:type="pct"/>
                  <w:noWrap w:val="0"/>
                  <w:vAlign w:val="center"/>
                </w:tcPr>
                <w:p w14:paraId="35095D42">
                  <w:pPr>
                    <w:spacing w:line="240" w:lineRule="auto"/>
                    <w:jc w:val="left"/>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新设排污口；</w:t>
                  </w:r>
                </w:p>
              </w:tc>
              <w:tc>
                <w:tcPr>
                  <w:tcW w:w="602" w:type="pct"/>
                  <w:noWrap w:val="0"/>
                  <w:vAlign w:val="center"/>
                </w:tcPr>
                <w:p w14:paraId="715C7990">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kern w:val="0"/>
                      <w:sz w:val="21"/>
                      <w:szCs w:val="21"/>
                    </w:rPr>
                    <w:t>不属于</w:t>
                  </w:r>
                </w:p>
              </w:tc>
            </w:tr>
            <w:tr w14:paraId="37705E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noWrap w:val="0"/>
                  <w:vAlign w:val="center"/>
                </w:tcPr>
                <w:p w14:paraId="63EBD3B5">
                  <w:pPr>
                    <w:spacing w:line="240" w:lineRule="auto"/>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10</w:t>
                  </w:r>
                </w:p>
              </w:tc>
              <w:tc>
                <w:tcPr>
                  <w:tcW w:w="4074" w:type="pct"/>
                  <w:noWrap w:val="0"/>
                  <w:vAlign w:val="center"/>
                </w:tcPr>
                <w:p w14:paraId="624506BE">
                  <w:pPr>
                    <w:spacing w:line="240" w:lineRule="auto"/>
                    <w:jc w:val="left"/>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建设工业固体废物集中贮存、利用、处置设施或者场所以及城市生活垃圾填埋场；</w:t>
                  </w:r>
                </w:p>
              </w:tc>
              <w:tc>
                <w:tcPr>
                  <w:tcW w:w="602" w:type="pct"/>
                  <w:noWrap w:val="0"/>
                  <w:vAlign w:val="center"/>
                </w:tcPr>
                <w:p w14:paraId="22D33500">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kern w:val="0"/>
                      <w:sz w:val="21"/>
                      <w:szCs w:val="21"/>
                    </w:rPr>
                    <w:t>不属于</w:t>
                  </w:r>
                </w:p>
              </w:tc>
            </w:tr>
            <w:tr w14:paraId="1919B6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noWrap w:val="0"/>
                  <w:vAlign w:val="center"/>
                </w:tcPr>
                <w:p w14:paraId="2FDB19C2">
                  <w:pPr>
                    <w:spacing w:line="240" w:lineRule="auto"/>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color w:val="auto"/>
                      <w:kern w:val="0"/>
                      <w:sz w:val="21"/>
                      <w:szCs w:val="21"/>
                    </w:rPr>
                    <w:t>1</w:t>
                  </w:r>
                  <w:r>
                    <w:rPr>
                      <w:rFonts w:hint="default" w:ascii="Times New Roman" w:hAnsi="Times New Roman" w:eastAsia="宋体" w:cs="Times New Roman"/>
                      <w:color w:val="auto"/>
                      <w:kern w:val="0"/>
                      <w:sz w:val="21"/>
                      <w:szCs w:val="21"/>
                      <w:lang w:val="en-US" w:eastAsia="zh-CN"/>
                    </w:rPr>
                    <w:t>1</w:t>
                  </w:r>
                </w:p>
              </w:tc>
              <w:tc>
                <w:tcPr>
                  <w:tcW w:w="4074" w:type="pct"/>
                  <w:noWrap w:val="0"/>
                  <w:vAlign w:val="center"/>
                </w:tcPr>
                <w:p w14:paraId="0F0DEE8C">
                  <w:pPr>
                    <w:spacing w:line="240" w:lineRule="auto"/>
                    <w:jc w:val="left"/>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使用剧毒、高残留农药；</w:t>
                  </w:r>
                </w:p>
              </w:tc>
              <w:tc>
                <w:tcPr>
                  <w:tcW w:w="602" w:type="pct"/>
                  <w:noWrap w:val="0"/>
                  <w:vAlign w:val="center"/>
                </w:tcPr>
                <w:p w14:paraId="4713AA65">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kern w:val="0"/>
                      <w:sz w:val="21"/>
                      <w:szCs w:val="21"/>
                    </w:rPr>
                    <w:t>不属于</w:t>
                  </w:r>
                </w:p>
              </w:tc>
            </w:tr>
            <w:tr w14:paraId="351E09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noWrap w:val="0"/>
                  <w:vAlign w:val="center"/>
                </w:tcPr>
                <w:p w14:paraId="394C38FA">
                  <w:pP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w:t>
                  </w:r>
                  <w:r>
                    <w:rPr>
                      <w:rFonts w:hint="default" w:ascii="Times New Roman" w:hAnsi="Times New Roman" w:eastAsia="宋体" w:cs="Times New Roman"/>
                      <w:color w:val="auto"/>
                      <w:kern w:val="0"/>
                      <w:sz w:val="21"/>
                      <w:szCs w:val="21"/>
                      <w:lang w:val="en-US" w:eastAsia="zh-CN"/>
                    </w:rPr>
                    <w:t>2</w:t>
                  </w:r>
                </w:p>
              </w:tc>
              <w:tc>
                <w:tcPr>
                  <w:tcW w:w="4074" w:type="pct"/>
                  <w:noWrap w:val="0"/>
                  <w:vAlign w:val="center"/>
                </w:tcPr>
                <w:p w14:paraId="150C03E8">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新建规模化畜禽养殖场；</w:t>
                  </w:r>
                </w:p>
              </w:tc>
              <w:tc>
                <w:tcPr>
                  <w:tcW w:w="602" w:type="pct"/>
                  <w:noWrap w:val="0"/>
                  <w:vAlign w:val="center"/>
                </w:tcPr>
                <w:p w14:paraId="3A320E8B">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kern w:val="0"/>
                      <w:sz w:val="21"/>
                      <w:szCs w:val="21"/>
                    </w:rPr>
                    <w:t>不属于</w:t>
                  </w:r>
                </w:p>
              </w:tc>
            </w:tr>
            <w:tr w14:paraId="7BF249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noWrap w:val="0"/>
                  <w:vAlign w:val="center"/>
                </w:tcPr>
                <w:p w14:paraId="48D2CD7E">
                  <w:pP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w:t>
                  </w:r>
                  <w:r>
                    <w:rPr>
                      <w:rFonts w:hint="default" w:ascii="Times New Roman" w:hAnsi="Times New Roman" w:eastAsia="宋体" w:cs="Times New Roman"/>
                      <w:color w:val="auto"/>
                      <w:kern w:val="0"/>
                      <w:sz w:val="21"/>
                      <w:szCs w:val="21"/>
                      <w:lang w:val="en-US" w:eastAsia="zh-CN"/>
                    </w:rPr>
                    <w:t>3</w:t>
                  </w:r>
                </w:p>
              </w:tc>
              <w:tc>
                <w:tcPr>
                  <w:tcW w:w="4074" w:type="pct"/>
                  <w:noWrap w:val="0"/>
                  <w:vAlign w:val="center"/>
                </w:tcPr>
                <w:p w14:paraId="521EA632">
                  <w:pPr>
                    <w:spacing w:line="240" w:lineRule="auto"/>
                    <w:jc w:val="left"/>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在河堤迎水坡种植农作物；</w:t>
                  </w:r>
                </w:p>
              </w:tc>
              <w:tc>
                <w:tcPr>
                  <w:tcW w:w="602" w:type="pct"/>
                  <w:noWrap w:val="0"/>
                  <w:vAlign w:val="center"/>
                </w:tcPr>
                <w:p w14:paraId="65F4D7A1">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不属于</w:t>
                  </w:r>
                </w:p>
              </w:tc>
            </w:tr>
            <w:tr w14:paraId="701F1F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noWrap w:val="0"/>
                  <w:vAlign w:val="center"/>
                </w:tcPr>
                <w:p w14:paraId="2CC3A2DD">
                  <w:pP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w:t>
                  </w:r>
                  <w:r>
                    <w:rPr>
                      <w:rFonts w:hint="default" w:ascii="Times New Roman" w:hAnsi="Times New Roman" w:eastAsia="宋体" w:cs="Times New Roman"/>
                      <w:color w:val="auto"/>
                      <w:kern w:val="0"/>
                      <w:sz w:val="21"/>
                      <w:szCs w:val="21"/>
                      <w:lang w:val="en-US" w:eastAsia="zh-CN"/>
                    </w:rPr>
                    <w:t>4</w:t>
                  </w:r>
                </w:p>
              </w:tc>
              <w:tc>
                <w:tcPr>
                  <w:tcW w:w="4074" w:type="pct"/>
                  <w:noWrap w:val="0"/>
                  <w:vAlign w:val="center"/>
                </w:tcPr>
                <w:p w14:paraId="73F7D59E">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在河道内从事网箱、网围渔业养殖，设立鱼罾、鱼簖等各类定置渔具。</w:t>
                  </w:r>
                </w:p>
              </w:tc>
              <w:tc>
                <w:tcPr>
                  <w:tcW w:w="602" w:type="pct"/>
                  <w:noWrap w:val="0"/>
                  <w:vAlign w:val="center"/>
                </w:tcPr>
                <w:p w14:paraId="75E4AF7A">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不属于</w:t>
                  </w:r>
                </w:p>
              </w:tc>
            </w:tr>
            <w:tr w14:paraId="0CCD16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3"/>
                  <w:noWrap w:val="0"/>
                  <w:vAlign w:val="center"/>
                </w:tcPr>
                <w:p w14:paraId="409D3657">
                  <w:pPr>
                    <w:spacing w:line="240" w:lineRule="auto"/>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bCs/>
                      <w:color w:val="auto"/>
                      <w:kern w:val="0"/>
                      <w:sz w:val="21"/>
                      <w:szCs w:val="21"/>
                    </w:rPr>
                    <w:t>三、通榆河一级、二级保护区限制下列行为</w:t>
                  </w:r>
                </w:p>
              </w:tc>
            </w:tr>
            <w:tr w14:paraId="3383BC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noWrap w:val="0"/>
                  <w:vAlign w:val="center"/>
                </w:tcPr>
                <w:p w14:paraId="141E9D90">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w:t>
                  </w:r>
                </w:p>
              </w:tc>
              <w:tc>
                <w:tcPr>
                  <w:tcW w:w="4074" w:type="pct"/>
                  <w:noWrap w:val="0"/>
                  <w:vAlign w:val="center"/>
                </w:tcPr>
                <w:p w14:paraId="6EEDC409">
                  <w:pPr>
                    <w:spacing w:line="240" w:lineRule="auto"/>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新建、扩建港口、码头；</w:t>
                  </w:r>
                </w:p>
              </w:tc>
              <w:tc>
                <w:tcPr>
                  <w:tcW w:w="602" w:type="pct"/>
                  <w:noWrap w:val="0"/>
                  <w:vAlign w:val="center"/>
                </w:tcPr>
                <w:p w14:paraId="695585BB">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不属于</w:t>
                  </w:r>
                </w:p>
              </w:tc>
            </w:tr>
            <w:tr w14:paraId="081789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noWrap w:val="0"/>
                  <w:vAlign w:val="center"/>
                </w:tcPr>
                <w:p w14:paraId="5DD37AEF">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16</w:t>
                  </w:r>
                </w:p>
              </w:tc>
              <w:tc>
                <w:tcPr>
                  <w:tcW w:w="4074" w:type="pct"/>
                  <w:noWrap w:val="0"/>
                  <w:vAlign w:val="center"/>
                </w:tcPr>
                <w:p w14:paraId="16A3C94C">
                  <w:pPr>
                    <w:spacing w:line="240" w:lineRule="auto"/>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设置水上加油、加气站点；</w:t>
                  </w:r>
                </w:p>
              </w:tc>
              <w:tc>
                <w:tcPr>
                  <w:tcW w:w="602" w:type="pct"/>
                  <w:noWrap w:val="0"/>
                  <w:vAlign w:val="center"/>
                </w:tcPr>
                <w:p w14:paraId="3F49DF54">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不属于</w:t>
                  </w:r>
                </w:p>
              </w:tc>
            </w:tr>
            <w:tr w14:paraId="5C7F37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noWrap w:val="0"/>
                  <w:vAlign w:val="center"/>
                </w:tcPr>
                <w:p w14:paraId="2607F91A">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17</w:t>
                  </w:r>
                </w:p>
              </w:tc>
              <w:tc>
                <w:tcPr>
                  <w:tcW w:w="4074" w:type="pct"/>
                  <w:noWrap w:val="0"/>
                  <w:vAlign w:val="center"/>
                </w:tcPr>
                <w:p w14:paraId="5CADF487">
                  <w:pPr>
                    <w:spacing w:line="240" w:lineRule="auto"/>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法律、法规限制的其他行为。</w:t>
                  </w:r>
                </w:p>
              </w:tc>
              <w:tc>
                <w:tcPr>
                  <w:tcW w:w="602" w:type="pct"/>
                  <w:noWrap w:val="0"/>
                  <w:vAlign w:val="center"/>
                </w:tcPr>
                <w:p w14:paraId="0DF4A854">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不属于</w:t>
                  </w:r>
                </w:p>
              </w:tc>
            </w:tr>
          </w:tbl>
          <w:p w14:paraId="1E30B562">
            <w:pPr>
              <w:pStyle w:val="3"/>
              <w:ind w:firstLine="480"/>
              <w:rPr>
                <w:rFonts w:hint="eastAsia" w:ascii="Times New Roman" w:hAnsi="Times New Roman" w:eastAsia="宋体"/>
                <w:color w:val="auto"/>
                <w:lang w:val="en-US" w:eastAsia="zh-CN"/>
              </w:rPr>
            </w:pPr>
            <w:r>
              <w:rPr>
                <w:rFonts w:hint="default" w:ascii="Times New Roman" w:hAnsi="Times New Roman" w:eastAsia="宋体" w:cs="Times New Roman"/>
                <w:color w:val="auto"/>
              </w:rPr>
              <w:t>对照《江苏省通榆河水污染防治条例》，本项目不属于其中列明的禁止、限制类行为，同时本项目废水均不外排，符合《江苏省通榆河水污染防治条例》的要求。</w:t>
            </w:r>
          </w:p>
        </w:tc>
      </w:tr>
    </w:tbl>
    <w:p w14:paraId="0D8B6F28">
      <w:pPr>
        <w:pStyle w:val="9"/>
        <w:spacing w:before="0" w:beforeAutospacing="0" w:after="0" w:afterAutospacing="0"/>
        <w:jc w:val="center"/>
        <w:outlineLvl w:val="9"/>
        <w:rPr>
          <w:rFonts w:hint="eastAsia" w:ascii="黑体" w:hAnsi="黑体" w:eastAsia="黑体" w:cs="黑体"/>
          <w:b w:val="0"/>
          <w:bCs w:val="0"/>
          <w:snapToGrid w:val="0"/>
          <w:sz w:val="30"/>
          <w:szCs w:val="30"/>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7DCE5B40">
      <w:pPr>
        <w:pStyle w:val="9"/>
        <w:spacing w:before="0" w:beforeAutospacing="0" w:after="0" w:afterAutospacing="0"/>
        <w:jc w:val="center"/>
        <w:outlineLvl w:val="0"/>
        <w:rPr>
          <w:rFonts w:ascii="Times New Roman" w:hAnsi="Times New Roman" w:eastAsia="宋体"/>
          <w:b/>
          <w:bCs/>
          <w:snapToGrid w:val="0"/>
          <w:sz w:val="30"/>
          <w:szCs w:val="30"/>
        </w:rPr>
      </w:pPr>
      <w:r>
        <w:rPr>
          <w:rFonts w:hint="eastAsia" w:ascii="黑体" w:hAnsi="黑体" w:eastAsia="黑体" w:cs="黑体"/>
          <w:b w:val="0"/>
          <w:bCs w:val="0"/>
          <w:snapToGrid w:val="0"/>
          <w:sz w:val="30"/>
          <w:szCs w:val="30"/>
        </w:rPr>
        <w:t>二、建设内容</w:t>
      </w:r>
    </w:p>
    <w:tbl>
      <w:tblPr>
        <w:tblStyle w:val="11"/>
        <w:tblpPr w:leftFromText="180" w:rightFromText="180" w:vertAnchor="text" w:tblpXSpec="center" w:tblpY="1"/>
        <w:tblOverlap w:val="never"/>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7886"/>
      </w:tblGrid>
      <w:tr w14:paraId="56AB67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373" w:type="pct"/>
            <w:vAlign w:val="center"/>
          </w:tcPr>
          <w:p w14:paraId="37D74562">
            <w:pPr>
              <w:adjustRightInd w:val="0"/>
              <w:snapToGrid w:val="0"/>
              <w:jc w:val="center"/>
              <w:rPr>
                <w:rFonts w:eastAsia="宋体"/>
                <w:color w:val="auto"/>
                <w:kern w:val="0"/>
                <w:sz w:val="24"/>
              </w:rPr>
            </w:pPr>
            <w:r>
              <w:rPr>
                <w:rFonts w:eastAsia="宋体"/>
                <w:color w:val="auto"/>
                <w:kern w:val="0"/>
                <w:sz w:val="24"/>
              </w:rPr>
              <w:t>地理位置</w:t>
            </w:r>
          </w:p>
        </w:tc>
        <w:tc>
          <w:tcPr>
            <w:tcW w:w="4626" w:type="pct"/>
            <w:vAlign w:val="center"/>
          </w:tcPr>
          <w:p w14:paraId="136CB1FF">
            <w:pPr>
              <w:pStyle w:val="3"/>
              <w:numPr>
                <w:ilvl w:val="0"/>
                <w:numId w:val="0"/>
              </w:numPr>
              <w:ind w:firstLine="480" w:firstLineChars="200"/>
              <w:rPr>
                <w:rFonts w:hint="eastAsia" w:eastAsia="宋体"/>
                <w:color w:val="auto"/>
                <w:highlight w:val="none"/>
                <w:lang w:val="en-US" w:eastAsia="zh-CN"/>
              </w:rPr>
            </w:pPr>
            <w:r>
              <w:rPr>
                <w:rFonts w:hint="eastAsia" w:eastAsia="宋体"/>
                <w:color w:val="auto"/>
                <w:highlight w:val="none"/>
              </w:rPr>
              <w:t>本项目</w:t>
            </w:r>
            <w:r>
              <w:rPr>
                <w:rFonts w:hint="eastAsia" w:eastAsia="宋体"/>
                <w:color w:val="auto"/>
                <w:highlight w:val="none"/>
                <w:lang w:val="en-US" w:eastAsia="zh-CN"/>
              </w:rPr>
              <w:t>沙105斜井</w:t>
            </w:r>
            <w:r>
              <w:rPr>
                <w:rFonts w:hint="eastAsia" w:eastAsia="宋体"/>
                <w:color w:val="auto"/>
                <w:highlight w:val="none"/>
              </w:rPr>
              <w:t>位于</w:t>
            </w:r>
            <w:r>
              <w:rPr>
                <w:rFonts w:hint="eastAsia" w:ascii="Times New Roman" w:hAnsi="Times New Roman" w:eastAsia="宋体" w:cs="Times New Roman"/>
                <w:color w:val="auto"/>
                <w:highlight w:val="none"/>
                <w:lang w:val="en-US" w:eastAsia="zh-CN"/>
              </w:rPr>
              <w:t>高邮市汤庄镇双屏村</w:t>
            </w:r>
            <w:r>
              <w:rPr>
                <w:rFonts w:hint="eastAsia" w:eastAsia="宋体" w:cs="Times New Roman"/>
                <w:color w:val="auto"/>
                <w:highlight w:val="none"/>
                <w:lang w:val="en-US" w:eastAsia="zh-CN"/>
              </w:rPr>
              <w:t>；沙86</w:t>
            </w:r>
            <w:r>
              <w:rPr>
                <w:rFonts w:hint="eastAsia" w:ascii="Times New Roman" w:hAnsi="Times New Roman" w:eastAsia="宋体" w:cs="Times New Roman"/>
                <w:color w:val="auto"/>
                <w:highlight w:val="none"/>
                <w:lang w:val="en-US" w:eastAsia="zh-CN"/>
              </w:rPr>
              <w:t>斜井位于高邮市汤庄镇甸垛村，</w:t>
            </w:r>
            <w:r>
              <w:rPr>
                <w:rFonts w:hint="eastAsia" w:eastAsia="宋体"/>
                <w:color w:val="auto"/>
                <w:highlight w:val="none"/>
                <w:lang w:val="en-US" w:eastAsia="zh-CN"/>
              </w:rPr>
              <w:t>具体详见下表：</w:t>
            </w:r>
          </w:p>
          <w:p w14:paraId="77D41D1D">
            <w:pPr>
              <w:pStyle w:val="16"/>
              <w:rPr>
                <w:rFonts w:hint="default" w:eastAsia="宋体"/>
                <w:color w:val="auto"/>
                <w:highlight w:val="none"/>
                <w:lang w:val="en-US" w:eastAsia="zh-CN"/>
              </w:rPr>
            </w:pPr>
            <w:r>
              <w:rPr>
                <w:rFonts w:hint="eastAsia" w:eastAsia="宋体"/>
                <w:color w:val="auto"/>
              </w:rPr>
              <w:t>表2-</w:t>
            </w:r>
            <w:r>
              <w:rPr>
                <w:rFonts w:hint="eastAsia" w:eastAsia="宋体"/>
                <w:color w:val="auto"/>
                <w:lang w:val="en-US" w:eastAsia="zh-CN"/>
              </w:rPr>
              <w:t>1</w:t>
            </w:r>
            <w:r>
              <w:rPr>
                <w:rFonts w:hint="eastAsia" w:eastAsia="宋体"/>
                <w:color w:val="auto"/>
              </w:rPr>
              <w:t xml:space="preserve">  拟建项目</w:t>
            </w:r>
            <w:r>
              <w:rPr>
                <w:rFonts w:hint="eastAsia" w:eastAsia="宋体"/>
                <w:color w:val="auto"/>
                <w:lang w:val="en-US" w:eastAsia="zh-CN"/>
              </w:rPr>
              <w:t>地理分布情况</w:t>
            </w:r>
          </w:p>
          <w:tbl>
            <w:tblPr>
              <w:tblStyle w:val="12"/>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533"/>
              <w:gridCol w:w="2505"/>
              <w:gridCol w:w="2970"/>
            </w:tblGrid>
            <w:tr w14:paraId="2DDC1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Borders>
                    <w:left w:val="nil"/>
                  </w:tcBorders>
                  <w:vAlign w:val="center"/>
                </w:tcPr>
                <w:p w14:paraId="13C81299">
                  <w:pPr>
                    <w:pStyle w:val="3"/>
                    <w:keepNext w:val="0"/>
                    <w:keepLines w:val="0"/>
                    <w:pageBreakBefore w:val="0"/>
                    <w:widowControl/>
                    <w:numPr>
                      <w:ilvl w:val="0"/>
                      <w:numId w:val="0"/>
                    </w:numPr>
                    <w:kinsoku/>
                    <w:wordWrap/>
                    <w:overflowPunct/>
                    <w:topLinePunct w:val="0"/>
                    <w:autoSpaceDE/>
                    <w:autoSpaceDN/>
                    <w:bidi w:val="0"/>
                    <w:adjustRightInd/>
                    <w:snapToGrid/>
                    <w:spacing w:line="300" w:lineRule="exact"/>
                    <w:jc w:val="center"/>
                    <w:textAlignment w:val="auto"/>
                    <w:rPr>
                      <w:rFonts w:hint="default"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序号</w:t>
                  </w:r>
                </w:p>
              </w:tc>
              <w:tc>
                <w:tcPr>
                  <w:tcW w:w="1530" w:type="dxa"/>
                  <w:vAlign w:val="center"/>
                </w:tcPr>
                <w:p w14:paraId="6E7A8D61">
                  <w:pPr>
                    <w:pStyle w:val="3"/>
                    <w:keepNext w:val="0"/>
                    <w:keepLines w:val="0"/>
                    <w:pageBreakBefore w:val="0"/>
                    <w:widowControl/>
                    <w:numPr>
                      <w:ilvl w:val="0"/>
                      <w:numId w:val="0"/>
                    </w:numPr>
                    <w:kinsoku/>
                    <w:wordWrap/>
                    <w:overflowPunct/>
                    <w:topLinePunct w:val="0"/>
                    <w:autoSpaceDE/>
                    <w:autoSpaceDN/>
                    <w:bidi w:val="0"/>
                    <w:adjustRightInd/>
                    <w:snapToGrid/>
                    <w:spacing w:line="300" w:lineRule="exact"/>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名称</w:t>
                  </w:r>
                </w:p>
              </w:tc>
              <w:tc>
                <w:tcPr>
                  <w:tcW w:w="2500" w:type="dxa"/>
                  <w:vAlign w:val="center"/>
                </w:tcPr>
                <w:p w14:paraId="0E034A05">
                  <w:pPr>
                    <w:pStyle w:val="3"/>
                    <w:keepNext w:val="0"/>
                    <w:keepLines w:val="0"/>
                    <w:pageBreakBefore w:val="0"/>
                    <w:widowControl/>
                    <w:numPr>
                      <w:ilvl w:val="0"/>
                      <w:numId w:val="0"/>
                    </w:numPr>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地理位置</w:t>
                  </w:r>
                </w:p>
              </w:tc>
              <w:tc>
                <w:tcPr>
                  <w:tcW w:w="2963" w:type="dxa"/>
                  <w:tcBorders>
                    <w:right w:val="nil"/>
                  </w:tcBorders>
                </w:tcPr>
                <w:p w14:paraId="4FF0E408">
                  <w:pPr>
                    <w:pStyle w:val="3"/>
                    <w:keepNext w:val="0"/>
                    <w:keepLines w:val="0"/>
                    <w:pageBreakBefore w:val="0"/>
                    <w:widowControl/>
                    <w:numPr>
                      <w:ilvl w:val="0"/>
                      <w:numId w:val="0"/>
                    </w:numPr>
                    <w:kinsoku/>
                    <w:wordWrap/>
                    <w:overflowPunct/>
                    <w:topLinePunct w:val="0"/>
                    <w:autoSpaceDE/>
                    <w:autoSpaceDN/>
                    <w:bidi w:val="0"/>
                    <w:adjustRightInd/>
                    <w:snapToGrid/>
                    <w:spacing w:line="300" w:lineRule="exact"/>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经纬度</w:t>
                  </w:r>
                </w:p>
              </w:tc>
            </w:tr>
            <w:tr w14:paraId="2E697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Borders>
                    <w:left w:val="nil"/>
                  </w:tcBorders>
                  <w:vAlign w:val="center"/>
                </w:tcPr>
                <w:p w14:paraId="7F0239F7">
                  <w:pPr>
                    <w:pStyle w:val="3"/>
                    <w:keepNext w:val="0"/>
                    <w:keepLines w:val="0"/>
                    <w:pageBreakBefore w:val="0"/>
                    <w:widowControl/>
                    <w:numPr>
                      <w:ilvl w:val="0"/>
                      <w:numId w:val="0"/>
                    </w:numPr>
                    <w:kinsoku/>
                    <w:wordWrap/>
                    <w:overflowPunct/>
                    <w:topLinePunct w:val="0"/>
                    <w:autoSpaceDE/>
                    <w:autoSpaceDN/>
                    <w:bidi w:val="0"/>
                    <w:adjustRightInd/>
                    <w:snapToGrid/>
                    <w:spacing w:line="300" w:lineRule="exact"/>
                    <w:jc w:val="center"/>
                    <w:textAlignment w:val="auto"/>
                    <w:rPr>
                      <w:rFonts w:hint="default"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1</w:t>
                  </w:r>
                </w:p>
              </w:tc>
              <w:tc>
                <w:tcPr>
                  <w:tcW w:w="1530" w:type="dxa"/>
                  <w:vAlign w:val="center"/>
                </w:tcPr>
                <w:p w14:paraId="73C6BDAB">
                  <w:pPr>
                    <w:pStyle w:val="3"/>
                    <w:keepNext w:val="0"/>
                    <w:keepLines w:val="0"/>
                    <w:pageBreakBefore w:val="0"/>
                    <w:widowControl/>
                    <w:numPr>
                      <w:ilvl w:val="0"/>
                      <w:numId w:val="0"/>
                    </w:numPr>
                    <w:kinsoku/>
                    <w:wordWrap/>
                    <w:overflowPunct/>
                    <w:topLinePunct w:val="0"/>
                    <w:autoSpaceDE/>
                    <w:autoSpaceDN/>
                    <w:bidi w:val="0"/>
                    <w:adjustRightInd/>
                    <w:snapToGrid/>
                    <w:spacing w:line="300" w:lineRule="exact"/>
                    <w:jc w:val="center"/>
                    <w:textAlignment w:val="auto"/>
                    <w:rPr>
                      <w:rFonts w:hint="eastAsia" w:eastAsia="宋体"/>
                      <w:color w:val="auto"/>
                      <w:sz w:val="21"/>
                      <w:szCs w:val="21"/>
                      <w:highlight w:val="none"/>
                      <w:vertAlign w:val="baseline"/>
                      <w:lang w:val="en-US" w:eastAsia="zh-CN"/>
                    </w:rPr>
                  </w:pPr>
                  <w:r>
                    <w:rPr>
                      <w:rFonts w:hint="eastAsia" w:eastAsia="宋体"/>
                      <w:color w:val="auto"/>
                      <w:sz w:val="21"/>
                      <w:szCs w:val="21"/>
                      <w:highlight w:val="none"/>
                      <w:lang w:val="en-US" w:eastAsia="zh-CN"/>
                    </w:rPr>
                    <w:t>沙105斜井</w:t>
                  </w:r>
                </w:p>
              </w:tc>
              <w:tc>
                <w:tcPr>
                  <w:tcW w:w="2500" w:type="dxa"/>
                  <w:vAlign w:val="center"/>
                </w:tcPr>
                <w:p w14:paraId="6BA8201C">
                  <w:pPr>
                    <w:pStyle w:val="3"/>
                    <w:keepNext w:val="0"/>
                    <w:keepLines w:val="0"/>
                    <w:pageBreakBefore w:val="0"/>
                    <w:widowControl/>
                    <w:numPr>
                      <w:ilvl w:val="0"/>
                      <w:numId w:val="0"/>
                    </w:numPr>
                    <w:kinsoku/>
                    <w:wordWrap/>
                    <w:overflowPunct/>
                    <w:topLinePunct w:val="0"/>
                    <w:autoSpaceDE/>
                    <w:autoSpaceDN/>
                    <w:bidi w:val="0"/>
                    <w:adjustRightInd/>
                    <w:snapToGrid/>
                    <w:spacing w:line="300" w:lineRule="exact"/>
                    <w:jc w:val="center"/>
                    <w:textAlignment w:val="auto"/>
                    <w:rPr>
                      <w:rFonts w:hint="default" w:eastAsia="宋体"/>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高邮市汤庄镇双屏村</w:t>
                  </w:r>
                </w:p>
              </w:tc>
              <w:tc>
                <w:tcPr>
                  <w:tcW w:w="2963" w:type="dxa"/>
                  <w:tcBorders>
                    <w:right w:val="nil"/>
                  </w:tcBorders>
                </w:tcPr>
                <w:p w14:paraId="0F499ACD">
                  <w:pPr>
                    <w:pStyle w:val="3"/>
                    <w:keepNext w:val="0"/>
                    <w:keepLines w:val="0"/>
                    <w:pageBreakBefore w:val="0"/>
                    <w:widowControl/>
                    <w:numPr>
                      <w:ilvl w:val="0"/>
                      <w:numId w:val="0"/>
                    </w:numPr>
                    <w:kinsoku/>
                    <w:wordWrap/>
                    <w:overflowPunct/>
                    <w:topLinePunct w:val="0"/>
                    <w:autoSpaceDE/>
                    <w:autoSpaceDN/>
                    <w:bidi w:val="0"/>
                    <w:adjustRightInd/>
                    <w:snapToGrid/>
                    <w:spacing w:line="300" w:lineRule="exact"/>
                    <w:jc w:val="center"/>
                    <w:textAlignment w:val="auto"/>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E：119°46′10.250″</w:t>
                  </w:r>
                </w:p>
                <w:p w14:paraId="396E8529">
                  <w:pPr>
                    <w:pStyle w:val="3"/>
                    <w:keepNext w:val="0"/>
                    <w:keepLines w:val="0"/>
                    <w:pageBreakBefore w:val="0"/>
                    <w:widowControl/>
                    <w:numPr>
                      <w:ilvl w:val="0"/>
                      <w:numId w:val="0"/>
                    </w:numPr>
                    <w:kinsoku/>
                    <w:wordWrap/>
                    <w:overflowPunct/>
                    <w:topLinePunct w:val="0"/>
                    <w:autoSpaceDE/>
                    <w:autoSpaceDN/>
                    <w:bidi w:val="0"/>
                    <w:adjustRightInd/>
                    <w:snapToGrid/>
                    <w:spacing w:line="300" w:lineRule="exact"/>
                    <w:jc w:val="center"/>
                    <w:textAlignment w:val="auto"/>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N：32°45′46.160″</w:t>
                  </w:r>
                </w:p>
              </w:tc>
            </w:tr>
            <w:tr w14:paraId="40694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Borders>
                    <w:left w:val="nil"/>
                  </w:tcBorders>
                  <w:vAlign w:val="center"/>
                </w:tcPr>
                <w:p w14:paraId="2C3D98E5">
                  <w:pPr>
                    <w:pStyle w:val="3"/>
                    <w:keepNext w:val="0"/>
                    <w:keepLines w:val="0"/>
                    <w:pageBreakBefore w:val="0"/>
                    <w:widowControl/>
                    <w:numPr>
                      <w:ilvl w:val="0"/>
                      <w:numId w:val="0"/>
                    </w:numPr>
                    <w:kinsoku/>
                    <w:wordWrap/>
                    <w:overflowPunct/>
                    <w:topLinePunct w:val="0"/>
                    <w:autoSpaceDE/>
                    <w:autoSpaceDN/>
                    <w:bidi w:val="0"/>
                    <w:adjustRightInd/>
                    <w:snapToGrid/>
                    <w:spacing w:line="300" w:lineRule="exact"/>
                    <w:jc w:val="center"/>
                    <w:textAlignment w:val="auto"/>
                    <w:rPr>
                      <w:rFonts w:hint="default"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2</w:t>
                  </w:r>
                </w:p>
              </w:tc>
              <w:tc>
                <w:tcPr>
                  <w:tcW w:w="1530" w:type="dxa"/>
                  <w:vAlign w:val="center"/>
                </w:tcPr>
                <w:p w14:paraId="7A9A902F">
                  <w:pPr>
                    <w:pStyle w:val="3"/>
                    <w:keepNext w:val="0"/>
                    <w:keepLines w:val="0"/>
                    <w:pageBreakBefore w:val="0"/>
                    <w:widowControl/>
                    <w:numPr>
                      <w:ilvl w:val="0"/>
                      <w:numId w:val="0"/>
                    </w:numPr>
                    <w:kinsoku/>
                    <w:wordWrap/>
                    <w:overflowPunct/>
                    <w:topLinePunct w:val="0"/>
                    <w:autoSpaceDE/>
                    <w:autoSpaceDN/>
                    <w:bidi w:val="0"/>
                    <w:adjustRightInd/>
                    <w:snapToGrid/>
                    <w:spacing w:line="300" w:lineRule="exact"/>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沙86斜井</w:t>
                  </w:r>
                </w:p>
              </w:tc>
              <w:tc>
                <w:tcPr>
                  <w:tcW w:w="2500" w:type="dxa"/>
                  <w:vAlign w:val="center"/>
                </w:tcPr>
                <w:p w14:paraId="12ADF274">
                  <w:pPr>
                    <w:pStyle w:val="3"/>
                    <w:keepNext w:val="0"/>
                    <w:keepLines w:val="0"/>
                    <w:pageBreakBefore w:val="0"/>
                    <w:widowControl/>
                    <w:numPr>
                      <w:ilvl w:val="0"/>
                      <w:numId w:val="0"/>
                    </w:numPr>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高邮市汤庄镇甸垛村</w:t>
                  </w:r>
                </w:p>
              </w:tc>
              <w:tc>
                <w:tcPr>
                  <w:tcW w:w="2963" w:type="dxa"/>
                  <w:tcBorders>
                    <w:right w:val="nil"/>
                  </w:tcBorders>
                </w:tcPr>
                <w:p w14:paraId="20CEACCE">
                  <w:pPr>
                    <w:pStyle w:val="3"/>
                    <w:keepNext w:val="0"/>
                    <w:keepLines w:val="0"/>
                    <w:pageBreakBefore w:val="0"/>
                    <w:widowControl/>
                    <w:numPr>
                      <w:ilvl w:val="0"/>
                      <w:numId w:val="0"/>
                    </w:numPr>
                    <w:kinsoku/>
                    <w:wordWrap/>
                    <w:overflowPunct/>
                    <w:topLinePunct w:val="0"/>
                    <w:autoSpaceDE/>
                    <w:autoSpaceDN/>
                    <w:bidi w:val="0"/>
                    <w:adjustRightInd/>
                    <w:snapToGrid/>
                    <w:spacing w:line="300" w:lineRule="exact"/>
                    <w:jc w:val="center"/>
                    <w:textAlignment w:val="auto"/>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E：119°40′48.113″</w:t>
                  </w:r>
                </w:p>
                <w:p w14:paraId="5E0EBF79">
                  <w:pPr>
                    <w:pStyle w:val="3"/>
                    <w:keepNext w:val="0"/>
                    <w:keepLines w:val="0"/>
                    <w:pageBreakBefore w:val="0"/>
                    <w:widowControl/>
                    <w:numPr>
                      <w:ilvl w:val="0"/>
                      <w:numId w:val="0"/>
                    </w:numPr>
                    <w:kinsoku/>
                    <w:wordWrap/>
                    <w:overflowPunct/>
                    <w:topLinePunct w:val="0"/>
                    <w:autoSpaceDE/>
                    <w:autoSpaceDN/>
                    <w:bidi w:val="0"/>
                    <w:adjustRightInd/>
                    <w:snapToGrid/>
                    <w:spacing w:line="300" w:lineRule="exact"/>
                    <w:jc w:val="center"/>
                    <w:textAlignment w:val="auto"/>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N：32°45′55.294″</w:t>
                  </w:r>
                </w:p>
              </w:tc>
            </w:tr>
          </w:tbl>
          <w:p w14:paraId="52A2E648">
            <w:pPr>
              <w:pStyle w:val="3"/>
              <w:ind w:firstLine="480"/>
              <w:rPr>
                <w:rFonts w:eastAsia="宋体"/>
                <w:color w:val="auto"/>
                <w:highlight w:val="none"/>
              </w:rPr>
            </w:pPr>
            <w:r>
              <w:rPr>
                <w:rFonts w:hint="eastAsia" w:eastAsia="宋体"/>
                <w:color w:val="auto"/>
                <w:highlight w:val="none"/>
                <w:lang w:val="en-US" w:eastAsia="zh-CN"/>
              </w:rPr>
              <w:t>地理位置详</w:t>
            </w:r>
            <w:r>
              <w:rPr>
                <w:rFonts w:hint="eastAsia" w:eastAsia="宋体"/>
                <w:color w:val="auto"/>
                <w:highlight w:val="none"/>
              </w:rPr>
              <w:t>见附图1。</w:t>
            </w:r>
          </w:p>
          <w:p w14:paraId="02E28EC1">
            <w:pPr>
              <w:pStyle w:val="3"/>
              <w:ind w:firstLine="480"/>
              <w:jc w:val="both"/>
              <w:rPr>
                <w:rFonts w:eastAsia="宋体"/>
                <w:color w:val="auto"/>
                <w:highlight w:val="none"/>
              </w:rPr>
            </w:pPr>
            <w:r>
              <w:rPr>
                <w:rFonts w:hint="eastAsia" w:eastAsia="宋体"/>
                <w:color w:val="auto"/>
                <w:highlight w:val="none"/>
              </w:rPr>
              <w:t>根据现场勘查，建设地点四周均为农田</w:t>
            </w:r>
            <w:r>
              <w:rPr>
                <w:rFonts w:hint="eastAsia"/>
                <w:color w:val="auto"/>
                <w:highlight w:val="none"/>
                <w:lang w:eastAsia="zh-CN"/>
              </w:rPr>
              <w:t>。</w:t>
            </w:r>
            <w:r>
              <w:rPr>
                <w:rFonts w:hint="eastAsia" w:ascii="Times New Roman" w:hAnsi="Times New Roman" w:eastAsia="宋体" w:cs="Times New Roman"/>
                <w:color w:val="auto"/>
                <w:highlight w:val="none"/>
                <w:lang w:eastAsia="zh-CN"/>
              </w:rPr>
              <w:t>距离</w:t>
            </w:r>
            <w:r>
              <w:rPr>
                <w:rFonts w:hint="eastAsia" w:eastAsia="宋体" w:cs="Times New Roman"/>
                <w:color w:val="auto"/>
                <w:highlight w:val="none"/>
                <w:lang w:val="en-US" w:eastAsia="zh-CN"/>
              </w:rPr>
              <w:t>沙105斜井场</w:t>
            </w:r>
            <w:r>
              <w:rPr>
                <w:rFonts w:hint="eastAsia" w:ascii="Times New Roman" w:hAnsi="Times New Roman" w:eastAsia="宋体" w:cs="Times New Roman"/>
                <w:color w:val="auto"/>
                <w:highlight w:val="none"/>
                <w:lang w:eastAsia="zh-CN"/>
              </w:rPr>
              <w:t>最近的居民</w:t>
            </w:r>
            <w:r>
              <w:rPr>
                <w:rFonts w:hint="eastAsia" w:ascii="Times New Roman" w:hAnsi="Times New Roman" w:eastAsia="宋体" w:cs="Times New Roman"/>
                <w:color w:val="auto"/>
                <w:highlight w:val="none"/>
                <w:lang w:val="en-US" w:eastAsia="zh-CN"/>
              </w:rPr>
              <w:t>区</w:t>
            </w:r>
            <w:r>
              <w:rPr>
                <w:rFonts w:hint="eastAsia" w:ascii="Times New Roman" w:hAnsi="Times New Roman" w:eastAsia="宋体" w:cs="Times New Roman"/>
                <w:color w:val="auto"/>
                <w:highlight w:val="none"/>
                <w:lang w:eastAsia="zh-CN"/>
              </w:rPr>
              <w:t>为</w:t>
            </w:r>
            <w:r>
              <w:rPr>
                <w:rFonts w:hint="eastAsia" w:ascii="Times New Roman" w:hAnsi="Times New Roman" w:eastAsia="宋体" w:cs="Times New Roman"/>
                <w:color w:val="auto"/>
                <w:highlight w:val="none"/>
                <w:lang w:val="en-US" w:eastAsia="zh-CN"/>
              </w:rPr>
              <w:t>项目</w:t>
            </w:r>
            <w:r>
              <w:rPr>
                <w:rFonts w:hint="eastAsia" w:eastAsia="宋体" w:cs="Times New Roman"/>
                <w:color w:val="auto"/>
                <w:highlight w:val="none"/>
                <w:lang w:val="en-US" w:eastAsia="zh-CN"/>
              </w:rPr>
              <w:t>北</w:t>
            </w:r>
            <w:r>
              <w:rPr>
                <w:rFonts w:hint="eastAsia" w:ascii="Times New Roman" w:hAnsi="Times New Roman" w:eastAsia="宋体" w:cs="Times New Roman"/>
                <w:color w:val="auto"/>
                <w:highlight w:val="none"/>
                <w:lang w:eastAsia="zh-CN"/>
              </w:rPr>
              <w:t>侧</w:t>
            </w:r>
            <w:r>
              <w:rPr>
                <w:rFonts w:hint="eastAsia" w:ascii="Times New Roman" w:hAnsi="Times New Roman" w:eastAsia="宋体" w:cs="Times New Roman"/>
                <w:color w:val="auto"/>
                <w:highlight w:val="none"/>
                <w:lang w:val="en-US" w:eastAsia="zh-CN"/>
              </w:rPr>
              <w:t>的</w:t>
            </w:r>
            <w:r>
              <w:rPr>
                <w:rFonts w:hint="eastAsia" w:eastAsia="宋体" w:cs="Times New Roman"/>
                <w:color w:val="auto"/>
                <w:highlight w:val="none"/>
                <w:lang w:val="en-US" w:eastAsia="zh-CN"/>
              </w:rPr>
              <w:t>双屏村四组</w:t>
            </w:r>
            <w:r>
              <w:rPr>
                <w:rFonts w:hint="eastAsia" w:eastAsia="宋体"/>
                <w:color w:val="auto"/>
                <w:highlight w:val="none"/>
                <w:lang w:eastAsia="zh-CN"/>
              </w:rPr>
              <w:t>，约</w:t>
            </w:r>
            <w:r>
              <w:rPr>
                <w:rFonts w:hint="eastAsia" w:eastAsia="宋体"/>
                <w:color w:val="auto"/>
                <w:highlight w:val="none"/>
                <w:lang w:val="en-US" w:eastAsia="zh-CN"/>
              </w:rPr>
              <w:t>111.77</w:t>
            </w:r>
            <w:r>
              <w:rPr>
                <w:rFonts w:hint="eastAsia" w:eastAsia="宋体"/>
                <w:color w:val="auto"/>
                <w:highlight w:val="none"/>
                <w:lang w:eastAsia="zh-CN"/>
              </w:rPr>
              <w:t>m。</w:t>
            </w:r>
            <w:r>
              <w:rPr>
                <w:rFonts w:hint="eastAsia" w:ascii="Times New Roman" w:hAnsi="Times New Roman" w:eastAsia="宋体" w:cs="Times New Roman"/>
                <w:color w:val="FF0000"/>
                <w:highlight w:val="none"/>
                <w:lang w:eastAsia="zh-CN"/>
              </w:rPr>
              <w:t>距离</w:t>
            </w:r>
            <w:r>
              <w:rPr>
                <w:rFonts w:hint="eastAsia" w:eastAsia="宋体" w:cs="Times New Roman"/>
                <w:color w:val="FF0000"/>
                <w:highlight w:val="none"/>
                <w:lang w:val="en-US" w:eastAsia="zh-CN"/>
              </w:rPr>
              <w:t>沙86斜井场</w:t>
            </w:r>
            <w:r>
              <w:rPr>
                <w:rFonts w:hint="eastAsia" w:ascii="Times New Roman" w:hAnsi="Times New Roman" w:eastAsia="宋体" w:cs="Times New Roman"/>
                <w:color w:val="FF0000"/>
                <w:highlight w:val="none"/>
                <w:lang w:eastAsia="zh-CN"/>
              </w:rPr>
              <w:t>最近的居民</w:t>
            </w:r>
            <w:r>
              <w:rPr>
                <w:rFonts w:hint="eastAsia" w:ascii="Times New Roman" w:hAnsi="Times New Roman" w:eastAsia="宋体" w:cs="Times New Roman"/>
                <w:color w:val="FF0000"/>
                <w:highlight w:val="none"/>
                <w:lang w:val="en-US" w:eastAsia="zh-CN"/>
              </w:rPr>
              <w:t>区</w:t>
            </w:r>
            <w:r>
              <w:rPr>
                <w:rFonts w:hint="eastAsia" w:ascii="Times New Roman" w:hAnsi="Times New Roman" w:eastAsia="宋体" w:cs="Times New Roman"/>
                <w:color w:val="FF0000"/>
                <w:highlight w:val="none"/>
                <w:lang w:eastAsia="zh-CN"/>
              </w:rPr>
              <w:t>为</w:t>
            </w:r>
            <w:r>
              <w:rPr>
                <w:rFonts w:hint="eastAsia" w:ascii="Times New Roman" w:hAnsi="Times New Roman" w:eastAsia="宋体" w:cs="Times New Roman"/>
                <w:color w:val="FF0000"/>
                <w:highlight w:val="none"/>
                <w:lang w:val="en-US" w:eastAsia="zh-CN"/>
              </w:rPr>
              <w:t>项目</w:t>
            </w:r>
            <w:r>
              <w:rPr>
                <w:rFonts w:hint="eastAsia" w:eastAsia="宋体" w:cs="Times New Roman"/>
                <w:color w:val="FF0000"/>
                <w:highlight w:val="none"/>
                <w:lang w:val="en-US" w:eastAsia="zh-CN"/>
              </w:rPr>
              <w:t>北</w:t>
            </w:r>
            <w:r>
              <w:rPr>
                <w:rFonts w:hint="eastAsia" w:ascii="Times New Roman" w:hAnsi="Times New Roman" w:eastAsia="宋体" w:cs="Times New Roman"/>
                <w:color w:val="FF0000"/>
                <w:highlight w:val="none"/>
                <w:lang w:eastAsia="zh-CN"/>
              </w:rPr>
              <w:t>侧</w:t>
            </w:r>
            <w:r>
              <w:rPr>
                <w:rFonts w:hint="eastAsia" w:ascii="Times New Roman" w:hAnsi="Times New Roman" w:eastAsia="宋体" w:cs="Times New Roman"/>
                <w:color w:val="FF0000"/>
                <w:highlight w:val="none"/>
                <w:lang w:val="en-US" w:eastAsia="zh-CN"/>
              </w:rPr>
              <w:t>的</w:t>
            </w:r>
            <w:r>
              <w:rPr>
                <w:rFonts w:hint="eastAsia" w:eastAsia="宋体" w:cs="Times New Roman"/>
                <w:color w:val="FF0000"/>
                <w:highlight w:val="none"/>
                <w:lang w:val="en-US" w:eastAsia="zh-CN"/>
              </w:rPr>
              <w:t>余家庄</w:t>
            </w:r>
            <w:r>
              <w:rPr>
                <w:rFonts w:hint="eastAsia" w:eastAsia="宋体"/>
                <w:color w:val="FF0000"/>
                <w:highlight w:val="none"/>
                <w:lang w:eastAsia="zh-CN"/>
              </w:rPr>
              <w:t>，约</w:t>
            </w:r>
            <w:r>
              <w:rPr>
                <w:rFonts w:hint="eastAsia" w:eastAsia="宋体"/>
                <w:color w:val="FF0000"/>
                <w:highlight w:val="none"/>
                <w:lang w:val="en-US" w:eastAsia="zh-CN"/>
              </w:rPr>
              <w:t>69.20</w:t>
            </w:r>
            <w:r>
              <w:rPr>
                <w:rFonts w:hint="eastAsia" w:eastAsia="宋体"/>
                <w:color w:val="FF0000"/>
                <w:highlight w:val="none"/>
                <w:lang w:eastAsia="zh-CN"/>
              </w:rPr>
              <w:t>m。</w:t>
            </w:r>
          </w:p>
        </w:tc>
      </w:tr>
      <w:tr w14:paraId="4ACB88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37" w:hRule="atLeast"/>
        </w:trPr>
        <w:tc>
          <w:tcPr>
            <w:tcW w:w="373" w:type="pct"/>
            <w:vAlign w:val="center"/>
          </w:tcPr>
          <w:p w14:paraId="6783CE95">
            <w:pPr>
              <w:adjustRightInd w:val="0"/>
              <w:snapToGrid w:val="0"/>
              <w:jc w:val="center"/>
              <w:rPr>
                <w:rFonts w:eastAsia="宋体"/>
                <w:color w:val="auto"/>
                <w:kern w:val="0"/>
                <w:sz w:val="24"/>
              </w:rPr>
            </w:pPr>
            <w:r>
              <w:rPr>
                <w:rFonts w:eastAsia="宋体"/>
                <w:color w:val="auto"/>
                <w:kern w:val="0"/>
                <w:sz w:val="24"/>
              </w:rPr>
              <w:t>项目组成及规模</w:t>
            </w:r>
          </w:p>
        </w:tc>
        <w:tc>
          <w:tcPr>
            <w:tcW w:w="4626" w:type="pct"/>
          </w:tcPr>
          <w:p w14:paraId="23E99B4F">
            <w:pPr>
              <w:pStyle w:val="2"/>
              <w:ind w:firstLine="482" w:firstLineChars="200"/>
              <w:rPr>
                <w:rFonts w:hint="eastAsia" w:eastAsia="宋体"/>
                <w:color w:val="auto"/>
              </w:rPr>
            </w:pPr>
            <w:r>
              <w:rPr>
                <w:rFonts w:hint="eastAsia" w:eastAsia="宋体"/>
                <w:color w:val="auto"/>
              </w:rPr>
              <w:t>1、项目基本情况</w:t>
            </w:r>
          </w:p>
          <w:p w14:paraId="22CDBE65">
            <w:pPr>
              <w:pStyle w:val="2"/>
              <w:ind w:firstLine="480" w:firstLineChars="200"/>
              <w:rPr>
                <w:rFonts w:hint="eastAsia" w:eastAsia="宋体"/>
                <w:b w:val="0"/>
                <w:bCs/>
                <w:color w:val="auto"/>
              </w:rPr>
            </w:pPr>
            <w:r>
              <w:rPr>
                <w:rFonts w:hint="eastAsia" w:ascii="Times New Roman" w:hAnsi="Times New Roman" w:eastAsia="宋体" w:cs="Times New Roman"/>
                <w:b w:val="0"/>
                <w:bCs/>
                <w:color w:val="auto"/>
                <w:sz w:val="24"/>
              </w:rPr>
              <w:t>江苏油田</w:t>
            </w:r>
            <w:r>
              <w:rPr>
                <w:rFonts w:hint="eastAsia" w:ascii="Times New Roman" w:hAnsi="Times New Roman" w:eastAsia="宋体" w:cs="Times New Roman"/>
                <w:b w:val="0"/>
                <w:bCs/>
                <w:color w:val="auto"/>
                <w:sz w:val="24"/>
                <w:lang w:eastAsia="zh-CN"/>
              </w:rPr>
              <w:t>成立于</w:t>
            </w:r>
            <w:r>
              <w:rPr>
                <w:rFonts w:hint="eastAsia" w:ascii="Times New Roman" w:hAnsi="Times New Roman" w:eastAsia="宋体" w:cs="Times New Roman"/>
                <w:b w:val="0"/>
                <w:bCs/>
                <w:color w:val="auto"/>
                <w:sz w:val="24"/>
                <w:lang w:val="en-US" w:eastAsia="zh-CN"/>
              </w:rPr>
              <w:t>1975年，隶属于</w:t>
            </w:r>
            <w:r>
              <w:rPr>
                <w:rFonts w:hint="eastAsia" w:ascii="Times New Roman" w:hAnsi="Times New Roman" w:eastAsia="宋体" w:cs="Times New Roman"/>
                <w:b w:val="0"/>
                <w:bCs/>
                <w:color w:val="auto"/>
                <w:sz w:val="24"/>
              </w:rPr>
              <w:t>中国石油化工股份有限公司</w:t>
            </w:r>
            <w:r>
              <w:rPr>
                <w:rFonts w:hint="eastAsia"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rPr>
              <w:t>是以油气勘探开发销售为主</w:t>
            </w:r>
            <w:r>
              <w:rPr>
                <w:rFonts w:hint="eastAsia" w:ascii="Times New Roman" w:hAnsi="Times New Roman" w:eastAsia="宋体" w:cs="Times New Roman"/>
                <w:b w:val="0"/>
                <w:bCs/>
                <w:color w:val="auto"/>
                <w:sz w:val="24"/>
                <w:lang w:eastAsia="zh-CN"/>
              </w:rPr>
              <w:t>的</w:t>
            </w:r>
            <w:r>
              <w:rPr>
                <w:rFonts w:hint="eastAsia" w:ascii="Times New Roman" w:hAnsi="Times New Roman" w:eastAsia="宋体" w:cs="Times New Roman"/>
                <w:b w:val="0"/>
                <w:bCs/>
                <w:color w:val="auto"/>
                <w:sz w:val="24"/>
              </w:rPr>
              <w:t>国有大一型企业</w:t>
            </w:r>
            <w:r>
              <w:rPr>
                <w:rFonts w:hint="eastAsia" w:eastAsia="宋体" w:cs="Times New Roman"/>
                <w:b w:val="0"/>
                <w:bCs/>
                <w:color w:val="auto"/>
                <w:sz w:val="24"/>
                <w:lang w:eastAsia="zh-CN"/>
              </w:rPr>
              <w:t>，</w:t>
            </w:r>
            <w:r>
              <w:rPr>
                <w:rFonts w:hint="eastAsia" w:eastAsia="宋体" w:cs="Times New Roman"/>
                <w:b w:val="0"/>
                <w:bCs/>
                <w:color w:val="auto"/>
                <w:sz w:val="24"/>
                <w:lang w:val="en-US" w:eastAsia="zh-CN"/>
              </w:rPr>
              <w:t>是中国石油化工集团有限公司下属子公司</w:t>
            </w:r>
            <w:r>
              <w:rPr>
                <w:rFonts w:hint="eastAsia" w:ascii="Times New Roman" w:hAnsi="Times New Roman" w:eastAsia="宋体" w:cs="Times New Roman"/>
                <w:b w:val="0"/>
                <w:bCs/>
                <w:color w:val="auto"/>
                <w:sz w:val="24"/>
              </w:rPr>
              <w:t>。</w:t>
            </w:r>
            <w:r>
              <w:rPr>
                <w:rFonts w:hint="eastAsia" w:ascii="Times New Roman" w:hAnsi="Times New Roman" w:eastAsia="宋体" w:cs="Times New Roman"/>
                <w:b w:val="0"/>
                <w:bCs/>
                <w:color w:val="auto"/>
                <w:sz w:val="24"/>
                <w:lang w:eastAsia="zh-CN"/>
              </w:rPr>
              <w:t>江苏油田采油区主要分布在江苏（扬州、淮安、泰州、盐城、南通）、安徽（天长）、广东（徐闻）、广西（百色）等</w:t>
            </w:r>
            <w:r>
              <w:rPr>
                <w:rFonts w:hint="eastAsia" w:ascii="Times New Roman" w:hAnsi="Times New Roman" w:eastAsia="宋体" w:cs="Times New Roman"/>
                <w:b w:val="0"/>
                <w:bCs/>
                <w:color w:val="auto"/>
                <w:sz w:val="24"/>
                <w:lang w:val="en-US" w:eastAsia="zh-CN"/>
              </w:rPr>
              <w:t>4个省8个地市，管理上分为采油一厂</w:t>
            </w:r>
            <w:r>
              <w:rPr>
                <w:rFonts w:hint="eastAsia" w:eastAsia="宋体"/>
                <w:b w:val="0"/>
                <w:bCs/>
                <w:color w:val="auto"/>
              </w:rPr>
              <w:t>（厂部扬州市江都真武镇）</w:t>
            </w:r>
            <w:r>
              <w:rPr>
                <w:rFonts w:hint="eastAsia" w:ascii="Times New Roman" w:hAnsi="Times New Roman" w:eastAsia="宋体" w:cs="Times New Roman"/>
                <w:b w:val="0"/>
                <w:bCs/>
                <w:color w:val="auto"/>
                <w:sz w:val="24"/>
                <w:lang w:val="en-US" w:eastAsia="zh-CN"/>
              </w:rPr>
              <w:t>和采油二厂</w:t>
            </w:r>
            <w:r>
              <w:rPr>
                <w:rFonts w:hint="eastAsia" w:eastAsia="宋体"/>
                <w:b w:val="0"/>
                <w:bCs/>
                <w:color w:val="auto"/>
              </w:rPr>
              <w:t>（厂部淮安市金湖县）</w:t>
            </w:r>
            <w:r>
              <w:rPr>
                <w:rFonts w:hint="eastAsia" w:ascii="Times New Roman" w:hAnsi="Times New Roman" w:eastAsia="宋体" w:cs="Times New Roman"/>
                <w:b w:val="0"/>
                <w:bCs/>
                <w:color w:val="auto"/>
                <w:sz w:val="24"/>
                <w:lang w:val="en-US" w:eastAsia="zh-CN"/>
              </w:rPr>
              <w:t>。目前江苏油田</w:t>
            </w:r>
            <w:r>
              <w:rPr>
                <w:rFonts w:hint="eastAsia" w:eastAsia="宋体"/>
                <w:b w:val="0"/>
                <w:bCs/>
                <w:color w:val="auto"/>
              </w:rPr>
              <w:t>油气当量已连续十年稳定在100万吨以上。</w:t>
            </w:r>
          </w:p>
          <w:p w14:paraId="523D759D">
            <w:pPr>
              <w:pStyle w:val="19"/>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b w:val="0"/>
                <w:color w:val="auto"/>
                <w:kern w:val="0"/>
                <w:sz w:val="24"/>
                <w:szCs w:val="24"/>
                <w:highlight w:val="none"/>
                <w:lang w:val="en-US" w:eastAsia="zh-CN" w:bidi="ar-SA"/>
              </w:rPr>
            </w:pPr>
            <w:r>
              <w:rPr>
                <w:rFonts w:hint="eastAsia" w:ascii="Times New Roman" w:hAnsi="Times New Roman" w:eastAsia="宋体" w:cs="Times New Roman"/>
                <w:b w:val="0"/>
                <w:color w:val="auto"/>
                <w:kern w:val="0"/>
                <w:sz w:val="24"/>
                <w:szCs w:val="24"/>
                <w:highlight w:val="none"/>
                <w:lang w:val="en-US" w:eastAsia="zh-CN" w:bidi="ar-SA"/>
              </w:rPr>
              <w:t>中国石油化工股份有限公司于2022年6月获批江苏苏北盆地高邮-盐城地区油气探矿权（详见附件</w:t>
            </w:r>
            <w:r>
              <w:rPr>
                <w:rFonts w:hint="eastAsia" w:ascii="Times New Roman" w:cs="Times New Roman"/>
                <w:b w:val="0"/>
                <w:color w:val="auto"/>
                <w:kern w:val="0"/>
                <w:sz w:val="24"/>
                <w:szCs w:val="24"/>
                <w:highlight w:val="none"/>
                <w:lang w:val="en-US" w:eastAsia="zh-CN" w:bidi="ar-SA"/>
              </w:rPr>
              <w:t>4</w:t>
            </w:r>
            <w:r>
              <w:rPr>
                <w:rFonts w:hint="eastAsia" w:ascii="Times New Roman" w:hAnsi="Times New Roman" w:eastAsia="宋体" w:cs="Times New Roman"/>
                <w:b w:val="0"/>
                <w:color w:val="auto"/>
                <w:kern w:val="0"/>
                <w:sz w:val="24"/>
                <w:szCs w:val="24"/>
                <w:highlight w:val="none"/>
                <w:lang w:val="en-US" w:eastAsia="zh-CN" w:bidi="ar-SA"/>
              </w:rPr>
              <w:t>），开展油气勘探开发，地理位置包括江苏省扬州市、高邮市、江都区、泰州市、兴化市、盐城市、安徽省滁州市。现为进一步探索矿权范围内含油性及油气富集规律，由中国石油化工股份有限公司下属单位—中国石油化工股份有限公司江苏油田分公司拟在</w:t>
            </w:r>
            <w:r>
              <w:rPr>
                <w:rFonts w:hint="eastAsia" w:ascii="Times New Roman" w:cs="Times New Roman"/>
                <w:b w:val="0"/>
                <w:color w:val="auto"/>
                <w:kern w:val="0"/>
                <w:sz w:val="24"/>
                <w:szCs w:val="24"/>
                <w:highlight w:val="none"/>
                <w:lang w:val="en-US" w:eastAsia="zh-CN" w:bidi="ar-SA"/>
              </w:rPr>
              <w:t>高邮市</w:t>
            </w:r>
            <w:r>
              <w:rPr>
                <w:rFonts w:hint="eastAsia" w:ascii="Times New Roman" w:hAnsi="Times New Roman" w:eastAsia="宋体" w:cs="Times New Roman"/>
                <w:b w:val="0"/>
                <w:color w:val="auto"/>
                <w:kern w:val="0"/>
                <w:sz w:val="24"/>
                <w:szCs w:val="24"/>
                <w:highlight w:val="none"/>
                <w:lang w:val="en-US" w:eastAsia="zh-CN" w:bidi="ar-SA"/>
              </w:rPr>
              <w:t>境内油气探矿权范围内新建</w:t>
            </w:r>
            <w:r>
              <w:rPr>
                <w:rFonts w:hint="eastAsia" w:ascii="Times New Roman" w:cs="Times New Roman"/>
                <w:b w:val="0"/>
                <w:color w:val="auto"/>
                <w:kern w:val="0"/>
                <w:sz w:val="24"/>
                <w:szCs w:val="24"/>
                <w:highlight w:val="none"/>
                <w:lang w:val="en-US" w:eastAsia="zh-CN" w:bidi="ar-SA"/>
              </w:rPr>
              <w:t>2</w:t>
            </w:r>
            <w:r>
              <w:rPr>
                <w:rFonts w:hint="eastAsia" w:ascii="Times New Roman" w:hAnsi="Times New Roman" w:eastAsia="宋体" w:cs="Times New Roman"/>
                <w:b w:val="0"/>
                <w:color w:val="auto"/>
                <w:kern w:val="0"/>
                <w:sz w:val="24"/>
                <w:szCs w:val="24"/>
                <w:highlight w:val="none"/>
                <w:lang w:val="en-US" w:eastAsia="zh-CN" w:bidi="ar-SA"/>
              </w:rPr>
              <w:t>处石油勘探井工程，以落实含油气盆地是否具有工业价值油气藏。本项目属于中国石油化工集团有限公司2024年在江苏省油气开发产能建设项目—江苏油田分公司江苏油区苏北盆地高邮凹陷新区产能建设项目的一部分（详见附件</w:t>
            </w:r>
            <w:r>
              <w:rPr>
                <w:rFonts w:hint="eastAsia" w:ascii="Times New Roman" w:cs="Times New Roman"/>
                <w:b w:val="0"/>
                <w:color w:val="auto"/>
                <w:kern w:val="0"/>
                <w:sz w:val="24"/>
                <w:szCs w:val="24"/>
                <w:highlight w:val="none"/>
                <w:lang w:val="en-US" w:eastAsia="zh-CN" w:bidi="ar-SA"/>
              </w:rPr>
              <w:t>3</w:t>
            </w:r>
            <w:r>
              <w:rPr>
                <w:rFonts w:hint="eastAsia" w:ascii="Times New Roman" w:hAnsi="Times New Roman" w:eastAsia="宋体" w:cs="Times New Roman"/>
                <w:b w:val="0"/>
                <w:color w:val="auto"/>
                <w:kern w:val="0"/>
                <w:sz w:val="24"/>
                <w:szCs w:val="24"/>
                <w:highlight w:val="none"/>
                <w:lang w:val="en-US" w:eastAsia="zh-CN" w:bidi="ar-SA"/>
              </w:rPr>
              <w:t>），不设永久占地设施，临时占地规模为</w:t>
            </w:r>
            <w:r>
              <w:rPr>
                <w:rFonts w:hint="eastAsia" w:ascii="Times New Roman" w:cs="Times New Roman"/>
                <w:b w:val="0"/>
                <w:color w:val="auto"/>
                <w:kern w:val="0"/>
                <w:sz w:val="24"/>
                <w:szCs w:val="24"/>
                <w:highlight w:val="none"/>
                <w:lang w:val="en-US" w:eastAsia="zh-CN" w:bidi="ar-SA"/>
              </w:rPr>
              <w:t>9860</w:t>
            </w:r>
            <w:r>
              <w:rPr>
                <w:rFonts w:hint="eastAsia" w:ascii="Times New Roman" w:hAnsi="Times New Roman" w:eastAsia="宋体" w:cs="Times New Roman"/>
                <w:b w:val="0"/>
                <w:color w:val="auto"/>
                <w:kern w:val="0"/>
                <w:sz w:val="24"/>
                <w:szCs w:val="24"/>
                <w:highlight w:val="none"/>
                <w:lang w:val="en-US" w:eastAsia="zh-CN" w:bidi="ar-SA"/>
              </w:rPr>
              <w:t>m</w:t>
            </w:r>
            <w:r>
              <w:rPr>
                <w:rFonts w:hint="eastAsia" w:ascii="Times New Roman" w:hAnsi="Times New Roman" w:eastAsia="宋体" w:cs="Times New Roman"/>
                <w:b w:val="0"/>
                <w:color w:val="auto"/>
                <w:kern w:val="0"/>
                <w:sz w:val="24"/>
                <w:szCs w:val="24"/>
                <w:highlight w:val="none"/>
                <w:vertAlign w:val="superscript"/>
                <w:lang w:val="en-US" w:eastAsia="zh-CN" w:bidi="ar-SA"/>
              </w:rPr>
              <w:t>2</w:t>
            </w:r>
            <w:r>
              <w:rPr>
                <w:rFonts w:hint="eastAsia" w:ascii="Times New Roman" w:hAnsi="Times New Roman" w:eastAsia="宋体" w:cs="Times New Roman"/>
                <w:b w:val="0"/>
                <w:color w:val="auto"/>
                <w:kern w:val="0"/>
                <w:sz w:val="24"/>
                <w:szCs w:val="24"/>
                <w:highlight w:val="none"/>
                <w:lang w:val="en-US" w:eastAsia="zh-CN" w:bidi="ar-SA"/>
              </w:rPr>
              <w:t>。</w:t>
            </w:r>
          </w:p>
          <w:p w14:paraId="04BEC77E">
            <w:pPr>
              <w:pStyle w:val="2"/>
              <w:ind w:firstLine="480" w:firstLineChars="200"/>
              <w:rPr>
                <w:rFonts w:hint="eastAsia" w:eastAsia="宋体"/>
                <w:b w:val="0"/>
                <w:bCs/>
                <w:color w:val="auto"/>
              </w:rPr>
            </w:pPr>
            <w:r>
              <w:rPr>
                <w:rFonts w:hint="eastAsia" w:eastAsia="宋体"/>
                <w:b w:val="0"/>
                <w:bCs/>
                <w:color w:val="auto"/>
              </w:rPr>
              <w:t>探井在钻井过程中通过钻井遇到不同油层</w:t>
            </w:r>
            <w:r>
              <w:rPr>
                <w:rFonts w:hint="default" w:ascii="Times New Roman" w:hAnsi="Times New Roman" w:eastAsia="宋体" w:cs="Times New Roman"/>
                <w:b w:val="0"/>
                <w:bCs/>
                <w:color w:val="auto"/>
              </w:rPr>
              <w:t>“</w:t>
            </w:r>
            <w:r>
              <w:rPr>
                <w:rFonts w:hint="eastAsia" w:eastAsia="宋体"/>
                <w:b w:val="0"/>
                <w:bCs/>
                <w:color w:val="auto"/>
              </w:rPr>
              <w:t>取岩芯</w:t>
            </w:r>
            <w:r>
              <w:rPr>
                <w:rFonts w:hint="default" w:ascii="Times New Roman" w:hAnsi="Times New Roman" w:eastAsia="宋体" w:cs="Times New Roman"/>
                <w:b w:val="0"/>
                <w:bCs/>
                <w:color w:val="auto"/>
              </w:rPr>
              <w:t>”</w:t>
            </w:r>
            <w:r>
              <w:rPr>
                <w:rFonts w:hint="eastAsia" w:eastAsia="宋体"/>
                <w:b w:val="0"/>
                <w:bCs/>
                <w:color w:val="auto"/>
              </w:rPr>
              <w:t>，通过分析化验初步确定该区域是否含有油气藏，若显示该地区可能赋存油气藏，则移交给试采公司进行试采。在试采时如未发现有工业价值的油、气藏，则永久封井；获得工业油气流的探井一般采取暂时封井或转为生产井。探井是否转为生产井后开展生产，为后期生产开发内容，不在本次评价范围内。</w:t>
            </w:r>
          </w:p>
          <w:p w14:paraId="75018587">
            <w:pPr>
              <w:pStyle w:val="2"/>
              <w:ind w:firstLine="480" w:firstLineChars="200"/>
              <w:rPr>
                <w:rFonts w:hint="eastAsia" w:eastAsia="宋体"/>
                <w:color w:val="auto"/>
              </w:rPr>
            </w:pPr>
            <w:r>
              <w:rPr>
                <w:rFonts w:hint="eastAsia" w:eastAsia="宋体"/>
                <w:b w:val="0"/>
                <w:bCs/>
                <w:color w:val="auto"/>
              </w:rPr>
              <w:t>根据《中华人民共和国环境保护法》、《中华人民共和国环境影响评价法》及《建设项目环境影响评价分类管理名录》（2021 年版），本项目属于</w:t>
            </w:r>
            <w:r>
              <w:rPr>
                <w:rFonts w:hint="default" w:ascii="Times New Roman" w:hAnsi="Times New Roman" w:eastAsia="宋体" w:cs="Times New Roman"/>
                <w:b w:val="0"/>
                <w:bCs/>
                <w:color w:val="auto"/>
              </w:rPr>
              <w:t>“</w:t>
            </w:r>
            <w:r>
              <w:rPr>
                <w:rFonts w:hint="eastAsia" w:eastAsia="宋体"/>
                <w:b w:val="0"/>
                <w:bCs/>
                <w:color w:val="auto"/>
              </w:rPr>
              <w:t>四十六、专业技术服务业 99 陆地矿产资源地质勘查（含油气资源勘探）；二氧化碳地质封存</w:t>
            </w:r>
            <w:r>
              <w:rPr>
                <w:rFonts w:hint="default" w:ascii="Times New Roman" w:hAnsi="Times New Roman" w:eastAsia="宋体" w:cs="Times New Roman"/>
                <w:b w:val="0"/>
                <w:bCs/>
                <w:color w:val="auto"/>
              </w:rPr>
              <w:t>”</w:t>
            </w:r>
            <w:r>
              <w:rPr>
                <w:rFonts w:hint="eastAsia" w:eastAsia="宋体"/>
                <w:b w:val="0"/>
                <w:bCs/>
                <w:color w:val="auto"/>
              </w:rPr>
              <w:t>，本项目应编制环境影响评价报告表。中国石油化工股份有限公司江苏油田分公司委托江苏</w:t>
            </w:r>
            <w:r>
              <w:rPr>
                <w:rFonts w:hint="eastAsia" w:eastAsia="宋体"/>
                <w:b w:val="0"/>
                <w:bCs/>
                <w:color w:val="auto"/>
                <w:lang w:val="en-US" w:eastAsia="zh-CN"/>
              </w:rPr>
              <w:t>卓环环保</w:t>
            </w:r>
            <w:r>
              <w:rPr>
                <w:rFonts w:hint="eastAsia" w:eastAsia="宋体"/>
                <w:b w:val="0"/>
                <w:bCs/>
                <w:color w:val="auto"/>
              </w:rPr>
              <w:t>科技有限公司对本项目进行环境影响评价工作</w:t>
            </w:r>
            <w:r>
              <w:rPr>
                <w:rFonts w:hint="eastAsia" w:eastAsia="宋体"/>
                <w:b w:val="0"/>
                <w:bCs/>
                <w:color w:val="auto"/>
                <w:lang w:eastAsia="zh-CN"/>
              </w:rPr>
              <w:t>。</w:t>
            </w:r>
          </w:p>
          <w:p w14:paraId="1B213FB0">
            <w:pPr>
              <w:pStyle w:val="2"/>
              <w:ind w:firstLine="482" w:firstLineChars="200"/>
              <w:rPr>
                <w:rFonts w:eastAsia="宋体"/>
                <w:color w:val="auto"/>
              </w:rPr>
            </w:pPr>
            <w:r>
              <w:rPr>
                <w:rFonts w:hint="eastAsia" w:eastAsia="宋体"/>
                <w:color w:val="auto"/>
                <w:lang w:val="en-US" w:eastAsia="zh-CN"/>
              </w:rPr>
              <w:t>2</w:t>
            </w:r>
            <w:r>
              <w:rPr>
                <w:rFonts w:hint="eastAsia" w:eastAsia="宋体"/>
                <w:color w:val="auto"/>
              </w:rPr>
              <w:t>、建设内容</w:t>
            </w:r>
          </w:p>
          <w:p w14:paraId="72A3A94D">
            <w:pPr>
              <w:pStyle w:val="3"/>
              <w:adjustRightInd w:val="0"/>
              <w:snapToGrid w:val="0"/>
              <w:ind w:firstLine="480"/>
              <w:rPr>
                <w:rFonts w:eastAsia="宋体"/>
                <w:color w:val="auto"/>
              </w:rPr>
            </w:pPr>
            <w:r>
              <w:rPr>
                <w:rFonts w:hint="eastAsia" w:eastAsia="宋体"/>
                <w:color w:val="auto"/>
              </w:rPr>
              <w:t>本项目位于</w:t>
            </w:r>
            <w:r>
              <w:rPr>
                <w:rFonts w:hint="eastAsia" w:eastAsia="宋体"/>
                <w:color w:val="auto"/>
                <w:lang w:val="en-US" w:eastAsia="zh-CN"/>
              </w:rPr>
              <w:t>扬州市</w:t>
            </w:r>
            <w:r>
              <w:rPr>
                <w:rFonts w:hint="eastAsia" w:eastAsia="宋体"/>
                <w:color w:val="auto"/>
                <w:highlight w:val="none"/>
                <w:lang w:val="en-US" w:eastAsia="zh-CN"/>
              </w:rPr>
              <w:t>高邮市</w:t>
            </w:r>
            <w:r>
              <w:rPr>
                <w:rFonts w:hint="eastAsia" w:ascii="Times New Roman" w:hAnsi="Times New Roman" w:eastAsia="宋体" w:cs="Times New Roman"/>
                <w:color w:val="auto"/>
                <w:highlight w:val="none"/>
                <w:lang w:val="en-US" w:eastAsia="zh-CN"/>
              </w:rPr>
              <w:t>汤庄镇</w:t>
            </w:r>
            <w:r>
              <w:rPr>
                <w:rFonts w:hint="eastAsia" w:eastAsia="宋体"/>
                <w:color w:val="auto"/>
                <w:highlight w:val="none"/>
                <w:lang w:val="en-US" w:eastAsia="zh-CN"/>
              </w:rPr>
              <w:t>，</w:t>
            </w:r>
            <w:r>
              <w:rPr>
                <w:rFonts w:hint="eastAsia" w:eastAsia="宋体"/>
                <w:color w:val="auto"/>
                <w:lang w:val="en-US" w:eastAsia="zh-CN"/>
              </w:rPr>
              <w:t>建设</w:t>
            </w:r>
            <w:r>
              <w:rPr>
                <w:rFonts w:hint="eastAsia" w:eastAsia="宋体"/>
                <w:color w:val="auto"/>
              </w:rPr>
              <w:t>预探井</w:t>
            </w:r>
            <w:r>
              <w:rPr>
                <w:rFonts w:hint="eastAsia" w:eastAsia="宋体"/>
                <w:color w:val="auto"/>
                <w:lang w:val="en-US" w:eastAsia="zh-CN"/>
              </w:rPr>
              <w:t>2</w:t>
            </w:r>
            <w:r>
              <w:rPr>
                <w:rFonts w:hint="eastAsia" w:eastAsia="宋体"/>
                <w:color w:val="auto"/>
              </w:rPr>
              <w:t>口，完钻后试采获取相关参数。</w:t>
            </w:r>
          </w:p>
          <w:p w14:paraId="6655F7A2">
            <w:pPr>
              <w:pStyle w:val="3"/>
              <w:adjustRightInd w:val="0"/>
              <w:snapToGrid w:val="0"/>
              <w:ind w:firstLine="480"/>
              <w:rPr>
                <w:rFonts w:eastAsia="宋体"/>
                <w:color w:val="auto"/>
              </w:rPr>
            </w:pPr>
            <w:r>
              <w:rPr>
                <w:rFonts w:hint="eastAsia" w:eastAsia="宋体"/>
                <w:color w:val="auto"/>
              </w:rPr>
              <w:t>勘探工程不含运营期，施工期主要包括钻前工程、钻井工程、完井工程、压裂、试采、井场</w:t>
            </w:r>
            <w:r>
              <w:rPr>
                <w:rFonts w:hint="eastAsia" w:eastAsia="宋体"/>
                <w:color w:val="auto"/>
                <w:lang w:val="en-US" w:eastAsia="zh-CN"/>
              </w:rPr>
              <w:t>处置恢复原貌</w:t>
            </w:r>
            <w:r>
              <w:rPr>
                <w:rFonts w:hint="eastAsia" w:eastAsia="宋体"/>
                <w:color w:val="auto"/>
              </w:rPr>
              <w:t>。后期若利用井场进行生产活动，需另行办理环保手续。本项目工程基本情况如下。</w:t>
            </w:r>
          </w:p>
          <w:p w14:paraId="66F102F9">
            <w:pPr>
              <w:pStyle w:val="16"/>
              <w:rPr>
                <w:rFonts w:eastAsia="宋体"/>
                <w:color w:val="auto"/>
              </w:rPr>
            </w:pPr>
            <w:r>
              <w:rPr>
                <w:rFonts w:hint="eastAsia" w:eastAsia="宋体"/>
                <w:color w:val="auto"/>
              </w:rPr>
              <w:t>表2-</w:t>
            </w:r>
            <w:r>
              <w:rPr>
                <w:rFonts w:hint="eastAsia" w:eastAsia="宋体"/>
                <w:color w:val="auto"/>
                <w:lang w:val="en-US" w:eastAsia="zh-CN"/>
              </w:rPr>
              <w:t>2</w:t>
            </w:r>
            <w:r>
              <w:rPr>
                <w:rFonts w:hint="eastAsia" w:eastAsia="宋体"/>
                <w:color w:val="auto"/>
              </w:rPr>
              <w:t xml:space="preserve">  拟建项目基本情况</w:t>
            </w:r>
          </w:p>
          <w:tbl>
            <w:tblPr>
              <w:tblStyle w:val="11"/>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3298"/>
              <w:gridCol w:w="3298"/>
            </w:tblGrid>
            <w:tr w14:paraId="028FA3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9" w:type="pct"/>
                  <w:tcBorders>
                    <w:tl2br w:val="nil"/>
                    <w:tr2bl w:val="nil"/>
                  </w:tcBorders>
                  <w:shd w:val="clear" w:color="auto" w:fill="auto"/>
                  <w:vAlign w:val="center"/>
                </w:tcPr>
                <w:p w14:paraId="594D9B3F">
                  <w:pPr>
                    <w:pStyle w:val="17"/>
                    <w:rPr>
                      <w:rFonts w:hint="eastAsia" w:eastAsia="宋体"/>
                      <w:b/>
                      <w:bCs/>
                      <w:color w:val="auto"/>
                      <w:lang w:eastAsia="zh-CN"/>
                    </w:rPr>
                  </w:pPr>
                  <w:r>
                    <w:rPr>
                      <w:rFonts w:hint="eastAsia" w:eastAsia="宋体"/>
                      <w:b/>
                      <w:bCs/>
                      <w:color w:val="auto"/>
                      <w:lang w:eastAsia="zh-CN"/>
                    </w:rPr>
                    <w:t>井场</w:t>
                  </w:r>
                </w:p>
              </w:tc>
              <w:tc>
                <w:tcPr>
                  <w:tcW w:w="2150" w:type="pct"/>
                  <w:tcBorders>
                    <w:tl2br w:val="nil"/>
                    <w:tr2bl w:val="nil"/>
                  </w:tcBorders>
                  <w:shd w:val="clear" w:color="auto" w:fill="auto"/>
                  <w:vAlign w:val="center"/>
                </w:tcPr>
                <w:p w14:paraId="560CFA29">
                  <w:pPr>
                    <w:pStyle w:val="17"/>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沙105斜井</w:t>
                  </w:r>
                </w:p>
              </w:tc>
              <w:tc>
                <w:tcPr>
                  <w:tcW w:w="2150" w:type="pct"/>
                  <w:tcBorders>
                    <w:tl2br w:val="nil"/>
                    <w:tr2bl w:val="nil"/>
                  </w:tcBorders>
                  <w:shd w:val="clear" w:color="auto" w:fill="auto"/>
                  <w:vAlign w:val="center"/>
                </w:tcPr>
                <w:p w14:paraId="4BE820AD">
                  <w:pPr>
                    <w:pStyle w:val="17"/>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沙86斜井</w:t>
                  </w:r>
                </w:p>
              </w:tc>
            </w:tr>
            <w:tr w14:paraId="01C4D4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9" w:type="pct"/>
                  <w:tcBorders>
                    <w:tl2br w:val="nil"/>
                    <w:tr2bl w:val="nil"/>
                  </w:tcBorders>
                  <w:shd w:val="clear" w:color="auto" w:fill="auto"/>
                  <w:vAlign w:val="center"/>
                </w:tcPr>
                <w:p w14:paraId="3899BE65">
                  <w:pPr>
                    <w:pStyle w:val="17"/>
                    <w:rPr>
                      <w:rFonts w:eastAsia="宋体"/>
                      <w:b/>
                      <w:bCs/>
                      <w:color w:val="auto"/>
                    </w:rPr>
                  </w:pPr>
                  <w:r>
                    <w:rPr>
                      <w:rFonts w:eastAsia="宋体"/>
                      <w:b/>
                      <w:bCs/>
                      <w:color w:val="auto"/>
                    </w:rPr>
                    <w:t>井号</w:t>
                  </w:r>
                </w:p>
              </w:tc>
              <w:tc>
                <w:tcPr>
                  <w:tcW w:w="2150" w:type="pct"/>
                  <w:tcBorders>
                    <w:tl2br w:val="nil"/>
                    <w:tr2bl w:val="nil"/>
                  </w:tcBorders>
                  <w:shd w:val="clear" w:color="auto" w:fill="auto"/>
                  <w:vAlign w:val="center"/>
                </w:tcPr>
                <w:p w14:paraId="6587C3C7">
                  <w:pPr>
                    <w:pStyle w:val="17"/>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沙105斜</w:t>
                  </w:r>
                </w:p>
              </w:tc>
              <w:tc>
                <w:tcPr>
                  <w:tcW w:w="2150" w:type="pct"/>
                  <w:tcBorders>
                    <w:tl2br w:val="nil"/>
                    <w:tr2bl w:val="nil"/>
                  </w:tcBorders>
                  <w:shd w:val="clear" w:color="auto" w:fill="auto"/>
                  <w:vAlign w:val="center"/>
                </w:tcPr>
                <w:p w14:paraId="3D73BF05">
                  <w:pPr>
                    <w:pStyle w:val="17"/>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沙86斜</w:t>
                  </w:r>
                </w:p>
              </w:tc>
            </w:tr>
            <w:tr w14:paraId="67E109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9" w:type="pct"/>
                  <w:tcBorders>
                    <w:tl2br w:val="nil"/>
                    <w:tr2bl w:val="nil"/>
                  </w:tcBorders>
                  <w:shd w:val="clear" w:color="auto" w:fill="auto"/>
                  <w:vAlign w:val="center"/>
                </w:tcPr>
                <w:p w14:paraId="19077D43">
                  <w:pPr>
                    <w:pStyle w:val="17"/>
                    <w:rPr>
                      <w:rFonts w:eastAsia="宋体"/>
                      <w:b/>
                      <w:bCs/>
                      <w:color w:val="auto"/>
                      <w:highlight w:val="none"/>
                    </w:rPr>
                  </w:pPr>
                  <w:r>
                    <w:rPr>
                      <w:rFonts w:hint="eastAsia" w:eastAsia="宋体"/>
                      <w:b/>
                      <w:bCs/>
                      <w:color w:val="auto"/>
                      <w:highlight w:val="none"/>
                    </w:rPr>
                    <w:t>井</w:t>
                  </w:r>
                  <w:r>
                    <w:rPr>
                      <w:rFonts w:hint="eastAsia" w:eastAsia="宋体"/>
                      <w:b/>
                      <w:bCs/>
                      <w:color w:val="auto"/>
                      <w:highlight w:val="none"/>
                      <w:lang w:eastAsia="zh-CN"/>
                    </w:rPr>
                    <w:t>场</w:t>
                  </w:r>
                  <w:r>
                    <w:rPr>
                      <w:rFonts w:hint="eastAsia" w:eastAsia="宋体"/>
                      <w:b/>
                      <w:bCs/>
                      <w:color w:val="auto"/>
                      <w:highlight w:val="none"/>
                    </w:rPr>
                    <w:t>坐标</w:t>
                  </w:r>
                </w:p>
              </w:tc>
              <w:tc>
                <w:tcPr>
                  <w:tcW w:w="2150" w:type="pct"/>
                  <w:tcBorders>
                    <w:tl2br w:val="nil"/>
                    <w:tr2bl w:val="nil"/>
                  </w:tcBorders>
                  <w:shd w:val="clear" w:color="auto" w:fill="auto"/>
                  <w:vAlign w:val="center"/>
                </w:tcPr>
                <w:p w14:paraId="3A8C1400">
                  <w:pPr>
                    <w:pStyle w:val="3"/>
                    <w:keepNext w:val="0"/>
                    <w:keepLines w:val="0"/>
                    <w:pageBreakBefore w:val="0"/>
                    <w:widowControl/>
                    <w:numPr>
                      <w:ilvl w:val="0"/>
                      <w:numId w:val="0"/>
                    </w:numPr>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119°46′10.25</w:t>
                  </w:r>
                  <w:r>
                    <w:rPr>
                      <w:rFonts w:hint="eastAsia" w:eastAsia="宋体" w:cs="Times New Roman"/>
                      <w:b w:val="0"/>
                      <w:bCs w:val="0"/>
                      <w:color w:val="auto"/>
                      <w:kern w:val="0"/>
                      <w:sz w:val="21"/>
                      <w:szCs w:val="21"/>
                      <w:lang w:val="en-US" w:eastAsia="zh-CN" w:bidi="ar-SA"/>
                    </w:rPr>
                    <w:t>0</w:t>
                  </w:r>
                  <w:r>
                    <w:rPr>
                      <w:rFonts w:hint="eastAsia" w:ascii="Times New Roman" w:hAnsi="Times New Roman" w:eastAsia="宋体" w:cs="Times New Roman"/>
                      <w:b w:val="0"/>
                      <w:bCs w:val="0"/>
                      <w:color w:val="auto"/>
                      <w:kern w:val="0"/>
                      <w:sz w:val="21"/>
                      <w:szCs w:val="21"/>
                      <w:lang w:val="en-US" w:eastAsia="zh-CN" w:bidi="ar-SA"/>
                    </w:rPr>
                    <w:t>″</w:t>
                  </w:r>
                </w:p>
                <w:p w14:paraId="79B1395D">
                  <w:pPr>
                    <w:jc w:val="center"/>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32°45′46.16</w:t>
                  </w:r>
                  <w:r>
                    <w:rPr>
                      <w:rFonts w:hint="eastAsia" w:cs="Times New Roman"/>
                      <w:b w:val="0"/>
                      <w:bCs w:val="0"/>
                      <w:color w:val="auto"/>
                      <w:kern w:val="0"/>
                      <w:sz w:val="21"/>
                      <w:szCs w:val="21"/>
                      <w:lang w:val="en-US" w:eastAsia="zh-CN" w:bidi="ar-SA"/>
                    </w:rPr>
                    <w:t>0</w:t>
                  </w:r>
                  <w:r>
                    <w:rPr>
                      <w:rFonts w:hint="eastAsia" w:ascii="Times New Roman" w:hAnsi="Times New Roman" w:eastAsia="宋体" w:cs="Times New Roman"/>
                      <w:b w:val="0"/>
                      <w:bCs w:val="0"/>
                      <w:color w:val="auto"/>
                      <w:kern w:val="0"/>
                      <w:sz w:val="21"/>
                      <w:szCs w:val="21"/>
                      <w:lang w:val="en-US" w:eastAsia="zh-CN" w:bidi="ar-SA"/>
                    </w:rPr>
                    <w:t>″</w:t>
                  </w:r>
                </w:p>
              </w:tc>
              <w:tc>
                <w:tcPr>
                  <w:tcW w:w="2150" w:type="pct"/>
                  <w:tcBorders>
                    <w:tl2br w:val="nil"/>
                    <w:tr2bl w:val="nil"/>
                  </w:tcBorders>
                  <w:shd w:val="clear" w:color="auto" w:fill="auto"/>
                  <w:vAlign w:val="center"/>
                </w:tcPr>
                <w:p w14:paraId="1AFB51E0">
                  <w:pPr>
                    <w:pStyle w:val="3"/>
                    <w:keepNext w:val="0"/>
                    <w:keepLines w:val="0"/>
                    <w:pageBreakBefore w:val="0"/>
                    <w:widowControl/>
                    <w:numPr>
                      <w:ilvl w:val="0"/>
                      <w:numId w:val="0"/>
                    </w:numPr>
                    <w:kinsoku/>
                    <w:wordWrap/>
                    <w:overflowPunct/>
                    <w:topLinePunct w:val="0"/>
                    <w:autoSpaceDE/>
                    <w:autoSpaceDN/>
                    <w:bidi w:val="0"/>
                    <w:adjustRightInd/>
                    <w:snapToGrid/>
                    <w:spacing w:line="300" w:lineRule="exact"/>
                    <w:jc w:val="center"/>
                    <w:textAlignment w:val="auto"/>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119°40′48.113″</w:t>
                  </w:r>
                </w:p>
                <w:p w14:paraId="5D4FBEEC">
                  <w:pPr>
                    <w:jc w:val="center"/>
                    <w:rPr>
                      <w:rFonts w:hint="default" w:ascii="Times New Roman" w:hAnsi="Times New Roman" w:eastAsia="宋体" w:cs="Times New Roman"/>
                      <w:b w:val="0"/>
                      <w:bCs w:val="0"/>
                      <w:color w:val="auto"/>
                      <w:kern w:val="0"/>
                      <w:sz w:val="21"/>
                      <w:szCs w:val="21"/>
                      <w:lang w:val="en-US" w:eastAsia="zh-CN" w:bidi="ar-SA"/>
                    </w:rPr>
                  </w:pPr>
                  <w:r>
                    <w:rPr>
                      <w:rFonts w:hint="eastAsia" w:eastAsia="宋体"/>
                      <w:color w:val="auto"/>
                      <w:sz w:val="21"/>
                      <w:szCs w:val="21"/>
                      <w:highlight w:val="none"/>
                      <w:lang w:val="en-US" w:eastAsia="zh-CN"/>
                    </w:rPr>
                    <w:t>32°45′55.294″</w:t>
                  </w:r>
                </w:p>
              </w:tc>
            </w:tr>
            <w:tr w14:paraId="4F8EBF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9" w:type="pct"/>
                  <w:tcBorders>
                    <w:tl2br w:val="nil"/>
                    <w:tr2bl w:val="nil"/>
                  </w:tcBorders>
                  <w:shd w:val="clear" w:color="auto" w:fill="auto"/>
                  <w:vAlign w:val="center"/>
                </w:tcPr>
                <w:p w14:paraId="3573DAB4">
                  <w:pPr>
                    <w:pStyle w:val="17"/>
                    <w:rPr>
                      <w:rFonts w:eastAsia="宋体"/>
                      <w:b/>
                      <w:bCs/>
                      <w:color w:val="auto"/>
                    </w:rPr>
                  </w:pPr>
                  <w:r>
                    <w:rPr>
                      <w:rFonts w:eastAsia="宋体"/>
                      <w:b/>
                      <w:bCs/>
                      <w:color w:val="auto"/>
                    </w:rPr>
                    <w:t>井别</w:t>
                  </w:r>
                </w:p>
              </w:tc>
              <w:tc>
                <w:tcPr>
                  <w:tcW w:w="2150" w:type="pct"/>
                  <w:tcBorders>
                    <w:tl2br w:val="nil"/>
                    <w:tr2bl w:val="nil"/>
                  </w:tcBorders>
                  <w:shd w:val="clear" w:color="auto" w:fill="auto"/>
                  <w:vAlign w:val="center"/>
                </w:tcPr>
                <w:p w14:paraId="7760666B">
                  <w:pPr>
                    <w:pStyle w:val="17"/>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勘探评价井</w:t>
                  </w:r>
                </w:p>
              </w:tc>
              <w:tc>
                <w:tcPr>
                  <w:tcW w:w="3298" w:type="dxa"/>
                  <w:tcBorders>
                    <w:tl2br w:val="nil"/>
                    <w:tr2bl w:val="nil"/>
                  </w:tcBorders>
                  <w:shd w:val="clear" w:color="auto" w:fill="auto"/>
                  <w:vAlign w:val="center"/>
                </w:tcPr>
                <w:p w14:paraId="5C805AD9">
                  <w:pPr>
                    <w:pStyle w:val="17"/>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预探井</w:t>
                  </w:r>
                </w:p>
              </w:tc>
            </w:tr>
            <w:tr w14:paraId="304DCC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9" w:type="pct"/>
                  <w:tcBorders>
                    <w:tl2br w:val="nil"/>
                    <w:tr2bl w:val="nil"/>
                  </w:tcBorders>
                  <w:shd w:val="clear" w:color="auto" w:fill="auto"/>
                  <w:vAlign w:val="center"/>
                </w:tcPr>
                <w:p w14:paraId="4E29B52C">
                  <w:pPr>
                    <w:pStyle w:val="17"/>
                    <w:rPr>
                      <w:rFonts w:hint="eastAsia" w:eastAsia="宋体"/>
                      <w:b/>
                      <w:bCs/>
                      <w:color w:val="auto"/>
                      <w:lang w:eastAsia="zh-CN"/>
                    </w:rPr>
                  </w:pPr>
                  <w:r>
                    <w:rPr>
                      <w:rFonts w:hint="eastAsia" w:eastAsia="宋体"/>
                      <w:b/>
                      <w:bCs/>
                      <w:color w:val="auto"/>
                      <w:lang w:eastAsia="zh-CN"/>
                    </w:rPr>
                    <w:t>井型</w:t>
                  </w:r>
                </w:p>
              </w:tc>
              <w:tc>
                <w:tcPr>
                  <w:tcW w:w="2150" w:type="pct"/>
                  <w:tcBorders>
                    <w:tl2br w:val="nil"/>
                    <w:tr2bl w:val="nil"/>
                  </w:tcBorders>
                  <w:shd w:val="clear" w:color="auto" w:fill="auto"/>
                  <w:vAlign w:val="center"/>
                </w:tcPr>
                <w:p w14:paraId="32684C30">
                  <w:pPr>
                    <w:pStyle w:val="17"/>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定向井</w:t>
                  </w:r>
                </w:p>
              </w:tc>
              <w:tc>
                <w:tcPr>
                  <w:tcW w:w="3298" w:type="dxa"/>
                  <w:tcBorders>
                    <w:tl2br w:val="nil"/>
                    <w:tr2bl w:val="nil"/>
                  </w:tcBorders>
                  <w:shd w:val="clear" w:color="auto" w:fill="auto"/>
                  <w:vAlign w:val="center"/>
                </w:tcPr>
                <w:p w14:paraId="79A10FE7">
                  <w:pPr>
                    <w:pStyle w:val="17"/>
                    <w:rPr>
                      <w:rFonts w:hint="eastAsia"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定向井</w:t>
                  </w:r>
                </w:p>
              </w:tc>
            </w:tr>
            <w:tr w14:paraId="27EED9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9" w:type="pct"/>
                  <w:tcBorders>
                    <w:tl2br w:val="nil"/>
                    <w:tr2bl w:val="nil"/>
                  </w:tcBorders>
                  <w:shd w:val="clear" w:color="auto" w:fill="auto"/>
                  <w:vAlign w:val="center"/>
                </w:tcPr>
                <w:p w14:paraId="3DE66BF3">
                  <w:pPr>
                    <w:pStyle w:val="17"/>
                    <w:rPr>
                      <w:rFonts w:eastAsia="宋体"/>
                      <w:b/>
                      <w:bCs/>
                      <w:color w:val="auto"/>
                    </w:rPr>
                  </w:pPr>
                  <w:r>
                    <w:rPr>
                      <w:rFonts w:eastAsia="宋体"/>
                      <w:b/>
                      <w:bCs/>
                      <w:color w:val="auto"/>
                    </w:rPr>
                    <w:t>构造位置</w:t>
                  </w:r>
                </w:p>
              </w:tc>
              <w:tc>
                <w:tcPr>
                  <w:tcW w:w="2150" w:type="pct"/>
                  <w:tcBorders>
                    <w:tl2br w:val="nil"/>
                    <w:tr2bl w:val="nil"/>
                  </w:tcBorders>
                  <w:shd w:val="clear" w:color="auto" w:fill="auto"/>
                  <w:vAlign w:val="center"/>
                </w:tcPr>
                <w:p w14:paraId="3D6A81BA">
                  <w:pPr>
                    <w:pStyle w:val="17"/>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高邮凹陷北斜坡沙埝构造沙105块</w:t>
                  </w:r>
                </w:p>
              </w:tc>
              <w:tc>
                <w:tcPr>
                  <w:tcW w:w="2150" w:type="pct"/>
                  <w:tcBorders>
                    <w:tl2br w:val="nil"/>
                    <w:tr2bl w:val="nil"/>
                  </w:tcBorders>
                  <w:shd w:val="clear" w:color="auto" w:fill="auto"/>
                  <w:vAlign w:val="center"/>
                </w:tcPr>
                <w:p w14:paraId="4F57567E">
                  <w:pPr>
                    <w:pStyle w:val="17"/>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高邮凹陷北部斜坡带沙埝构造沙86块</w:t>
                  </w:r>
                </w:p>
              </w:tc>
            </w:tr>
            <w:tr w14:paraId="02092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699" w:type="pct"/>
                  <w:tcBorders>
                    <w:tl2br w:val="nil"/>
                    <w:tr2bl w:val="nil"/>
                  </w:tcBorders>
                  <w:shd w:val="clear" w:color="auto" w:fill="auto"/>
                  <w:vAlign w:val="center"/>
                </w:tcPr>
                <w:p w14:paraId="3DD098C7">
                  <w:pPr>
                    <w:pStyle w:val="17"/>
                    <w:rPr>
                      <w:rFonts w:eastAsia="宋体"/>
                      <w:b/>
                      <w:bCs/>
                      <w:color w:val="auto"/>
                    </w:rPr>
                  </w:pPr>
                  <w:r>
                    <w:rPr>
                      <w:rFonts w:hint="eastAsia" w:eastAsia="宋体"/>
                      <w:b/>
                      <w:bCs/>
                      <w:color w:val="auto"/>
                      <w:lang w:val="en-US" w:eastAsia="zh-CN"/>
                    </w:rPr>
                    <w:t>设计井深</w:t>
                  </w:r>
                </w:p>
              </w:tc>
              <w:tc>
                <w:tcPr>
                  <w:tcW w:w="3298" w:type="dxa"/>
                  <w:tcBorders>
                    <w:tl2br w:val="nil"/>
                    <w:tr2bl w:val="nil"/>
                  </w:tcBorders>
                  <w:shd w:val="clear" w:color="auto" w:fill="auto"/>
                  <w:vAlign w:val="center"/>
                </w:tcPr>
                <w:p w14:paraId="2B0EA23F">
                  <w:pPr>
                    <w:pStyle w:val="17"/>
                    <w:ind w:firstLine="0" w:firstLineChars="0"/>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垂深2</w:t>
                  </w:r>
                  <w:r>
                    <w:rPr>
                      <w:rFonts w:hint="eastAsia" w:eastAsia="宋体" w:cs="Times New Roman"/>
                      <w:b w:val="0"/>
                      <w:bCs w:val="0"/>
                      <w:color w:val="auto"/>
                      <w:kern w:val="0"/>
                      <w:sz w:val="21"/>
                      <w:szCs w:val="21"/>
                      <w:lang w:val="en-US" w:eastAsia="zh-CN" w:bidi="ar-SA"/>
                    </w:rPr>
                    <w:t>712</w:t>
                  </w:r>
                  <w:r>
                    <w:rPr>
                      <w:rFonts w:hint="eastAsia" w:ascii="Times New Roman" w:hAnsi="Times New Roman" w:eastAsia="宋体" w:cs="Times New Roman"/>
                      <w:b w:val="0"/>
                      <w:bCs w:val="0"/>
                      <w:color w:val="auto"/>
                      <w:kern w:val="0"/>
                      <w:sz w:val="21"/>
                      <w:szCs w:val="21"/>
                      <w:lang w:val="en-US" w:eastAsia="zh-CN" w:bidi="ar-SA"/>
                    </w:rPr>
                    <w:t>m，斜深3</w:t>
                  </w:r>
                  <w:r>
                    <w:rPr>
                      <w:rFonts w:hint="eastAsia" w:eastAsia="宋体" w:cs="Times New Roman"/>
                      <w:b w:val="0"/>
                      <w:bCs w:val="0"/>
                      <w:color w:val="auto"/>
                      <w:kern w:val="0"/>
                      <w:sz w:val="21"/>
                      <w:szCs w:val="21"/>
                      <w:lang w:val="en-US" w:eastAsia="zh-CN" w:bidi="ar-SA"/>
                    </w:rPr>
                    <w:t>090</w:t>
                  </w:r>
                  <w:r>
                    <w:rPr>
                      <w:rFonts w:hint="eastAsia" w:ascii="Times New Roman" w:hAnsi="Times New Roman" w:eastAsia="宋体" w:cs="Times New Roman"/>
                      <w:b w:val="0"/>
                      <w:bCs w:val="0"/>
                      <w:color w:val="auto"/>
                      <w:kern w:val="0"/>
                      <w:sz w:val="21"/>
                      <w:szCs w:val="21"/>
                      <w:lang w:val="en-US" w:eastAsia="zh-CN" w:bidi="ar-SA"/>
                    </w:rPr>
                    <w:t>m</w:t>
                  </w:r>
                </w:p>
              </w:tc>
              <w:tc>
                <w:tcPr>
                  <w:tcW w:w="3298" w:type="dxa"/>
                  <w:tcBorders>
                    <w:tl2br w:val="nil"/>
                    <w:tr2bl w:val="nil"/>
                  </w:tcBorders>
                  <w:shd w:val="clear" w:color="auto" w:fill="auto"/>
                  <w:vAlign w:val="center"/>
                </w:tcPr>
                <w:p w14:paraId="4491F9D3">
                  <w:pPr>
                    <w:pStyle w:val="17"/>
                    <w:ind w:firstLine="0" w:firstLineChars="0"/>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垂深2890m，斜深3292m</w:t>
                  </w:r>
                </w:p>
              </w:tc>
            </w:tr>
            <w:tr w14:paraId="5AB61A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699" w:type="pct"/>
                  <w:tcBorders>
                    <w:tl2br w:val="nil"/>
                    <w:tr2bl w:val="nil"/>
                  </w:tcBorders>
                  <w:shd w:val="clear" w:color="auto" w:fill="auto"/>
                  <w:vAlign w:val="center"/>
                </w:tcPr>
                <w:p w14:paraId="161D1E9D">
                  <w:pPr>
                    <w:pStyle w:val="17"/>
                    <w:rPr>
                      <w:rFonts w:hint="default" w:eastAsia="宋体"/>
                      <w:color w:val="auto"/>
                      <w:lang w:val="en-US" w:eastAsia="zh-CN"/>
                    </w:rPr>
                  </w:pPr>
                  <w:r>
                    <w:rPr>
                      <w:rFonts w:hint="default" w:eastAsia="宋体"/>
                      <w:b/>
                      <w:bCs/>
                      <w:color w:val="auto"/>
                      <w:lang w:val="en-US" w:eastAsia="zh-CN"/>
                    </w:rPr>
                    <w:t>完钻原则</w:t>
                  </w:r>
                </w:p>
              </w:tc>
              <w:tc>
                <w:tcPr>
                  <w:tcW w:w="2150" w:type="pct"/>
                  <w:tcBorders>
                    <w:tl2br w:val="nil"/>
                    <w:tr2bl w:val="nil"/>
                  </w:tcBorders>
                  <w:shd w:val="clear" w:color="auto" w:fill="auto"/>
                  <w:vAlign w:val="center"/>
                </w:tcPr>
                <w:p w14:paraId="73CC67BA">
                  <w:pPr>
                    <w:spacing w:line="400" w:lineRule="exact"/>
                    <w:jc w:val="center"/>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进入E</w:t>
                  </w:r>
                  <w:r>
                    <w:rPr>
                      <w:rFonts w:hint="eastAsia" w:ascii="Times New Roman" w:hAnsi="Times New Roman" w:eastAsia="宋体" w:cs="Times New Roman"/>
                      <w:b w:val="0"/>
                      <w:bCs w:val="0"/>
                      <w:color w:val="auto"/>
                      <w:kern w:val="0"/>
                      <w:sz w:val="21"/>
                      <w:szCs w:val="21"/>
                      <w:vertAlign w:val="subscript"/>
                      <w:lang w:val="en-US" w:eastAsia="zh-CN" w:bidi="ar-SA"/>
                    </w:rPr>
                    <w:t>1</w:t>
                  </w:r>
                  <w:r>
                    <w:rPr>
                      <w:rFonts w:hint="eastAsia" w:ascii="Times New Roman" w:hAnsi="Times New Roman" w:eastAsia="宋体" w:cs="Times New Roman"/>
                      <w:b w:val="0"/>
                      <w:bCs w:val="0"/>
                      <w:color w:val="auto"/>
                      <w:kern w:val="0"/>
                      <w:sz w:val="21"/>
                      <w:szCs w:val="21"/>
                      <w:lang w:val="en-US" w:eastAsia="zh-CN" w:bidi="ar-SA"/>
                    </w:rPr>
                    <w:t>f</w:t>
                  </w:r>
                  <w:r>
                    <w:rPr>
                      <w:rFonts w:hint="eastAsia" w:ascii="Times New Roman" w:hAnsi="Times New Roman" w:eastAsia="宋体" w:cs="Times New Roman"/>
                      <w:b w:val="0"/>
                      <w:bCs w:val="0"/>
                      <w:color w:val="auto"/>
                      <w:kern w:val="0"/>
                      <w:sz w:val="21"/>
                      <w:szCs w:val="21"/>
                      <w:vertAlign w:val="subscript"/>
                      <w:lang w:val="en-US" w:eastAsia="zh-CN" w:bidi="ar-SA"/>
                    </w:rPr>
                    <w:t>2</w:t>
                  </w:r>
                  <w:r>
                    <w:rPr>
                      <w:rFonts w:hint="eastAsia" w:ascii="Times New Roman" w:hAnsi="Times New Roman" w:eastAsia="宋体" w:cs="Times New Roman"/>
                      <w:b w:val="0"/>
                      <w:bCs w:val="0"/>
                      <w:color w:val="auto"/>
                      <w:kern w:val="0"/>
                      <w:sz w:val="21"/>
                      <w:szCs w:val="21"/>
                      <w:lang w:val="en-US" w:eastAsia="zh-CN" w:bidi="ar-SA"/>
                    </w:rPr>
                    <w:t xml:space="preserve"> 50m无油气显示完钻</w:t>
                  </w:r>
                </w:p>
              </w:tc>
              <w:tc>
                <w:tcPr>
                  <w:tcW w:w="3298" w:type="dxa"/>
                  <w:tcBorders>
                    <w:tl2br w:val="nil"/>
                    <w:tr2bl w:val="nil"/>
                  </w:tcBorders>
                  <w:shd w:val="clear" w:color="auto" w:fill="auto"/>
                  <w:vAlign w:val="center"/>
                </w:tcPr>
                <w:p w14:paraId="300121D3">
                  <w:pPr>
                    <w:spacing w:line="400" w:lineRule="exact"/>
                    <w:jc w:val="center"/>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进入E</w:t>
                  </w:r>
                  <w:r>
                    <w:rPr>
                      <w:rFonts w:hint="eastAsia" w:ascii="Times New Roman" w:hAnsi="Times New Roman" w:eastAsia="宋体" w:cs="Times New Roman"/>
                      <w:b w:val="0"/>
                      <w:bCs w:val="0"/>
                      <w:color w:val="auto"/>
                      <w:kern w:val="0"/>
                      <w:sz w:val="21"/>
                      <w:szCs w:val="21"/>
                      <w:vertAlign w:val="subscript"/>
                      <w:lang w:val="en-US" w:eastAsia="zh-CN" w:bidi="ar-SA"/>
                    </w:rPr>
                    <w:t>1</w:t>
                  </w:r>
                  <w:r>
                    <w:rPr>
                      <w:rFonts w:hint="eastAsia" w:ascii="Times New Roman" w:hAnsi="Times New Roman" w:eastAsia="宋体" w:cs="Times New Roman"/>
                      <w:b w:val="0"/>
                      <w:bCs w:val="0"/>
                      <w:color w:val="auto"/>
                      <w:kern w:val="0"/>
                      <w:sz w:val="21"/>
                      <w:szCs w:val="21"/>
                      <w:lang w:val="en-US" w:eastAsia="zh-CN" w:bidi="ar-SA"/>
                    </w:rPr>
                    <w:t>f</w:t>
                  </w:r>
                  <w:r>
                    <w:rPr>
                      <w:rFonts w:hint="eastAsia" w:ascii="Times New Roman" w:hAnsi="Times New Roman" w:eastAsia="宋体" w:cs="Times New Roman"/>
                      <w:b w:val="0"/>
                      <w:bCs w:val="0"/>
                      <w:color w:val="auto"/>
                      <w:kern w:val="0"/>
                      <w:sz w:val="21"/>
                      <w:szCs w:val="21"/>
                      <w:vertAlign w:val="subscript"/>
                      <w:lang w:val="en-US" w:eastAsia="zh-CN" w:bidi="ar-SA"/>
                    </w:rPr>
                    <w:t>1</w:t>
                  </w:r>
                  <w:r>
                    <w:rPr>
                      <w:rFonts w:hint="eastAsia" w:ascii="Times New Roman" w:hAnsi="Times New Roman" w:eastAsia="宋体" w:cs="Times New Roman"/>
                      <w:b w:val="0"/>
                      <w:bCs w:val="0"/>
                      <w:color w:val="auto"/>
                      <w:kern w:val="0"/>
                      <w:sz w:val="21"/>
                      <w:szCs w:val="21"/>
                      <w:lang w:val="en-US" w:eastAsia="zh-CN" w:bidi="ar-SA"/>
                    </w:rPr>
                    <w:t xml:space="preserve"> 150m无油气显示完钻</w:t>
                  </w:r>
                </w:p>
              </w:tc>
            </w:tr>
            <w:tr w14:paraId="1D87C7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699" w:type="pct"/>
                  <w:tcBorders>
                    <w:tl2br w:val="nil"/>
                    <w:tr2bl w:val="nil"/>
                  </w:tcBorders>
                  <w:shd w:val="clear" w:color="auto" w:fill="auto"/>
                  <w:vAlign w:val="center"/>
                </w:tcPr>
                <w:p w14:paraId="125BDBEF">
                  <w:pPr>
                    <w:pStyle w:val="17"/>
                    <w:rPr>
                      <w:rFonts w:hint="eastAsia" w:eastAsia="宋体"/>
                      <w:b/>
                      <w:bCs/>
                      <w:color w:val="auto"/>
                      <w:lang w:val="en-US" w:eastAsia="zh-CN"/>
                    </w:rPr>
                  </w:pPr>
                  <w:r>
                    <w:rPr>
                      <w:rFonts w:hint="eastAsia" w:eastAsia="宋体"/>
                      <w:b/>
                      <w:bCs/>
                      <w:color w:val="auto"/>
                      <w:lang w:val="en-US" w:eastAsia="zh-CN"/>
                    </w:rPr>
                    <w:t>钻探目的</w:t>
                  </w:r>
                </w:p>
              </w:tc>
              <w:tc>
                <w:tcPr>
                  <w:tcW w:w="2150" w:type="pct"/>
                  <w:tcBorders>
                    <w:tl2br w:val="nil"/>
                    <w:tr2bl w:val="nil"/>
                  </w:tcBorders>
                  <w:shd w:val="clear" w:color="auto" w:fill="auto"/>
                  <w:vAlign w:val="center"/>
                </w:tcPr>
                <w:p w14:paraId="2E22C492">
                  <w:pPr>
                    <w:spacing w:line="400" w:lineRule="exact"/>
                    <w:jc w:val="center"/>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评价沙105块E</w:t>
                  </w:r>
                  <w:r>
                    <w:rPr>
                      <w:rFonts w:hint="eastAsia" w:ascii="Times New Roman" w:hAnsi="Times New Roman" w:eastAsia="宋体" w:cs="Times New Roman"/>
                      <w:b w:val="0"/>
                      <w:bCs w:val="0"/>
                      <w:color w:val="auto"/>
                      <w:kern w:val="0"/>
                      <w:sz w:val="21"/>
                      <w:szCs w:val="21"/>
                      <w:vertAlign w:val="subscript"/>
                      <w:lang w:val="en-US" w:eastAsia="zh-CN" w:bidi="ar-SA"/>
                    </w:rPr>
                    <w:t>1</w:t>
                  </w:r>
                  <w:r>
                    <w:rPr>
                      <w:rFonts w:hint="eastAsia" w:ascii="Times New Roman" w:hAnsi="Times New Roman" w:eastAsia="宋体" w:cs="Times New Roman"/>
                      <w:b w:val="0"/>
                      <w:bCs w:val="0"/>
                      <w:color w:val="auto"/>
                      <w:kern w:val="0"/>
                      <w:sz w:val="21"/>
                      <w:szCs w:val="21"/>
                      <w:lang w:val="en-US" w:eastAsia="zh-CN" w:bidi="ar-SA"/>
                    </w:rPr>
                    <w:t>f</w:t>
                  </w:r>
                  <w:r>
                    <w:rPr>
                      <w:rFonts w:hint="eastAsia" w:ascii="Times New Roman" w:hAnsi="Times New Roman" w:eastAsia="宋体" w:cs="Times New Roman"/>
                      <w:b w:val="0"/>
                      <w:bCs w:val="0"/>
                      <w:color w:val="auto"/>
                      <w:kern w:val="0"/>
                      <w:sz w:val="21"/>
                      <w:szCs w:val="21"/>
                      <w:vertAlign w:val="subscript"/>
                      <w:lang w:val="en-US" w:eastAsia="zh-CN" w:bidi="ar-SA"/>
                    </w:rPr>
                    <w:t>3</w:t>
                  </w:r>
                  <w:r>
                    <w:rPr>
                      <w:rFonts w:hint="eastAsia" w:ascii="Times New Roman" w:hAnsi="Times New Roman" w:eastAsia="宋体" w:cs="Times New Roman"/>
                      <w:b w:val="0"/>
                      <w:bCs w:val="0"/>
                      <w:color w:val="auto"/>
                      <w:kern w:val="0"/>
                      <w:sz w:val="21"/>
                      <w:szCs w:val="21"/>
                      <w:lang w:val="en-US" w:eastAsia="zh-CN" w:bidi="ar-SA"/>
                    </w:rPr>
                    <w:t>含油气情况</w:t>
                  </w:r>
                </w:p>
              </w:tc>
              <w:tc>
                <w:tcPr>
                  <w:tcW w:w="3298" w:type="dxa"/>
                  <w:tcBorders>
                    <w:tl2br w:val="nil"/>
                    <w:tr2bl w:val="nil"/>
                  </w:tcBorders>
                  <w:shd w:val="clear" w:color="auto" w:fill="auto"/>
                  <w:vAlign w:val="center"/>
                </w:tcPr>
                <w:p w14:paraId="1F259C95">
                  <w:pPr>
                    <w:spacing w:line="400" w:lineRule="exact"/>
                    <w:jc w:val="center"/>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探沙86块E1f2火成岩变质带及E</w:t>
                  </w:r>
                  <w:r>
                    <w:rPr>
                      <w:rFonts w:hint="eastAsia" w:ascii="Times New Roman" w:hAnsi="Times New Roman" w:eastAsia="宋体" w:cs="Times New Roman"/>
                      <w:b w:val="0"/>
                      <w:bCs w:val="0"/>
                      <w:color w:val="auto"/>
                      <w:kern w:val="0"/>
                      <w:sz w:val="21"/>
                      <w:szCs w:val="21"/>
                      <w:vertAlign w:val="subscript"/>
                      <w:lang w:val="en-US" w:eastAsia="zh-CN" w:bidi="ar-SA"/>
                    </w:rPr>
                    <w:t>1</w:t>
                  </w:r>
                  <w:r>
                    <w:rPr>
                      <w:rFonts w:hint="eastAsia" w:ascii="Times New Roman" w:hAnsi="Times New Roman" w:eastAsia="宋体" w:cs="Times New Roman"/>
                      <w:b w:val="0"/>
                      <w:bCs w:val="0"/>
                      <w:color w:val="auto"/>
                      <w:kern w:val="0"/>
                      <w:sz w:val="21"/>
                      <w:szCs w:val="21"/>
                      <w:lang w:val="en-US" w:eastAsia="zh-CN" w:bidi="ar-SA"/>
                    </w:rPr>
                    <w:t>f</w:t>
                  </w:r>
                  <w:r>
                    <w:rPr>
                      <w:rFonts w:hint="eastAsia" w:ascii="Times New Roman" w:hAnsi="Times New Roman" w:eastAsia="宋体" w:cs="Times New Roman"/>
                      <w:b w:val="0"/>
                      <w:bCs w:val="0"/>
                      <w:color w:val="auto"/>
                      <w:kern w:val="0"/>
                      <w:sz w:val="21"/>
                      <w:szCs w:val="21"/>
                      <w:vertAlign w:val="subscript"/>
                      <w:lang w:val="en-US" w:eastAsia="zh-CN" w:bidi="ar-SA"/>
                    </w:rPr>
                    <w:t>1</w:t>
                  </w:r>
                  <w:r>
                    <w:rPr>
                      <w:rFonts w:hint="eastAsia" w:ascii="Times New Roman" w:hAnsi="Times New Roman" w:eastAsia="宋体" w:cs="Times New Roman"/>
                      <w:b w:val="0"/>
                      <w:bCs w:val="0"/>
                      <w:color w:val="auto"/>
                      <w:kern w:val="0"/>
                      <w:sz w:val="21"/>
                      <w:szCs w:val="21"/>
                      <w:lang w:val="en-US" w:eastAsia="zh-CN" w:bidi="ar-SA"/>
                    </w:rPr>
                    <w:t>含油气情况</w:t>
                  </w:r>
                </w:p>
              </w:tc>
            </w:tr>
            <w:tr w14:paraId="2DE6CF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699" w:type="pct"/>
                  <w:tcBorders>
                    <w:tl2br w:val="nil"/>
                    <w:tr2bl w:val="nil"/>
                  </w:tcBorders>
                  <w:shd w:val="clear" w:color="auto" w:fill="auto"/>
                  <w:vAlign w:val="center"/>
                </w:tcPr>
                <w:p w14:paraId="2B96918D">
                  <w:pPr>
                    <w:pStyle w:val="17"/>
                    <w:rPr>
                      <w:rFonts w:hint="default" w:eastAsia="宋体"/>
                      <w:b/>
                      <w:bCs/>
                      <w:color w:val="auto"/>
                      <w:lang w:val="en-US" w:eastAsia="zh-CN"/>
                    </w:rPr>
                  </w:pPr>
                  <w:r>
                    <w:rPr>
                      <w:rFonts w:hint="eastAsia" w:eastAsia="宋体"/>
                      <w:b/>
                      <w:bCs/>
                      <w:color w:val="auto"/>
                      <w:lang w:val="en-US" w:eastAsia="zh-CN"/>
                    </w:rPr>
                    <w:t>投资</w:t>
                  </w:r>
                </w:p>
              </w:tc>
              <w:tc>
                <w:tcPr>
                  <w:tcW w:w="2150" w:type="pct"/>
                  <w:tcBorders>
                    <w:tl2br w:val="nil"/>
                    <w:tr2bl w:val="nil"/>
                  </w:tcBorders>
                  <w:shd w:val="clear" w:color="auto" w:fill="auto"/>
                  <w:vAlign w:val="center"/>
                </w:tcPr>
                <w:p w14:paraId="3DF10DDE">
                  <w:pPr>
                    <w:spacing w:line="400" w:lineRule="exact"/>
                    <w:jc w:val="center"/>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989万元</w:t>
                  </w:r>
                </w:p>
              </w:tc>
              <w:tc>
                <w:tcPr>
                  <w:tcW w:w="3298" w:type="dxa"/>
                  <w:tcBorders>
                    <w:tl2br w:val="nil"/>
                    <w:tr2bl w:val="nil"/>
                  </w:tcBorders>
                  <w:shd w:val="clear" w:color="auto" w:fill="auto"/>
                  <w:vAlign w:val="center"/>
                </w:tcPr>
                <w:p w14:paraId="0887DA9A">
                  <w:pPr>
                    <w:spacing w:line="400" w:lineRule="exact"/>
                    <w:jc w:val="center"/>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1037万元</w:t>
                  </w:r>
                </w:p>
              </w:tc>
            </w:tr>
          </w:tbl>
          <w:p w14:paraId="3818C017">
            <w:pPr>
              <w:pStyle w:val="2"/>
              <w:ind w:firstLine="482" w:firstLineChars="200"/>
              <w:rPr>
                <w:rFonts w:hint="eastAsia" w:eastAsia="宋体"/>
                <w:color w:val="auto"/>
              </w:rPr>
            </w:pPr>
            <w:r>
              <w:rPr>
                <w:rFonts w:hint="eastAsia" w:eastAsia="宋体"/>
                <w:color w:val="auto"/>
                <w:lang w:val="en-US" w:eastAsia="zh-CN"/>
              </w:rPr>
              <w:t>3</w:t>
            </w:r>
            <w:r>
              <w:rPr>
                <w:rFonts w:hint="eastAsia" w:eastAsia="宋体"/>
                <w:color w:val="auto"/>
              </w:rPr>
              <w:t>、项目组成</w:t>
            </w:r>
          </w:p>
          <w:p w14:paraId="5EAB0AF7">
            <w:pPr>
              <w:pStyle w:val="3"/>
              <w:rPr>
                <w:rFonts w:hint="eastAsia" w:eastAsia="宋体"/>
                <w:color w:val="auto"/>
              </w:rPr>
            </w:pPr>
            <w:r>
              <w:rPr>
                <w:rFonts w:hint="eastAsia" w:eastAsia="宋体"/>
                <w:color w:val="auto"/>
                <w:lang w:eastAsia="zh-CN"/>
              </w:rPr>
              <w:t>本项目井场项目组成见下表。</w:t>
            </w:r>
          </w:p>
          <w:p w14:paraId="503495A8">
            <w:pPr>
              <w:pStyle w:val="16"/>
              <w:rPr>
                <w:rFonts w:eastAsia="宋体"/>
                <w:color w:val="auto"/>
              </w:rPr>
            </w:pPr>
            <w:r>
              <w:rPr>
                <w:rFonts w:hint="eastAsia" w:eastAsia="宋体"/>
                <w:color w:val="auto"/>
              </w:rPr>
              <w:t>表2-</w:t>
            </w:r>
            <w:r>
              <w:rPr>
                <w:rFonts w:hint="eastAsia" w:eastAsia="宋体"/>
                <w:color w:val="auto"/>
                <w:lang w:val="en-US" w:eastAsia="zh-CN"/>
              </w:rPr>
              <w:t>3</w:t>
            </w:r>
            <w:r>
              <w:rPr>
                <w:rFonts w:hint="eastAsia" w:eastAsia="宋体"/>
                <w:color w:val="auto"/>
              </w:rPr>
              <w:t xml:space="preserve">  拟建项目主要建设内容</w:t>
            </w:r>
          </w:p>
          <w:tbl>
            <w:tblPr>
              <w:tblStyle w:val="1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437"/>
              <w:gridCol w:w="1111"/>
              <w:gridCol w:w="5001"/>
            </w:tblGrid>
            <w:tr w14:paraId="4841EF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tcBorders>
                    <w:tl2br w:val="nil"/>
                    <w:tr2bl w:val="nil"/>
                  </w:tcBorders>
                  <w:shd w:val="clear" w:color="auto" w:fill="auto"/>
                  <w:vAlign w:val="center"/>
                </w:tcPr>
                <w:p w14:paraId="6830B34D">
                  <w:pPr>
                    <w:pStyle w:val="17"/>
                    <w:rPr>
                      <w:rFonts w:eastAsia="宋体"/>
                      <w:b/>
                      <w:bCs/>
                      <w:color w:val="auto"/>
                    </w:rPr>
                  </w:pPr>
                  <w:r>
                    <w:rPr>
                      <w:rFonts w:eastAsia="宋体"/>
                      <w:b/>
                      <w:bCs/>
                      <w:color w:val="auto"/>
                    </w:rPr>
                    <w:t>工程类别</w:t>
                  </w:r>
                </w:p>
              </w:tc>
              <w:tc>
                <w:tcPr>
                  <w:tcW w:w="1009" w:type="pct"/>
                  <w:gridSpan w:val="2"/>
                  <w:tcBorders>
                    <w:tl2br w:val="nil"/>
                    <w:tr2bl w:val="nil"/>
                  </w:tcBorders>
                  <w:shd w:val="clear" w:color="auto" w:fill="auto"/>
                  <w:vAlign w:val="center"/>
                </w:tcPr>
                <w:p w14:paraId="6FD039CE">
                  <w:pPr>
                    <w:pStyle w:val="17"/>
                    <w:rPr>
                      <w:rFonts w:eastAsia="宋体"/>
                      <w:b/>
                      <w:bCs/>
                      <w:color w:val="auto"/>
                    </w:rPr>
                  </w:pPr>
                  <w:r>
                    <w:rPr>
                      <w:rFonts w:eastAsia="宋体"/>
                      <w:b/>
                      <w:bCs/>
                      <w:color w:val="auto"/>
                    </w:rPr>
                    <w:t>项目</w:t>
                  </w:r>
                </w:p>
              </w:tc>
              <w:tc>
                <w:tcPr>
                  <w:tcW w:w="3259" w:type="pct"/>
                  <w:tcBorders>
                    <w:tl2br w:val="nil"/>
                    <w:tr2bl w:val="nil"/>
                  </w:tcBorders>
                  <w:shd w:val="clear" w:color="auto" w:fill="auto"/>
                  <w:vAlign w:val="center"/>
                </w:tcPr>
                <w:p w14:paraId="147DD70B">
                  <w:pPr>
                    <w:pStyle w:val="17"/>
                    <w:rPr>
                      <w:rFonts w:eastAsia="宋体"/>
                      <w:b/>
                      <w:bCs/>
                      <w:color w:val="auto"/>
                    </w:rPr>
                  </w:pPr>
                  <w:r>
                    <w:rPr>
                      <w:rFonts w:eastAsia="宋体"/>
                      <w:b/>
                      <w:bCs/>
                      <w:color w:val="auto"/>
                    </w:rPr>
                    <w:t>建设内容</w:t>
                  </w:r>
                </w:p>
              </w:tc>
            </w:tr>
            <w:tr w14:paraId="758011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vMerge w:val="restart"/>
                  <w:tcBorders>
                    <w:tl2br w:val="nil"/>
                    <w:tr2bl w:val="nil"/>
                  </w:tcBorders>
                  <w:shd w:val="clear" w:color="auto" w:fill="auto"/>
                  <w:vAlign w:val="center"/>
                </w:tcPr>
                <w:p w14:paraId="502DA0C1">
                  <w:pPr>
                    <w:pStyle w:val="17"/>
                    <w:rPr>
                      <w:rFonts w:eastAsia="宋体"/>
                      <w:color w:val="auto"/>
                    </w:rPr>
                  </w:pPr>
                  <w:r>
                    <w:rPr>
                      <w:rFonts w:eastAsia="宋体"/>
                      <w:color w:val="auto"/>
                    </w:rPr>
                    <w:t>主体工程</w:t>
                  </w:r>
                </w:p>
              </w:tc>
              <w:tc>
                <w:tcPr>
                  <w:tcW w:w="1009" w:type="pct"/>
                  <w:gridSpan w:val="2"/>
                  <w:tcBorders>
                    <w:tl2br w:val="nil"/>
                    <w:tr2bl w:val="nil"/>
                  </w:tcBorders>
                  <w:shd w:val="clear" w:color="auto" w:fill="auto"/>
                  <w:vAlign w:val="center"/>
                </w:tcPr>
                <w:p w14:paraId="05FD3744">
                  <w:pPr>
                    <w:pStyle w:val="17"/>
                    <w:rPr>
                      <w:rFonts w:eastAsia="宋体"/>
                      <w:color w:val="auto"/>
                    </w:rPr>
                  </w:pPr>
                  <w:r>
                    <w:rPr>
                      <w:rFonts w:hint="eastAsia" w:eastAsia="宋体"/>
                      <w:color w:val="auto"/>
                    </w:rPr>
                    <w:t>钻前工程</w:t>
                  </w:r>
                </w:p>
              </w:tc>
              <w:tc>
                <w:tcPr>
                  <w:tcW w:w="3259" w:type="pct"/>
                  <w:tcBorders>
                    <w:tl2br w:val="nil"/>
                    <w:tr2bl w:val="nil"/>
                  </w:tcBorders>
                  <w:shd w:val="clear" w:color="auto" w:fill="auto"/>
                  <w:vAlign w:val="center"/>
                </w:tcPr>
                <w:p w14:paraId="43FAE790">
                  <w:pPr>
                    <w:pStyle w:val="17"/>
                    <w:jc w:val="center"/>
                    <w:rPr>
                      <w:rFonts w:eastAsia="宋体"/>
                      <w:color w:val="auto"/>
                    </w:rPr>
                  </w:pPr>
                  <w:r>
                    <w:rPr>
                      <w:rFonts w:hint="eastAsia" w:eastAsia="宋体"/>
                      <w:color w:val="auto"/>
                    </w:rPr>
                    <w:t>井场</w:t>
                  </w:r>
                  <w:r>
                    <w:rPr>
                      <w:rFonts w:hint="eastAsia" w:eastAsia="宋体"/>
                      <w:color w:val="auto"/>
                      <w:lang w:eastAsia="zh-CN"/>
                    </w:rPr>
                    <w:t>道路钻杆排铺设</w:t>
                  </w:r>
                  <w:r>
                    <w:rPr>
                      <w:rFonts w:hint="eastAsia" w:eastAsia="宋体"/>
                      <w:color w:val="auto"/>
                    </w:rPr>
                    <w:t>、</w:t>
                  </w:r>
                  <w:r>
                    <w:rPr>
                      <w:rFonts w:eastAsia="宋体"/>
                      <w:color w:val="auto"/>
                    </w:rPr>
                    <w:t>钻井场地平整、设备搬运及安装</w:t>
                  </w:r>
                </w:p>
              </w:tc>
            </w:tr>
            <w:tr w14:paraId="77204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vMerge w:val="continue"/>
                  <w:tcBorders>
                    <w:tl2br w:val="nil"/>
                    <w:tr2bl w:val="nil"/>
                  </w:tcBorders>
                  <w:shd w:val="clear" w:color="auto" w:fill="auto"/>
                  <w:vAlign w:val="center"/>
                </w:tcPr>
                <w:p w14:paraId="1FFADA31">
                  <w:pPr>
                    <w:pStyle w:val="17"/>
                    <w:rPr>
                      <w:rFonts w:eastAsia="宋体"/>
                      <w:color w:val="auto"/>
                    </w:rPr>
                  </w:pPr>
                </w:p>
              </w:tc>
              <w:tc>
                <w:tcPr>
                  <w:tcW w:w="1009" w:type="pct"/>
                  <w:gridSpan w:val="2"/>
                  <w:tcBorders>
                    <w:tl2br w:val="nil"/>
                    <w:tr2bl w:val="nil"/>
                  </w:tcBorders>
                  <w:shd w:val="clear" w:color="auto" w:fill="auto"/>
                  <w:vAlign w:val="center"/>
                </w:tcPr>
                <w:p w14:paraId="072AFADF">
                  <w:pPr>
                    <w:pStyle w:val="17"/>
                    <w:rPr>
                      <w:rFonts w:eastAsia="宋体"/>
                      <w:color w:val="auto"/>
                    </w:rPr>
                  </w:pPr>
                  <w:r>
                    <w:rPr>
                      <w:rFonts w:eastAsia="宋体"/>
                      <w:color w:val="auto"/>
                    </w:rPr>
                    <w:t>钻井工程</w:t>
                  </w:r>
                </w:p>
              </w:tc>
              <w:tc>
                <w:tcPr>
                  <w:tcW w:w="3259" w:type="pct"/>
                  <w:tcBorders>
                    <w:tl2br w:val="nil"/>
                    <w:tr2bl w:val="nil"/>
                  </w:tcBorders>
                  <w:shd w:val="clear" w:color="auto" w:fill="auto"/>
                  <w:vAlign w:val="center"/>
                </w:tcPr>
                <w:p w14:paraId="60C3B0FE">
                  <w:pPr>
                    <w:pStyle w:val="17"/>
                    <w:rPr>
                      <w:rFonts w:eastAsia="宋体"/>
                      <w:color w:val="auto"/>
                    </w:rPr>
                  </w:pPr>
                  <w:r>
                    <w:rPr>
                      <w:rFonts w:hint="eastAsia" w:eastAsia="宋体"/>
                      <w:color w:val="auto"/>
                    </w:rPr>
                    <w:t>具体包括</w:t>
                  </w:r>
                  <w:r>
                    <w:rPr>
                      <w:rFonts w:hint="eastAsia" w:eastAsia="宋体"/>
                      <w:color w:val="auto"/>
                      <w:lang w:val="en-US" w:eastAsia="zh-CN"/>
                    </w:rPr>
                    <w:t>开</w:t>
                  </w:r>
                  <w:r>
                    <w:rPr>
                      <w:rFonts w:eastAsia="宋体"/>
                      <w:color w:val="auto"/>
                    </w:rPr>
                    <w:t>钻（起下钻）、钻井取芯、</w:t>
                  </w:r>
                  <w:r>
                    <w:rPr>
                      <w:rFonts w:hint="eastAsia" w:eastAsia="宋体"/>
                      <w:color w:val="auto"/>
                      <w:lang w:val="en-US" w:eastAsia="zh-CN"/>
                    </w:rPr>
                    <w:t>录井、</w:t>
                  </w:r>
                  <w:r>
                    <w:rPr>
                      <w:rFonts w:eastAsia="宋体"/>
                      <w:color w:val="auto"/>
                    </w:rPr>
                    <w:t>测井、固井</w:t>
                  </w:r>
                  <w:r>
                    <w:rPr>
                      <w:rFonts w:hint="eastAsia" w:eastAsia="宋体"/>
                      <w:color w:val="auto"/>
                    </w:rPr>
                    <w:t>等</w:t>
                  </w:r>
                </w:p>
              </w:tc>
            </w:tr>
            <w:tr w14:paraId="36BDA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vMerge w:val="continue"/>
                  <w:tcBorders>
                    <w:tl2br w:val="nil"/>
                    <w:tr2bl w:val="nil"/>
                  </w:tcBorders>
                  <w:shd w:val="clear" w:color="auto" w:fill="auto"/>
                  <w:vAlign w:val="center"/>
                </w:tcPr>
                <w:p w14:paraId="1E6E97BD">
                  <w:pPr>
                    <w:pStyle w:val="17"/>
                    <w:rPr>
                      <w:rFonts w:eastAsia="宋体"/>
                      <w:color w:val="auto"/>
                    </w:rPr>
                  </w:pPr>
                </w:p>
              </w:tc>
              <w:tc>
                <w:tcPr>
                  <w:tcW w:w="1009" w:type="pct"/>
                  <w:gridSpan w:val="2"/>
                  <w:tcBorders>
                    <w:tl2br w:val="nil"/>
                    <w:tr2bl w:val="nil"/>
                  </w:tcBorders>
                  <w:shd w:val="clear" w:color="auto" w:fill="auto"/>
                  <w:vAlign w:val="center"/>
                </w:tcPr>
                <w:p w14:paraId="0FA82616">
                  <w:pPr>
                    <w:pStyle w:val="17"/>
                    <w:rPr>
                      <w:rFonts w:eastAsia="宋体"/>
                      <w:color w:val="auto"/>
                    </w:rPr>
                  </w:pPr>
                  <w:r>
                    <w:rPr>
                      <w:rFonts w:hint="eastAsia" w:eastAsia="宋体"/>
                      <w:color w:val="auto"/>
                    </w:rPr>
                    <w:t>完井</w:t>
                  </w:r>
                  <w:r>
                    <w:rPr>
                      <w:rFonts w:hint="eastAsia" w:eastAsia="宋体"/>
                      <w:color w:val="auto"/>
                      <w:lang w:val="en-US" w:eastAsia="zh-CN"/>
                    </w:rPr>
                    <w:t>工程</w:t>
                  </w:r>
                </w:p>
              </w:tc>
              <w:tc>
                <w:tcPr>
                  <w:tcW w:w="3259" w:type="pct"/>
                  <w:tcBorders>
                    <w:tl2br w:val="nil"/>
                    <w:tr2bl w:val="nil"/>
                  </w:tcBorders>
                  <w:shd w:val="clear" w:color="auto" w:fill="auto"/>
                  <w:vAlign w:val="center"/>
                </w:tcPr>
                <w:p w14:paraId="38FCBEBA">
                  <w:pPr>
                    <w:pStyle w:val="17"/>
                    <w:rPr>
                      <w:rFonts w:eastAsia="宋体"/>
                      <w:color w:val="auto"/>
                    </w:rPr>
                  </w:pPr>
                  <w:r>
                    <w:rPr>
                      <w:rFonts w:hint="eastAsia" w:eastAsia="宋体"/>
                      <w:color w:val="auto"/>
                    </w:rPr>
                    <w:t>洗井、测井、</w:t>
                  </w:r>
                  <w:r>
                    <w:rPr>
                      <w:rFonts w:hint="eastAsia" w:eastAsia="宋体"/>
                      <w:color w:val="auto"/>
                      <w:lang w:val="en-US" w:eastAsia="zh-CN"/>
                    </w:rPr>
                    <w:t>井壁</w:t>
                  </w:r>
                  <w:r>
                    <w:rPr>
                      <w:rFonts w:hint="eastAsia" w:eastAsia="宋体"/>
                      <w:color w:val="auto"/>
                    </w:rPr>
                    <w:t>取芯、通井、下套管、固井</w:t>
                  </w:r>
                  <w:r>
                    <w:rPr>
                      <w:rFonts w:hint="eastAsia" w:eastAsia="宋体"/>
                      <w:color w:val="auto"/>
                      <w:lang w:eastAsia="zh-CN"/>
                    </w:rPr>
                    <w:t>、</w:t>
                  </w:r>
                  <w:r>
                    <w:rPr>
                      <w:rFonts w:hint="eastAsia" w:eastAsia="宋体"/>
                      <w:color w:val="auto"/>
                      <w:lang w:val="en-US" w:eastAsia="zh-CN"/>
                    </w:rPr>
                    <w:t>射孔</w:t>
                  </w:r>
                  <w:r>
                    <w:rPr>
                      <w:rFonts w:hint="eastAsia" w:eastAsia="宋体"/>
                      <w:color w:val="auto"/>
                    </w:rPr>
                    <w:t>、设井口装置等</w:t>
                  </w:r>
                </w:p>
              </w:tc>
            </w:tr>
            <w:tr w14:paraId="78262A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vMerge w:val="continue"/>
                  <w:tcBorders>
                    <w:tl2br w:val="nil"/>
                    <w:tr2bl w:val="nil"/>
                  </w:tcBorders>
                  <w:shd w:val="clear" w:color="auto" w:fill="auto"/>
                  <w:vAlign w:val="center"/>
                </w:tcPr>
                <w:p w14:paraId="7CC26929">
                  <w:pPr>
                    <w:pStyle w:val="17"/>
                    <w:rPr>
                      <w:rFonts w:eastAsia="宋体"/>
                      <w:color w:val="auto"/>
                    </w:rPr>
                  </w:pPr>
                </w:p>
              </w:tc>
              <w:tc>
                <w:tcPr>
                  <w:tcW w:w="1009" w:type="pct"/>
                  <w:gridSpan w:val="2"/>
                  <w:tcBorders>
                    <w:tl2br w:val="nil"/>
                    <w:tr2bl w:val="nil"/>
                  </w:tcBorders>
                  <w:shd w:val="clear" w:color="auto" w:fill="auto"/>
                  <w:vAlign w:val="center"/>
                </w:tcPr>
                <w:p w14:paraId="61AF3539">
                  <w:pPr>
                    <w:pStyle w:val="17"/>
                    <w:rPr>
                      <w:rFonts w:eastAsia="宋体"/>
                      <w:color w:val="auto"/>
                    </w:rPr>
                  </w:pPr>
                  <w:r>
                    <w:rPr>
                      <w:rFonts w:hint="eastAsia" w:eastAsia="宋体"/>
                      <w:color w:val="auto"/>
                    </w:rPr>
                    <w:t>压裂</w:t>
                  </w:r>
                </w:p>
              </w:tc>
              <w:tc>
                <w:tcPr>
                  <w:tcW w:w="3259" w:type="pct"/>
                  <w:tcBorders>
                    <w:tl2br w:val="nil"/>
                    <w:tr2bl w:val="nil"/>
                  </w:tcBorders>
                  <w:shd w:val="clear" w:color="auto" w:fill="auto"/>
                  <w:vAlign w:val="center"/>
                </w:tcPr>
                <w:p w14:paraId="111834C7">
                  <w:pPr>
                    <w:pStyle w:val="17"/>
                    <w:rPr>
                      <w:rFonts w:eastAsia="宋体"/>
                      <w:color w:val="auto"/>
                    </w:rPr>
                  </w:pPr>
                  <w:r>
                    <w:rPr>
                      <w:rFonts w:hint="eastAsia" w:eastAsia="宋体"/>
                      <w:color w:val="auto"/>
                    </w:rPr>
                    <w:t>水力压裂</w:t>
                  </w:r>
                </w:p>
              </w:tc>
            </w:tr>
            <w:tr w14:paraId="1DEACD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vMerge w:val="continue"/>
                  <w:tcBorders>
                    <w:tl2br w:val="nil"/>
                    <w:tr2bl w:val="nil"/>
                  </w:tcBorders>
                  <w:shd w:val="clear" w:color="auto" w:fill="auto"/>
                  <w:vAlign w:val="center"/>
                </w:tcPr>
                <w:p w14:paraId="1EF705DC">
                  <w:pPr>
                    <w:pStyle w:val="17"/>
                    <w:rPr>
                      <w:rFonts w:eastAsia="宋体"/>
                      <w:color w:val="auto"/>
                    </w:rPr>
                  </w:pPr>
                </w:p>
              </w:tc>
              <w:tc>
                <w:tcPr>
                  <w:tcW w:w="1009" w:type="pct"/>
                  <w:gridSpan w:val="2"/>
                  <w:tcBorders>
                    <w:tl2br w:val="nil"/>
                    <w:tr2bl w:val="nil"/>
                  </w:tcBorders>
                  <w:shd w:val="clear" w:color="auto" w:fill="auto"/>
                  <w:vAlign w:val="center"/>
                </w:tcPr>
                <w:p w14:paraId="6473F99E">
                  <w:pPr>
                    <w:pStyle w:val="17"/>
                    <w:rPr>
                      <w:rFonts w:eastAsia="宋体"/>
                      <w:color w:val="auto"/>
                    </w:rPr>
                  </w:pPr>
                  <w:r>
                    <w:rPr>
                      <w:rFonts w:hint="eastAsia" w:eastAsia="宋体"/>
                      <w:color w:val="auto"/>
                    </w:rPr>
                    <w:t>试采</w:t>
                  </w:r>
                </w:p>
              </w:tc>
              <w:tc>
                <w:tcPr>
                  <w:tcW w:w="3259" w:type="pct"/>
                  <w:tcBorders>
                    <w:tl2br w:val="nil"/>
                    <w:tr2bl w:val="nil"/>
                  </w:tcBorders>
                  <w:shd w:val="clear" w:color="auto" w:fill="auto"/>
                  <w:vAlign w:val="center"/>
                </w:tcPr>
                <w:p w14:paraId="429DFDFE">
                  <w:pPr>
                    <w:pStyle w:val="17"/>
                    <w:rPr>
                      <w:rFonts w:eastAsia="宋体"/>
                      <w:color w:val="auto"/>
                    </w:rPr>
                  </w:pPr>
                  <w:r>
                    <w:rPr>
                      <w:rFonts w:hint="eastAsia" w:eastAsia="宋体"/>
                      <w:color w:val="auto"/>
                    </w:rPr>
                    <w:t>下抽汲管柱、抽汲求产、测试及资料录取等</w:t>
                  </w:r>
                </w:p>
              </w:tc>
            </w:tr>
            <w:tr w14:paraId="583DA0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vMerge w:val="continue"/>
                  <w:tcBorders>
                    <w:tl2br w:val="nil"/>
                    <w:tr2bl w:val="nil"/>
                  </w:tcBorders>
                  <w:shd w:val="clear" w:color="auto" w:fill="auto"/>
                  <w:vAlign w:val="center"/>
                </w:tcPr>
                <w:p w14:paraId="2CDC7283">
                  <w:pPr>
                    <w:pStyle w:val="17"/>
                    <w:rPr>
                      <w:rFonts w:eastAsia="宋体"/>
                      <w:color w:val="auto"/>
                    </w:rPr>
                  </w:pPr>
                </w:p>
              </w:tc>
              <w:tc>
                <w:tcPr>
                  <w:tcW w:w="1009" w:type="pct"/>
                  <w:gridSpan w:val="2"/>
                  <w:tcBorders>
                    <w:tl2br w:val="nil"/>
                    <w:tr2bl w:val="nil"/>
                  </w:tcBorders>
                  <w:shd w:val="clear" w:color="auto" w:fill="auto"/>
                  <w:vAlign w:val="center"/>
                </w:tcPr>
                <w:p w14:paraId="0322E15D">
                  <w:pPr>
                    <w:pStyle w:val="17"/>
                    <w:rPr>
                      <w:rFonts w:eastAsia="宋体"/>
                      <w:color w:val="auto"/>
                    </w:rPr>
                  </w:pPr>
                  <w:r>
                    <w:rPr>
                      <w:rFonts w:hint="eastAsia" w:eastAsia="宋体"/>
                      <w:color w:val="auto"/>
                      <w:lang w:val="en-US" w:eastAsia="zh-CN"/>
                    </w:rPr>
                    <w:t>封井作业</w:t>
                  </w:r>
                </w:p>
              </w:tc>
              <w:tc>
                <w:tcPr>
                  <w:tcW w:w="3259" w:type="pct"/>
                  <w:tcBorders>
                    <w:tl2br w:val="nil"/>
                    <w:tr2bl w:val="nil"/>
                  </w:tcBorders>
                  <w:shd w:val="clear" w:color="auto" w:fill="auto"/>
                  <w:vAlign w:val="center"/>
                </w:tcPr>
                <w:p w14:paraId="0C7C6EAB">
                  <w:pPr>
                    <w:pStyle w:val="17"/>
                    <w:rPr>
                      <w:rFonts w:eastAsia="宋体"/>
                      <w:color w:val="auto"/>
                    </w:rPr>
                  </w:pPr>
                  <w:r>
                    <w:rPr>
                      <w:rFonts w:hint="eastAsia" w:eastAsia="宋体"/>
                      <w:color w:val="auto"/>
                    </w:rPr>
                    <w:t>井口</w:t>
                  </w:r>
                  <w:r>
                    <w:rPr>
                      <w:rFonts w:hint="eastAsia" w:eastAsia="宋体"/>
                      <w:color w:val="auto"/>
                      <w:lang w:val="en-US" w:eastAsia="zh-CN"/>
                    </w:rPr>
                    <w:t>封固</w:t>
                  </w:r>
                  <w:r>
                    <w:rPr>
                      <w:rFonts w:hint="eastAsia" w:eastAsia="宋体"/>
                      <w:color w:val="auto"/>
                    </w:rPr>
                    <w:t>、井场其余设施拆除</w:t>
                  </w:r>
                </w:p>
              </w:tc>
            </w:tr>
            <w:tr w14:paraId="63CCE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vMerge w:val="restart"/>
                  <w:tcBorders>
                    <w:tl2br w:val="nil"/>
                    <w:tr2bl w:val="nil"/>
                  </w:tcBorders>
                  <w:shd w:val="clear" w:color="auto" w:fill="auto"/>
                  <w:vAlign w:val="center"/>
                </w:tcPr>
                <w:p w14:paraId="25DE3791">
                  <w:pPr>
                    <w:pStyle w:val="17"/>
                    <w:rPr>
                      <w:rFonts w:eastAsia="宋体"/>
                      <w:color w:val="auto"/>
                    </w:rPr>
                  </w:pPr>
                  <w:r>
                    <w:rPr>
                      <w:rFonts w:eastAsia="宋体"/>
                      <w:color w:val="auto"/>
                    </w:rPr>
                    <w:t>辅助工程</w:t>
                  </w:r>
                </w:p>
              </w:tc>
              <w:tc>
                <w:tcPr>
                  <w:tcW w:w="1009" w:type="pct"/>
                  <w:gridSpan w:val="2"/>
                  <w:tcBorders>
                    <w:tl2br w:val="nil"/>
                    <w:tr2bl w:val="nil"/>
                  </w:tcBorders>
                  <w:shd w:val="clear" w:color="auto" w:fill="auto"/>
                  <w:vAlign w:val="center"/>
                </w:tcPr>
                <w:p w14:paraId="65640D81">
                  <w:pPr>
                    <w:pStyle w:val="17"/>
                    <w:rPr>
                      <w:rFonts w:eastAsia="宋体"/>
                      <w:color w:val="auto"/>
                    </w:rPr>
                  </w:pPr>
                  <w:r>
                    <w:rPr>
                      <w:rFonts w:eastAsia="宋体"/>
                      <w:color w:val="auto"/>
                    </w:rPr>
                    <w:t>施工便道</w:t>
                  </w:r>
                </w:p>
              </w:tc>
              <w:tc>
                <w:tcPr>
                  <w:tcW w:w="3259" w:type="pct"/>
                  <w:tcBorders>
                    <w:tl2br w:val="nil"/>
                    <w:tr2bl w:val="nil"/>
                  </w:tcBorders>
                  <w:shd w:val="clear" w:color="auto" w:fill="auto"/>
                  <w:vAlign w:val="center"/>
                </w:tcPr>
                <w:p w14:paraId="79B20DBD">
                  <w:pPr>
                    <w:pStyle w:val="17"/>
                    <w:rPr>
                      <w:rFonts w:eastAsia="宋体"/>
                      <w:color w:val="auto"/>
                    </w:rPr>
                  </w:pPr>
                  <w:r>
                    <w:rPr>
                      <w:rFonts w:hint="eastAsia" w:eastAsia="宋体"/>
                      <w:color w:val="auto"/>
                    </w:rPr>
                    <w:t>主要依托现有道路</w:t>
                  </w:r>
                </w:p>
              </w:tc>
            </w:tr>
            <w:tr w14:paraId="1C59AE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vMerge w:val="continue"/>
                  <w:tcBorders>
                    <w:tl2br w:val="nil"/>
                    <w:tr2bl w:val="nil"/>
                  </w:tcBorders>
                  <w:shd w:val="clear" w:color="auto" w:fill="auto"/>
                  <w:vAlign w:val="center"/>
                </w:tcPr>
                <w:p w14:paraId="616C1944">
                  <w:pPr>
                    <w:pStyle w:val="17"/>
                    <w:rPr>
                      <w:rFonts w:eastAsia="宋体"/>
                      <w:color w:val="auto"/>
                    </w:rPr>
                  </w:pPr>
                </w:p>
              </w:tc>
              <w:tc>
                <w:tcPr>
                  <w:tcW w:w="1009" w:type="pct"/>
                  <w:gridSpan w:val="2"/>
                  <w:tcBorders>
                    <w:tl2br w:val="nil"/>
                    <w:tr2bl w:val="nil"/>
                  </w:tcBorders>
                  <w:shd w:val="clear" w:color="auto" w:fill="auto"/>
                  <w:vAlign w:val="center"/>
                </w:tcPr>
                <w:p w14:paraId="59859CC0">
                  <w:pPr>
                    <w:pStyle w:val="17"/>
                    <w:rPr>
                      <w:rFonts w:eastAsia="宋体"/>
                      <w:color w:val="auto"/>
                    </w:rPr>
                  </w:pPr>
                  <w:r>
                    <w:rPr>
                      <w:rFonts w:hint="eastAsia" w:eastAsia="宋体"/>
                      <w:color w:val="auto"/>
                    </w:rPr>
                    <w:t>井场配套设施</w:t>
                  </w:r>
                </w:p>
              </w:tc>
              <w:tc>
                <w:tcPr>
                  <w:tcW w:w="3259" w:type="pct"/>
                  <w:tcBorders>
                    <w:tl2br w:val="nil"/>
                    <w:tr2bl w:val="nil"/>
                  </w:tcBorders>
                  <w:shd w:val="clear" w:color="auto" w:fill="auto"/>
                  <w:vAlign w:val="center"/>
                </w:tcPr>
                <w:p w14:paraId="24BCF324">
                  <w:pPr>
                    <w:pStyle w:val="17"/>
                    <w:rPr>
                      <w:rFonts w:eastAsia="宋体"/>
                      <w:color w:val="auto"/>
                    </w:rPr>
                  </w:pPr>
                  <w:r>
                    <w:rPr>
                      <w:rFonts w:hint="eastAsia" w:eastAsia="宋体"/>
                      <w:color w:val="auto"/>
                    </w:rPr>
                    <w:t>在井场内设置临时活动板房，包括</w:t>
                  </w:r>
                  <w:r>
                    <w:rPr>
                      <w:rFonts w:hint="eastAsia" w:eastAsia="宋体"/>
                      <w:color w:val="auto"/>
                      <w:lang w:val="en-US" w:eastAsia="zh-CN"/>
                    </w:rPr>
                    <w:t>会议室</w:t>
                  </w:r>
                  <w:r>
                    <w:rPr>
                      <w:rFonts w:hint="eastAsia" w:eastAsia="宋体"/>
                      <w:color w:val="auto"/>
                    </w:rPr>
                    <w:t>、材料房、</w:t>
                  </w:r>
                  <w:r>
                    <w:rPr>
                      <w:rFonts w:hint="eastAsia" w:eastAsia="宋体"/>
                      <w:color w:val="auto"/>
                      <w:lang w:val="en-US" w:eastAsia="zh-CN"/>
                    </w:rPr>
                    <w:t>门卫</w:t>
                  </w:r>
                  <w:r>
                    <w:rPr>
                      <w:rFonts w:hint="eastAsia" w:eastAsia="宋体"/>
                      <w:color w:val="auto"/>
                    </w:rPr>
                    <w:t>等</w:t>
                  </w:r>
                </w:p>
              </w:tc>
            </w:tr>
            <w:tr w14:paraId="39AF60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vMerge w:val="restart"/>
                  <w:tcBorders>
                    <w:tl2br w:val="nil"/>
                    <w:tr2bl w:val="nil"/>
                  </w:tcBorders>
                  <w:shd w:val="clear" w:color="auto" w:fill="auto"/>
                  <w:vAlign w:val="center"/>
                </w:tcPr>
                <w:p w14:paraId="43C7813F">
                  <w:pPr>
                    <w:pStyle w:val="17"/>
                    <w:rPr>
                      <w:rFonts w:eastAsia="宋体"/>
                      <w:color w:val="auto"/>
                    </w:rPr>
                  </w:pPr>
                  <w:r>
                    <w:rPr>
                      <w:rFonts w:eastAsia="宋体"/>
                      <w:color w:val="auto"/>
                    </w:rPr>
                    <w:t>环保工程</w:t>
                  </w:r>
                </w:p>
              </w:tc>
              <w:tc>
                <w:tcPr>
                  <w:tcW w:w="285" w:type="pct"/>
                  <w:vMerge w:val="restart"/>
                  <w:tcBorders>
                    <w:tl2br w:val="nil"/>
                    <w:tr2bl w:val="nil"/>
                  </w:tcBorders>
                  <w:shd w:val="clear" w:color="auto" w:fill="auto"/>
                  <w:vAlign w:val="center"/>
                </w:tcPr>
                <w:p w14:paraId="3E233BD6">
                  <w:pPr>
                    <w:pStyle w:val="17"/>
                    <w:rPr>
                      <w:rFonts w:eastAsia="宋体"/>
                      <w:color w:val="auto"/>
                    </w:rPr>
                  </w:pPr>
                  <w:r>
                    <w:rPr>
                      <w:rFonts w:eastAsia="宋体"/>
                      <w:color w:val="auto"/>
                    </w:rPr>
                    <w:t>废气</w:t>
                  </w:r>
                </w:p>
              </w:tc>
              <w:tc>
                <w:tcPr>
                  <w:tcW w:w="723" w:type="pct"/>
                  <w:tcBorders>
                    <w:tl2br w:val="nil"/>
                    <w:tr2bl w:val="nil"/>
                  </w:tcBorders>
                  <w:shd w:val="clear" w:color="auto" w:fill="auto"/>
                  <w:vAlign w:val="center"/>
                </w:tcPr>
                <w:p w14:paraId="75B623D9">
                  <w:pPr>
                    <w:pStyle w:val="17"/>
                    <w:rPr>
                      <w:rFonts w:eastAsia="宋体"/>
                      <w:color w:val="auto"/>
                    </w:rPr>
                  </w:pPr>
                  <w:r>
                    <w:rPr>
                      <w:rFonts w:eastAsia="宋体"/>
                      <w:color w:val="auto"/>
                    </w:rPr>
                    <w:t>施工扬尘</w:t>
                  </w:r>
                </w:p>
              </w:tc>
              <w:tc>
                <w:tcPr>
                  <w:tcW w:w="3259" w:type="pct"/>
                  <w:tcBorders>
                    <w:tl2br w:val="nil"/>
                    <w:tr2bl w:val="nil"/>
                  </w:tcBorders>
                  <w:shd w:val="clear" w:color="auto" w:fill="auto"/>
                  <w:vAlign w:val="center"/>
                </w:tcPr>
                <w:p w14:paraId="5E680CA9">
                  <w:pPr>
                    <w:pStyle w:val="17"/>
                    <w:rPr>
                      <w:rFonts w:eastAsia="宋体"/>
                      <w:color w:val="auto"/>
                    </w:rPr>
                  </w:pPr>
                  <w:r>
                    <w:rPr>
                      <w:rFonts w:hint="eastAsia" w:eastAsia="宋体"/>
                      <w:color w:val="auto"/>
                    </w:rPr>
                    <w:t>施工场地洒水降尘、控制车速、设置围挡、遮盖</w:t>
                  </w:r>
                </w:p>
              </w:tc>
            </w:tr>
            <w:tr w14:paraId="58EEC4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vMerge w:val="continue"/>
                  <w:tcBorders>
                    <w:tl2br w:val="nil"/>
                    <w:tr2bl w:val="nil"/>
                  </w:tcBorders>
                  <w:shd w:val="clear" w:color="auto" w:fill="auto"/>
                  <w:vAlign w:val="center"/>
                </w:tcPr>
                <w:p w14:paraId="25612B7D">
                  <w:pPr>
                    <w:pStyle w:val="17"/>
                    <w:rPr>
                      <w:rFonts w:eastAsia="宋体"/>
                      <w:color w:val="auto"/>
                    </w:rPr>
                  </w:pPr>
                </w:p>
              </w:tc>
              <w:tc>
                <w:tcPr>
                  <w:tcW w:w="285" w:type="pct"/>
                  <w:vMerge w:val="continue"/>
                  <w:tcBorders>
                    <w:tl2br w:val="nil"/>
                    <w:tr2bl w:val="nil"/>
                  </w:tcBorders>
                  <w:shd w:val="clear" w:color="auto" w:fill="auto"/>
                  <w:vAlign w:val="center"/>
                </w:tcPr>
                <w:p w14:paraId="7BEEBE5E">
                  <w:pPr>
                    <w:pStyle w:val="17"/>
                    <w:rPr>
                      <w:rFonts w:eastAsia="宋体"/>
                      <w:color w:val="auto"/>
                    </w:rPr>
                  </w:pPr>
                </w:p>
              </w:tc>
              <w:tc>
                <w:tcPr>
                  <w:tcW w:w="723" w:type="pct"/>
                  <w:tcBorders>
                    <w:tl2br w:val="nil"/>
                    <w:tr2bl w:val="nil"/>
                  </w:tcBorders>
                  <w:shd w:val="clear" w:color="auto" w:fill="auto"/>
                  <w:vAlign w:val="center"/>
                </w:tcPr>
                <w:p w14:paraId="69B8F1CA">
                  <w:pPr>
                    <w:pStyle w:val="17"/>
                    <w:rPr>
                      <w:rFonts w:eastAsia="宋体"/>
                      <w:color w:val="auto"/>
                    </w:rPr>
                  </w:pPr>
                  <w:r>
                    <w:rPr>
                      <w:rFonts w:eastAsia="宋体"/>
                      <w:color w:val="auto"/>
                    </w:rPr>
                    <w:t>车辆尾气</w:t>
                  </w:r>
                </w:p>
              </w:tc>
              <w:tc>
                <w:tcPr>
                  <w:tcW w:w="3259" w:type="pct"/>
                  <w:tcBorders>
                    <w:tl2br w:val="nil"/>
                    <w:tr2bl w:val="nil"/>
                  </w:tcBorders>
                  <w:shd w:val="clear" w:color="auto" w:fill="auto"/>
                  <w:vAlign w:val="center"/>
                </w:tcPr>
                <w:p w14:paraId="113AA85B">
                  <w:pPr>
                    <w:pStyle w:val="17"/>
                    <w:rPr>
                      <w:rFonts w:eastAsia="宋体"/>
                      <w:color w:val="auto"/>
                    </w:rPr>
                  </w:pPr>
                  <w:r>
                    <w:rPr>
                      <w:rFonts w:hint="eastAsia" w:eastAsia="宋体"/>
                      <w:color w:val="auto"/>
                    </w:rPr>
                    <w:t>加强车辆管理和维护</w:t>
                  </w:r>
                </w:p>
              </w:tc>
            </w:tr>
            <w:tr w14:paraId="249A89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vMerge w:val="continue"/>
                  <w:tcBorders>
                    <w:tl2br w:val="nil"/>
                    <w:tr2bl w:val="nil"/>
                  </w:tcBorders>
                  <w:shd w:val="clear" w:color="auto" w:fill="auto"/>
                  <w:vAlign w:val="center"/>
                </w:tcPr>
                <w:p w14:paraId="03472E5C">
                  <w:pPr>
                    <w:pStyle w:val="17"/>
                    <w:rPr>
                      <w:rFonts w:eastAsia="宋体"/>
                      <w:color w:val="auto"/>
                    </w:rPr>
                  </w:pPr>
                </w:p>
              </w:tc>
              <w:tc>
                <w:tcPr>
                  <w:tcW w:w="285" w:type="pct"/>
                  <w:vMerge w:val="continue"/>
                  <w:tcBorders>
                    <w:tl2br w:val="nil"/>
                    <w:tr2bl w:val="nil"/>
                  </w:tcBorders>
                  <w:shd w:val="clear" w:color="auto" w:fill="auto"/>
                  <w:vAlign w:val="center"/>
                </w:tcPr>
                <w:p w14:paraId="18D1E1B3">
                  <w:pPr>
                    <w:pStyle w:val="17"/>
                    <w:rPr>
                      <w:rFonts w:eastAsia="宋体"/>
                      <w:color w:val="auto"/>
                    </w:rPr>
                  </w:pPr>
                </w:p>
              </w:tc>
              <w:tc>
                <w:tcPr>
                  <w:tcW w:w="723" w:type="pct"/>
                  <w:tcBorders>
                    <w:tl2br w:val="nil"/>
                    <w:tr2bl w:val="nil"/>
                  </w:tcBorders>
                  <w:shd w:val="clear" w:color="auto" w:fill="auto"/>
                  <w:vAlign w:val="center"/>
                </w:tcPr>
                <w:p w14:paraId="25CA9011">
                  <w:pPr>
                    <w:pStyle w:val="17"/>
                    <w:rPr>
                      <w:rFonts w:eastAsia="宋体"/>
                      <w:color w:val="auto"/>
                    </w:rPr>
                  </w:pPr>
                  <w:r>
                    <w:rPr>
                      <w:rFonts w:hint="eastAsia" w:eastAsia="宋体"/>
                      <w:color w:val="auto"/>
                    </w:rPr>
                    <w:t>试采废气</w:t>
                  </w:r>
                </w:p>
              </w:tc>
              <w:tc>
                <w:tcPr>
                  <w:tcW w:w="3259" w:type="pct"/>
                  <w:tcBorders>
                    <w:tl2br w:val="nil"/>
                    <w:tr2bl w:val="nil"/>
                  </w:tcBorders>
                  <w:shd w:val="clear" w:color="auto" w:fill="auto"/>
                  <w:vAlign w:val="center"/>
                </w:tcPr>
                <w:p w14:paraId="0B87948A">
                  <w:pPr>
                    <w:pStyle w:val="17"/>
                    <w:rPr>
                      <w:rFonts w:eastAsia="宋体"/>
                      <w:color w:val="auto"/>
                    </w:rPr>
                  </w:pPr>
                  <w:r>
                    <w:rPr>
                      <w:rFonts w:hint="eastAsia" w:eastAsia="宋体"/>
                      <w:color w:val="auto"/>
                    </w:rPr>
                    <w:t>主要为烃类气体，无组织排放</w:t>
                  </w:r>
                </w:p>
              </w:tc>
            </w:tr>
            <w:tr w14:paraId="2695A6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vMerge w:val="continue"/>
                  <w:tcBorders>
                    <w:tl2br w:val="nil"/>
                    <w:tr2bl w:val="nil"/>
                  </w:tcBorders>
                  <w:shd w:val="clear" w:color="auto" w:fill="auto"/>
                  <w:vAlign w:val="center"/>
                </w:tcPr>
                <w:p w14:paraId="6E58F358">
                  <w:pPr>
                    <w:pStyle w:val="17"/>
                    <w:rPr>
                      <w:rFonts w:eastAsia="宋体"/>
                      <w:color w:val="auto"/>
                    </w:rPr>
                  </w:pPr>
                </w:p>
              </w:tc>
              <w:tc>
                <w:tcPr>
                  <w:tcW w:w="285" w:type="pct"/>
                  <w:vMerge w:val="continue"/>
                  <w:tcBorders>
                    <w:tl2br w:val="nil"/>
                    <w:tr2bl w:val="nil"/>
                  </w:tcBorders>
                  <w:shd w:val="clear" w:color="auto" w:fill="auto"/>
                  <w:vAlign w:val="center"/>
                </w:tcPr>
                <w:p w14:paraId="6941187E">
                  <w:pPr>
                    <w:pStyle w:val="17"/>
                    <w:rPr>
                      <w:rFonts w:eastAsia="宋体"/>
                      <w:color w:val="auto"/>
                    </w:rPr>
                  </w:pPr>
                </w:p>
              </w:tc>
              <w:tc>
                <w:tcPr>
                  <w:tcW w:w="723" w:type="pct"/>
                  <w:tcBorders>
                    <w:tl2br w:val="nil"/>
                    <w:tr2bl w:val="nil"/>
                  </w:tcBorders>
                  <w:shd w:val="clear" w:color="auto" w:fill="auto"/>
                  <w:vAlign w:val="center"/>
                </w:tcPr>
                <w:p w14:paraId="19A10B66">
                  <w:pPr>
                    <w:pStyle w:val="17"/>
                    <w:ind w:firstLine="0" w:firstLineChars="0"/>
                    <w:rPr>
                      <w:rFonts w:hint="eastAsia" w:eastAsia="宋体"/>
                      <w:color w:val="auto"/>
                    </w:rPr>
                  </w:pPr>
                  <w:r>
                    <w:rPr>
                      <w:rFonts w:hint="eastAsia" w:eastAsia="宋体"/>
                      <w:color w:val="auto"/>
                      <w:lang w:val="en-US" w:eastAsia="zh-CN"/>
                    </w:rPr>
                    <w:t>柴油应急发电燃烧废气</w:t>
                  </w:r>
                </w:p>
              </w:tc>
              <w:tc>
                <w:tcPr>
                  <w:tcW w:w="3259" w:type="pct"/>
                  <w:tcBorders>
                    <w:tl2br w:val="nil"/>
                    <w:tr2bl w:val="nil"/>
                  </w:tcBorders>
                  <w:shd w:val="clear" w:color="auto" w:fill="auto"/>
                  <w:vAlign w:val="center"/>
                </w:tcPr>
                <w:p w14:paraId="08E10F18">
                  <w:pPr>
                    <w:pStyle w:val="17"/>
                    <w:ind w:firstLine="0" w:firstLineChars="0"/>
                    <w:rPr>
                      <w:rFonts w:hint="eastAsia" w:eastAsia="宋体"/>
                      <w:color w:val="auto"/>
                    </w:rPr>
                  </w:pPr>
                  <w:r>
                    <w:rPr>
                      <w:rFonts w:hint="eastAsia" w:eastAsia="宋体"/>
                      <w:color w:val="auto"/>
                      <w:lang w:val="en-US" w:eastAsia="zh-CN"/>
                    </w:rPr>
                    <w:t>通过简易排气管排放，排气管朝向避开居民分布及项目区工作人员办公生活的方位</w:t>
                  </w:r>
                </w:p>
              </w:tc>
            </w:tr>
            <w:tr w14:paraId="4AF0D1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1" w:type="pct"/>
                  <w:vMerge w:val="continue"/>
                  <w:tcBorders>
                    <w:tl2br w:val="nil"/>
                    <w:tr2bl w:val="nil"/>
                  </w:tcBorders>
                  <w:shd w:val="clear" w:color="auto" w:fill="auto"/>
                  <w:vAlign w:val="center"/>
                </w:tcPr>
                <w:p w14:paraId="45E8E00A">
                  <w:pPr>
                    <w:pStyle w:val="17"/>
                    <w:rPr>
                      <w:rFonts w:eastAsia="宋体"/>
                      <w:color w:val="auto"/>
                    </w:rPr>
                  </w:pPr>
                </w:p>
              </w:tc>
              <w:tc>
                <w:tcPr>
                  <w:tcW w:w="285" w:type="pct"/>
                  <w:vMerge w:val="restart"/>
                  <w:tcBorders>
                    <w:tl2br w:val="nil"/>
                    <w:tr2bl w:val="nil"/>
                  </w:tcBorders>
                  <w:shd w:val="clear" w:color="auto" w:fill="auto"/>
                  <w:vAlign w:val="center"/>
                </w:tcPr>
                <w:p w14:paraId="7FC3668C">
                  <w:pPr>
                    <w:pStyle w:val="17"/>
                    <w:rPr>
                      <w:rFonts w:eastAsia="宋体"/>
                      <w:color w:val="auto"/>
                    </w:rPr>
                  </w:pPr>
                  <w:r>
                    <w:rPr>
                      <w:rFonts w:eastAsia="宋体"/>
                      <w:color w:val="auto"/>
                    </w:rPr>
                    <w:t>废水</w:t>
                  </w:r>
                </w:p>
              </w:tc>
              <w:tc>
                <w:tcPr>
                  <w:tcW w:w="723" w:type="pct"/>
                  <w:tcBorders>
                    <w:tl2br w:val="nil"/>
                    <w:tr2bl w:val="nil"/>
                  </w:tcBorders>
                  <w:shd w:val="clear" w:color="auto" w:fill="auto"/>
                  <w:vAlign w:val="center"/>
                </w:tcPr>
                <w:p w14:paraId="0F3F7DEF">
                  <w:pPr>
                    <w:pStyle w:val="17"/>
                    <w:rPr>
                      <w:rFonts w:eastAsia="宋体"/>
                      <w:color w:val="auto"/>
                    </w:rPr>
                  </w:pPr>
                  <w:r>
                    <w:rPr>
                      <w:rFonts w:eastAsia="宋体"/>
                      <w:color w:val="auto"/>
                    </w:rPr>
                    <w:t>钻井</w:t>
                  </w:r>
                  <w:r>
                    <w:rPr>
                      <w:rFonts w:hint="eastAsia" w:eastAsia="宋体"/>
                      <w:color w:val="auto"/>
                      <w:lang w:val="en-US" w:eastAsia="zh-CN"/>
                    </w:rPr>
                    <w:t>作业</w:t>
                  </w:r>
                  <w:r>
                    <w:rPr>
                      <w:rFonts w:eastAsia="宋体"/>
                      <w:color w:val="auto"/>
                    </w:rPr>
                    <w:t>废水</w:t>
                  </w:r>
                </w:p>
              </w:tc>
              <w:tc>
                <w:tcPr>
                  <w:tcW w:w="3259" w:type="pct"/>
                  <w:tcBorders>
                    <w:tl2br w:val="nil"/>
                    <w:tr2bl w:val="nil"/>
                  </w:tcBorders>
                  <w:shd w:val="clear" w:color="auto" w:fill="auto"/>
                  <w:vAlign w:val="center"/>
                </w:tcPr>
                <w:p w14:paraId="2379C596">
                  <w:pPr>
                    <w:pStyle w:val="17"/>
                    <w:jc w:val="center"/>
                    <w:rPr>
                      <w:rFonts w:eastAsia="宋体"/>
                      <w:color w:val="auto"/>
                    </w:rPr>
                  </w:pPr>
                  <w:r>
                    <w:rPr>
                      <w:rFonts w:hint="eastAsia" w:eastAsia="宋体"/>
                      <w:color w:val="auto"/>
                      <w:lang w:val="en-US" w:eastAsia="zh-CN"/>
                    </w:rPr>
                    <w:t>钻井废水、洗井废水、压裂废水</w:t>
                  </w:r>
                  <w:r>
                    <w:rPr>
                      <w:rFonts w:hint="eastAsia" w:eastAsia="宋体"/>
                      <w:color w:val="auto"/>
                    </w:rPr>
                    <w:t>由罐车收集</w:t>
                  </w:r>
                  <w:r>
                    <w:rPr>
                      <w:rFonts w:hint="eastAsia" w:eastAsia="宋体"/>
                      <w:color w:val="auto"/>
                      <w:lang w:val="en-US" w:eastAsia="zh-CN"/>
                    </w:rPr>
                    <w:t>后</w:t>
                  </w:r>
                  <w:r>
                    <w:rPr>
                      <w:rFonts w:hint="eastAsia" w:eastAsia="宋体"/>
                      <w:color w:val="auto"/>
                    </w:rPr>
                    <w:t>运至附近的</w:t>
                  </w:r>
                  <w:r>
                    <w:rPr>
                      <w:rFonts w:hint="eastAsia" w:eastAsia="宋体" w:cs="Times New Roman"/>
                      <w:b w:val="0"/>
                      <w:bCs/>
                      <w:color w:val="auto"/>
                      <w:lang w:val="en-US" w:eastAsia="zh-CN"/>
                    </w:rPr>
                    <w:t>沙埝</w:t>
                  </w:r>
                  <w:r>
                    <w:rPr>
                      <w:rFonts w:hint="eastAsia" w:ascii="Times New Roman" w:hAnsi="Times New Roman" w:eastAsia="宋体" w:cs="Times New Roman"/>
                      <w:b w:val="0"/>
                      <w:bCs/>
                      <w:color w:val="auto"/>
                    </w:rPr>
                    <w:t>联合站</w:t>
                  </w:r>
                  <w:r>
                    <w:rPr>
                      <w:rFonts w:hint="eastAsia" w:eastAsia="宋体"/>
                      <w:color w:val="auto"/>
                    </w:rPr>
                    <w:t>，处理</w:t>
                  </w:r>
                  <w:r>
                    <w:rPr>
                      <w:rFonts w:hint="eastAsia" w:eastAsia="宋体"/>
                      <w:color w:val="auto"/>
                      <w:lang w:val="en-US" w:eastAsia="zh-CN"/>
                    </w:rPr>
                    <w:t>达</w:t>
                  </w:r>
                  <w:r>
                    <w:rPr>
                      <w:rFonts w:hint="eastAsia" w:eastAsia="宋体"/>
                      <w:color w:val="auto"/>
                    </w:rPr>
                    <w:t>《碎屑岩油藏注水水质指标技术要求及分析方法》（SY/T5329-2022）标准后用于油田开发注水，不外排</w:t>
                  </w:r>
                </w:p>
              </w:tc>
            </w:tr>
            <w:tr w14:paraId="351023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vMerge w:val="continue"/>
                  <w:tcBorders>
                    <w:tl2br w:val="nil"/>
                    <w:tr2bl w:val="nil"/>
                  </w:tcBorders>
                  <w:shd w:val="clear" w:color="auto" w:fill="auto"/>
                  <w:vAlign w:val="center"/>
                </w:tcPr>
                <w:p w14:paraId="42513ED8">
                  <w:pPr>
                    <w:pStyle w:val="17"/>
                    <w:rPr>
                      <w:rFonts w:eastAsia="宋体"/>
                      <w:color w:val="auto"/>
                    </w:rPr>
                  </w:pPr>
                </w:p>
              </w:tc>
              <w:tc>
                <w:tcPr>
                  <w:tcW w:w="285" w:type="pct"/>
                  <w:vMerge w:val="continue"/>
                  <w:tcBorders>
                    <w:tl2br w:val="nil"/>
                    <w:tr2bl w:val="nil"/>
                  </w:tcBorders>
                  <w:shd w:val="clear" w:color="auto" w:fill="auto"/>
                  <w:vAlign w:val="center"/>
                </w:tcPr>
                <w:p w14:paraId="23294885">
                  <w:pPr>
                    <w:pStyle w:val="17"/>
                    <w:rPr>
                      <w:rFonts w:eastAsia="宋体"/>
                      <w:color w:val="auto"/>
                    </w:rPr>
                  </w:pPr>
                </w:p>
              </w:tc>
              <w:tc>
                <w:tcPr>
                  <w:tcW w:w="723" w:type="pct"/>
                  <w:tcBorders>
                    <w:tl2br w:val="nil"/>
                    <w:tr2bl w:val="nil"/>
                  </w:tcBorders>
                  <w:shd w:val="clear" w:color="auto" w:fill="auto"/>
                  <w:vAlign w:val="center"/>
                </w:tcPr>
                <w:p w14:paraId="09DFA2BD">
                  <w:pPr>
                    <w:pStyle w:val="17"/>
                    <w:rPr>
                      <w:rFonts w:eastAsia="宋体"/>
                      <w:color w:val="auto"/>
                    </w:rPr>
                  </w:pPr>
                  <w:r>
                    <w:rPr>
                      <w:rFonts w:eastAsia="宋体"/>
                      <w:color w:val="auto"/>
                    </w:rPr>
                    <w:t>生活污水</w:t>
                  </w:r>
                </w:p>
              </w:tc>
              <w:tc>
                <w:tcPr>
                  <w:tcW w:w="3259" w:type="pct"/>
                  <w:tcBorders>
                    <w:tl2br w:val="nil"/>
                    <w:tr2bl w:val="nil"/>
                  </w:tcBorders>
                  <w:shd w:val="clear" w:color="auto" w:fill="auto"/>
                  <w:vAlign w:val="center"/>
                </w:tcPr>
                <w:p w14:paraId="37467329">
                  <w:pPr>
                    <w:pStyle w:val="17"/>
                    <w:rPr>
                      <w:rFonts w:eastAsia="宋体"/>
                      <w:color w:val="auto"/>
                    </w:rPr>
                  </w:pPr>
                  <w:r>
                    <w:rPr>
                      <w:rFonts w:hint="eastAsia" w:eastAsia="宋体"/>
                      <w:color w:val="auto"/>
                    </w:rPr>
                    <w:t>井场设置钻井队便携式公共厕所</w:t>
                  </w:r>
                </w:p>
              </w:tc>
            </w:tr>
            <w:tr w14:paraId="6ABC3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vMerge w:val="continue"/>
                  <w:tcBorders>
                    <w:tl2br w:val="nil"/>
                    <w:tr2bl w:val="nil"/>
                  </w:tcBorders>
                  <w:shd w:val="clear" w:color="auto" w:fill="auto"/>
                  <w:vAlign w:val="center"/>
                </w:tcPr>
                <w:p w14:paraId="4ADDB41E">
                  <w:pPr>
                    <w:pStyle w:val="17"/>
                    <w:rPr>
                      <w:rFonts w:eastAsia="宋体"/>
                      <w:color w:val="auto"/>
                    </w:rPr>
                  </w:pPr>
                </w:p>
              </w:tc>
              <w:tc>
                <w:tcPr>
                  <w:tcW w:w="285" w:type="pct"/>
                  <w:vMerge w:val="continue"/>
                  <w:tcBorders>
                    <w:tl2br w:val="nil"/>
                    <w:tr2bl w:val="nil"/>
                  </w:tcBorders>
                  <w:shd w:val="clear" w:color="auto" w:fill="auto"/>
                  <w:vAlign w:val="center"/>
                </w:tcPr>
                <w:p w14:paraId="5BAF0215">
                  <w:pPr>
                    <w:pStyle w:val="17"/>
                    <w:rPr>
                      <w:rFonts w:eastAsia="宋体"/>
                      <w:color w:val="auto"/>
                    </w:rPr>
                  </w:pPr>
                </w:p>
              </w:tc>
              <w:tc>
                <w:tcPr>
                  <w:tcW w:w="1110" w:type="dxa"/>
                  <w:tcBorders>
                    <w:tl2br w:val="nil"/>
                    <w:tr2bl w:val="nil"/>
                  </w:tcBorders>
                  <w:shd w:val="clear" w:color="auto" w:fill="auto"/>
                  <w:vAlign w:val="center"/>
                </w:tcPr>
                <w:p w14:paraId="685A36B7">
                  <w:pPr>
                    <w:pStyle w:val="17"/>
                    <w:ind w:firstLine="0" w:firstLineChars="0"/>
                    <w:rPr>
                      <w:rFonts w:eastAsia="宋体"/>
                      <w:color w:val="auto"/>
                    </w:rPr>
                  </w:pPr>
                  <w:r>
                    <w:rPr>
                      <w:rFonts w:hint="eastAsia" w:ascii="Times New Roman" w:hAnsi="Times New Roman" w:eastAsia="宋体" w:cs="Times New Roman"/>
                      <w:color w:val="auto"/>
                      <w:lang w:val="en-US" w:eastAsia="zh-CN"/>
                    </w:rPr>
                    <w:t>初期雨水</w:t>
                  </w:r>
                </w:p>
              </w:tc>
              <w:tc>
                <w:tcPr>
                  <w:tcW w:w="4998" w:type="dxa"/>
                  <w:tcBorders>
                    <w:tl2br w:val="nil"/>
                    <w:tr2bl w:val="nil"/>
                  </w:tcBorders>
                  <w:shd w:val="clear" w:color="auto" w:fill="auto"/>
                  <w:vAlign w:val="center"/>
                </w:tcPr>
                <w:p w14:paraId="37FB24C6">
                  <w:pPr>
                    <w:pStyle w:val="17"/>
                    <w:ind w:firstLine="0" w:firstLineChars="0"/>
                    <w:rPr>
                      <w:rFonts w:hint="eastAsia" w:eastAsia="宋体"/>
                      <w:color w:val="auto"/>
                    </w:rPr>
                  </w:pPr>
                  <w:r>
                    <w:rPr>
                      <w:rFonts w:hint="eastAsia" w:ascii="Times New Roman" w:hAnsi="Times New Roman" w:eastAsia="宋体" w:cs="Times New Roman"/>
                      <w:color w:val="auto"/>
                      <w:lang w:val="en-US" w:eastAsia="zh-CN"/>
                    </w:rPr>
                    <w:t>场区内设初期雨水池1个，共</w:t>
                  </w:r>
                  <w:r>
                    <w:rPr>
                      <w:rFonts w:hint="eastAsia" w:eastAsia="宋体" w:cs="Times New Roman"/>
                      <w:color w:val="auto"/>
                      <w:lang w:val="en-US" w:eastAsia="zh-CN"/>
                    </w:rPr>
                    <w:t>2</w:t>
                  </w:r>
                  <w:r>
                    <w:rPr>
                      <w:rFonts w:hint="eastAsia" w:ascii="Times New Roman" w:hAnsi="Times New Roman" w:eastAsia="宋体" w:cs="Times New Roman"/>
                      <w:color w:val="auto"/>
                      <w:lang w:val="en-US" w:eastAsia="zh-CN"/>
                    </w:rPr>
                    <w:t>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，初期雨水收集后与洗井废水等一并送到</w:t>
                  </w:r>
                  <w:r>
                    <w:rPr>
                      <w:rFonts w:hint="eastAsia" w:eastAsia="宋体" w:cs="Times New Roman"/>
                      <w:b w:val="0"/>
                      <w:bCs/>
                      <w:color w:val="auto"/>
                      <w:lang w:val="en-US" w:eastAsia="zh-CN"/>
                    </w:rPr>
                    <w:t>沙埝</w:t>
                  </w:r>
                  <w:r>
                    <w:rPr>
                      <w:rFonts w:hint="eastAsia" w:ascii="Times New Roman" w:hAnsi="Times New Roman" w:eastAsia="宋体" w:cs="Times New Roman"/>
                      <w:b w:val="0"/>
                      <w:bCs/>
                      <w:color w:val="auto"/>
                    </w:rPr>
                    <w:t>联合站</w:t>
                  </w:r>
                  <w:r>
                    <w:rPr>
                      <w:rFonts w:hint="eastAsia" w:eastAsia="宋体"/>
                      <w:color w:val="auto"/>
                      <w:highlight w:val="none"/>
                      <w:lang w:val="en-US" w:eastAsia="zh-CN"/>
                    </w:rPr>
                    <w:t>处置</w:t>
                  </w:r>
                </w:p>
              </w:tc>
            </w:tr>
            <w:tr w14:paraId="038E4B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vMerge w:val="continue"/>
                  <w:tcBorders>
                    <w:tl2br w:val="nil"/>
                    <w:tr2bl w:val="nil"/>
                  </w:tcBorders>
                  <w:shd w:val="clear" w:color="auto" w:fill="auto"/>
                  <w:vAlign w:val="center"/>
                </w:tcPr>
                <w:p w14:paraId="3C5B57EC">
                  <w:pPr>
                    <w:pStyle w:val="17"/>
                    <w:rPr>
                      <w:rFonts w:eastAsia="宋体"/>
                      <w:color w:val="auto"/>
                    </w:rPr>
                  </w:pPr>
                </w:p>
              </w:tc>
              <w:tc>
                <w:tcPr>
                  <w:tcW w:w="285" w:type="pct"/>
                  <w:vMerge w:val="restart"/>
                  <w:tcBorders>
                    <w:tl2br w:val="nil"/>
                    <w:tr2bl w:val="nil"/>
                  </w:tcBorders>
                  <w:shd w:val="clear" w:color="auto" w:fill="auto"/>
                  <w:vAlign w:val="center"/>
                </w:tcPr>
                <w:p w14:paraId="5C5C8CB9">
                  <w:pPr>
                    <w:pStyle w:val="17"/>
                    <w:rPr>
                      <w:rFonts w:eastAsia="宋体"/>
                      <w:color w:val="auto"/>
                    </w:rPr>
                  </w:pPr>
                  <w:r>
                    <w:rPr>
                      <w:rFonts w:eastAsia="宋体"/>
                      <w:color w:val="auto"/>
                    </w:rPr>
                    <w:t>固废</w:t>
                  </w:r>
                </w:p>
              </w:tc>
              <w:tc>
                <w:tcPr>
                  <w:tcW w:w="723" w:type="pct"/>
                  <w:tcBorders>
                    <w:tl2br w:val="nil"/>
                    <w:tr2bl w:val="nil"/>
                  </w:tcBorders>
                  <w:shd w:val="clear" w:color="auto" w:fill="auto"/>
                  <w:vAlign w:val="center"/>
                </w:tcPr>
                <w:p w14:paraId="149B2E73">
                  <w:pPr>
                    <w:pStyle w:val="17"/>
                    <w:ind w:firstLine="0" w:firstLineChars="0"/>
                    <w:rPr>
                      <w:rFonts w:eastAsia="宋体"/>
                      <w:color w:val="auto"/>
                    </w:rPr>
                  </w:pPr>
                  <w:r>
                    <w:rPr>
                      <w:rFonts w:hint="eastAsia" w:eastAsia="宋体"/>
                      <w:color w:val="auto"/>
                      <w:lang w:val="en-US" w:eastAsia="zh-CN"/>
                    </w:rPr>
                    <w:t>一般固废</w:t>
                  </w:r>
                </w:p>
              </w:tc>
              <w:tc>
                <w:tcPr>
                  <w:tcW w:w="3259" w:type="pct"/>
                  <w:tcBorders>
                    <w:tl2br w:val="nil"/>
                    <w:tr2bl w:val="nil"/>
                  </w:tcBorders>
                  <w:shd w:val="clear" w:color="auto" w:fill="auto"/>
                  <w:vAlign w:val="center"/>
                </w:tcPr>
                <w:p w14:paraId="29A29188">
                  <w:pPr>
                    <w:pStyle w:val="17"/>
                    <w:ind w:firstLine="0" w:firstLineChars="0"/>
                    <w:rPr>
                      <w:rFonts w:hint="eastAsia" w:eastAsia="宋体"/>
                      <w:color w:val="auto"/>
                      <w:lang w:eastAsia="zh-CN"/>
                    </w:rPr>
                  </w:pPr>
                  <w:r>
                    <w:rPr>
                      <w:rFonts w:hint="eastAsia" w:eastAsia="宋体"/>
                      <w:color w:val="auto"/>
                      <w:lang w:val="en-US" w:eastAsia="zh-CN"/>
                    </w:rPr>
                    <w:t>分别</w:t>
                  </w:r>
                  <w:r>
                    <w:rPr>
                      <w:rFonts w:eastAsia="宋体"/>
                      <w:color w:val="auto"/>
                    </w:rPr>
                    <w:t>采</w:t>
                  </w:r>
                  <w:r>
                    <w:rPr>
                      <w:rFonts w:hint="eastAsia" w:eastAsia="宋体"/>
                      <w:color w:val="auto"/>
                      <w:lang w:val="en-US" w:eastAsia="zh-CN"/>
                    </w:rPr>
                    <w:t>用</w:t>
                  </w:r>
                  <w:r>
                    <w:rPr>
                      <w:rFonts w:eastAsia="宋体"/>
                      <w:color w:val="auto"/>
                    </w:rPr>
                    <w:t>泥浆不落地</w:t>
                  </w:r>
                  <w:r>
                    <w:rPr>
                      <w:rFonts w:hint="eastAsia" w:eastAsia="宋体"/>
                      <w:color w:val="auto"/>
                      <w:lang w:val="en-US" w:eastAsia="zh-CN"/>
                    </w:rPr>
                    <w:t>系统中的泥浆罐、岩屑罐收集废弃</w:t>
                  </w:r>
                  <w:r>
                    <w:rPr>
                      <w:rFonts w:hint="eastAsia" w:eastAsia="宋体"/>
                      <w:color w:val="auto"/>
                    </w:rPr>
                    <w:t>水基</w:t>
                  </w:r>
                  <w:r>
                    <w:rPr>
                      <w:rFonts w:hint="eastAsia" w:eastAsia="宋体"/>
                      <w:color w:val="auto"/>
                      <w:lang w:val="en-US" w:eastAsia="zh-CN"/>
                    </w:rPr>
                    <w:t>泥浆、岩屑</w:t>
                  </w:r>
                  <w:r>
                    <w:rPr>
                      <w:rFonts w:hint="eastAsia" w:eastAsia="宋体"/>
                      <w:color w:val="auto"/>
                      <w:lang w:eastAsia="zh-CN"/>
                    </w:rPr>
                    <w:t>，</w:t>
                  </w:r>
                  <w:r>
                    <w:rPr>
                      <w:rFonts w:hint="eastAsia" w:eastAsia="宋体"/>
                      <w:color w:val="auto"/>
                    </w:rPr>
                    <w:t>水基</w:t>
                  </w:r>
                  <w:r>
                    <w:rPr>
                      <w:rFonts w:eastAsia="宋体"/>
                      <w:color w:val="auto"/>
                    </w:rPr>
                    <w:t>泥浆、岩屑脱水后外运</w:t>
                  </w:r>
                  <w:r>
                    <w:rPr>
                      <w:rFonts w:hint="eastAsia" w:eastAsia="宋体"/>
                      <w:color w:val="auto"/>
                      <w:lang w:val="en-US" w:eastAsia="zh-CN"/>
                    </w:rPr>
                    <w:t>作</w:t>
                  </w:r>
                  <w:r>
                    <w:rPr>
                      <w:rFonts w:eastAsia="宋体"/>
                      <w:color w:val="auto"/>
                    </w:rPr>
                    <w:t>建材制砖材料综合利用</w:t>
                  </w:r>
                  <w:r>
                    <w:rPr>
                      <w:rFonts w:hint="eastAsia" w:eastAsia="宋体"/>
                      <w:color w:val="auto"/>
                      <w:lang w:eastAsia="zh-CN"/>
                    </w:rPr>
                    <w:t>；</w:t>
                  </w:r>
                  <w:r>
                    <w:rPr>
                      <w:rFonts w:hint="eastAsia" w:eastAsia="宋体"/>
                      <w:color w:val="auto"/>
                    </w:rPr>
                    <w:t>施工废料尽量回收利用，不能回收利用的打包交给环卫部门处理</w:t>
                  </w:r>
                </w:p>
              </w:tc>
            </w:tr>
            <w:tr w14:paraId="4710B9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vMerge w:val="continue"/>
                  <w:tcBorders>
                    <w:tl2br w:val="nil"/>
                    <w:tr2bl w:val="nil"/>
                  </w:tcBorders>
                  <w:shd w:val="clear" w:color="auto" w:fill="auto"/>
                  <w:vAlign w:val="center"/>
                </w:tcPr>
                <w:p w14:paraId="2DC8F205">
                  <w:pPr>
                    <w:pStyle w:val="17"/>
                    <w:rPr>
                      <w:rFonts w:eastAsia="宋体"/>
                      <w:color w:val="auto"/>
                    </w:rPr>
                  </w:pPr>
                </w:p>
              </w:tc>
              <w:tc>
                <w:tcPr>
                  <w:tcW w:w="285" w:type="pct"/>
                  <w:vMerge w:val="continue"/>
                  <w:tcBorders>
                    <w:tl2br w:val="nil"/>
                    <w:tr2bl w:val="nil"/>
                  </w:tcBorders>
                  <w:shd w:val="clear" w:color="auto" w:fill="auto"/>
                  <w:vAlign w:val="center"/>
                </w:tcPr>
                <w:p w14:paraId="5192367C">
                  <w:pPr>
                    <w:pStyle w:val="17"/>
                    <w:rPr>
                      <w:rFonts w:eastAsia="宋体"/>
                      <w:color w:val="auto"/>
                    </w:rPr>
                  </w:pPr>
                </w:p>
              </w:tc>
              <w:tc>
                <w:tcPr>
                  <w:tcW w:w="723" w:type="pct"/>
                  <w:tcBorders>
                    <w:tl2br w:val="nil"/>
                    <w:tr2bl w:val="nil"/>
                  </w:tcBorders>
                  <w:shd w:val="clear" w:color="auto" w:fill="auto"/>
                  <w:vAlign w:val="center"/>
                </w:tcPr>
                <w:p w14:paraId="557583E8">
                  <w:pPr>
                    <w:pStyle w:val="17"/>
                    <w:rPr>
                      <w:rFonts w:eastAsia="宋体"/>
                      <w:color w:val="auto"/>
                    </w:rPr>
                  </w:pPr>
                  <w:r>
                    <w:rPr>
                      <w:rFonts w:eastAsia="宋体"/>
                      <w:color w:val="auto"/>
                    </w:rPr>
                    <w:t>生活垃圾</w:t>
                  </w:r>
                </w:p>
              </w:tc>
              <w:tc>
                <w:tcPr>
                  <w:tcW w:w="3259" w:type="pct"/>
                  <w:tcBorders>
                    <w:tl2br w:val="nil"/>
                    <w:tr2bl w:val="nil"/>
                  </w:tcBorders>
                  <w:shd w:val="clear" w:color="auto" w:fill="auto"/>
                  <w:vAlign w:val="center"/>
                </w:tcPr>
                <w:p w14:paraId="2C7B1863">
                  <w:pPr>
                    <w:pStyle w:val="17"/>
                    <w:rPr>
                      <w:rFonts w:eastAsia="宋体"/>
                      <w:color w:val="auto"/>
                    </w:rPr>
                  </w:pPr>
                  <w:r>
                    <w:rPr>
                      <w:rFonts w:hint="eastAsia" w:eastAsia="宋体"/>
                      <w:color w:val="auto"/>
                    </w:rPr>
                    <w:t>环卫部门清运</w:t>
                  </w:r>
                </w:p>
              </w:tc>
            </w:tr>
            <w:tr w14:paraId="61A58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vMerge w:val="continue"/>
                  <w:tcBorders>
                    <w:tl2br w:val="nil"/>
                    <w:tr2bl w:val="nil"/>
                  </w:tcBorders>
                  <w:shd w:val="clear" w:color="auto" w:fill="auto"/>
                  <w:vAlign w:val="center"/>
                </w:tcPr>
                <w:p w14:paraId="7E22B1CE">
                  <w:pPr>
                    <w:pStyle w:val="17"/>
                    <w:rPr>
                      <w:rFonts w:eastAsia="宋体"/>
                      <w:color w:val="auto"/>
                    </w:rPr>
                  </w:pPr>
                </w:p>
              </w:tc>
              <w:tc>
                <w:tcPr>
                  <w:tcW w:w="285" w:type="pct"/>
                  <w:vMerge w:val="continue"/>
                  <w:tcBorders>
                    <w:tl2br w:val="nil"/>
                    <w:tr2bl w:val="nil"/>
                  </w:tcBorders>
                  <w:shd w:val="clear" w:color="auto" w:fill="auto"/>
                  <w:vAlign w:val="center"/>
                </w:tcPr>
                <w:p w14:paraId="2EA25483">
                  <w:pPr>
                    <w:pStyle w:val="17"/>
                    <w:rPr>
                      <w:rFonts w:eastAsia="宋体"/>
                      <w:color w:val="auto"/>
                    </w:rPr>
                  </w:pPr>
                </w:p>
              </w:tc>
              <w:tc>
                <w:tcPr>
                  <w:tcW w:w="723" w:type="pct"/>
                  <w:tcBorders>
                    <w:tl2br w:val="nil"/>
                    <w:tr2bl w:val="nil"/>
                  </w:tcBorders>
                  <w:shd w:val="clear" w:color="auto" w:fill="auto"/>
                  <w:vAlign w:val="center"/>
                </w:tcPr>
                <w:p w14:paraId="0315E52A">
                  <w:pPr>
                    <w:pStyle w:val="17"/>
                    <w:ind w:firstLine="0" w:firstLineChars="0"/>
                    <w:rPr>
                      <w:rFonts w:eastAsia="宋体"/>
                      <w:color w:val="auto"/>
                    </w:rPr>
                  </w:pPr>
                  <w:r>
                    <w:rPr>
                      <w:rFonts w:hint="eastAsia" w:eastAsia="宋体"/>
                      <w:color w:val="auto"/>
                    </w:rPr>
                    <w:t>危险废物</w:t>
                  </w:r>
                </w:p>
              </w:tc>
              <w:tc>
                <w:tcPr>
                  <w:tcW w:w="3259" w:type="pct"/>
                  <w:tcBorders>
                    <w:tl2br w:val="nil"/>
                    <w:tr2bl w:val="nil"/>
                  </w:tcBorders>
                  <w:shd w:val="clear" w:color="auto" w:fill="auto"/>
                  <w:vAlign w:val="center"/>
                </w:tcPr>
                <w:p w14:paraId="35674A15">
                  <w:pPr>
                    <w:pStyle w:val="17"/>
                    <w:ind w:firstLine="0" w:firstLineChars="0"/>
                    <w:rPr>
                      <w:rFonts w:hint="eastAsia" w:eastAsia="宋体"/>
                      <w:color w:val="auto"/>
                    </w:rPr>
                  </w:pPr>
                  <w:r>
                    <w:rPr>
                      <w:rFonts w:hint="eastAsia" w:eastAsia="宋体"/>
                      <w:color w:val="auto"/>
                    </w:rPr>
                    <w:t>废润滑油</w:t>
                  </w:r>
                  <w:r>
                    <w:rPr>
                      <w:rFonts w:hint="eastAsia" w:eastAsia="宋体"/>
                      <w:color w:val="auto"/>
                      <w:lang w:eastAsia="zh-CN"/>
                    </w:rPr>
                    <w:t>、</w:t>
                  </w:r>
                  <w:r>
                    <w:rPr>
                      <w:rFonts w:hint="eastAsia" w:eastAsia="宋体"/>
                      <w:color w:val="auto"/>
                      <w:lang w:val="en-US" w:eastAsia="zh-CN"/>
                    </w:rPr>
                    <w:t>废沾油防渗膜</w:t>
                  </w:r>
                  <w:r>
                    <w:rPr>
                      <w:rFonts w:hint="eastAsia" w:eastAsia="宋体"/>
                      <w:color w:val="auto"/>
                    </w:rPr>
                    <w:t>，委托资质单位处置</w:t>
                  </w:r>
                </w:p>
              </w:tc>
            </w:tr>
            <w:tr w14:paraId="7D86AE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vMerge w:val="continue"/>
                  <w:tcBorders>
                    <w:tl2br w:val="nil"/>
                    <w:tr2bl w:val="nil"/>
                  </w:tcBorders>
                  <w:shd w:val="clear" w:color="auto" w:fill="auto"/>
                  <w:vAlign w:val="center"/>
                </w:tcPr>
                <w:p w14:paraId="65880A36">
                  <w:pPr>
                    <w:pStyle w:val="17"/>
                    <w:rPr>
                      <w:rFonts w:eastAsia="宋体"/>
                      <w:color w:val="auto"/>
                    </w:rPr>
                  </w:pPr>
                </w:p>
              </w:tc>
              <w:tc>
                <w:tcPr>
                  <w:tcW w:w="1009" w:type="pct"/>
                  <w:gridSpan w:val="2"/>
                  <w:tcBorders>
                    <w:tl2br w:val="nil"/>
                    <w:tr2bl w:val="nil"/>
                  </w:tcBorders>
                  <w:shd w:val="clear" w:color="auto" w:fill="auto"/>
                  <w:vAlign w:val="center"/>
                </w:tcPr>
                <w:p w14:paraId="60FCDF1A">
                  <w:pPr>
                    <w:pStyle w:val="17"/>
                    <w:rPr>
                      <w:rFonts w:eastAsia="宋体"/>
                      <w:color w:val="auto"/>
                    </w:rPr>
                  </w:pPr>
                  <w:r>
                    <w:rPr>
                      <w:rFonts w:eastAsia="宋体"/>
                      <w:color w:val="auto"/>
                    </w:rPr>
                    <w:t>噪声</w:t>
                  </w:r>
                </w:p>
              </w:tc>
              <w:tc>
                <w:tcPr>
                  <w:tcW w:w="3259" w:type="pct"/>
                  <w:tcBorders>
                    <w:tl2br w:val="nil"/>
                    <w:tr2bl w:val="nil"/>
                  </w:tcBorders>
                  <w:shd w:val="clear" w:color="auto" w:fill="auto"/>
                  <w:vAlign w:val="center"/>
                </w:tcPr>
                <w:p w14:paraId="365F7A6C">
                  <w:pPr>
                    <w:pStyle w:val="17"/>
                    <w:rPr>
                      <w:rFonts w:eastAsia="宋体"/>
                      <w:color w:val="auto"/>
                    </w:rPr>
                  </w:pPr>
                  <w:r>
                    <w:rPr>
                      <w:rFonts w:hint="eastAsia" w:eastAsia="宋体"/>
                      <w:color w:val="auto"/>
                    </w:rPr>
                    <w:t>合理布置施工现场，选用低噪声设备，基础减振</w:t>
                  </w:r>
                </w:p>
              </w:tc>
            </w:tr>
            <w:tr w14:paraId="694F3F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vMerge w:val="continue"/>
                  <w:tcBorders>
                    <w:tl2br w:val="nil"/>
                    <w:tr2bl w:val="nil"/>
                  </w:tcBorders>
                  <w:shd w:val="clear" w:color="auto" w:fill="auto"/>
                  <w:vAlign w:val="center"/>
                </w:tcPr>
                <w:p w14:paraId="6D2FDB23">
                  <w:pPr>
                    <w:pStyle w:val="17"/>
                    <w:rPr>
                      <w:rFonts w:eastAsia="宋体"/>
                      <w:color w:val="auto"/>
                    </w:rPr>
                  </w:pPr>
                </w:p>
              </w:tc>
              <w:tc>
                <w:tcPr>
                  <w:tcW w:w="1009" w:type="pct"/>
                  <w:gridSpan w:val="2"/>
                  <w:tcBorders>
                    <w:tl2br w:val="nil"/>
                    <w:tr2bl w:val="nil"/>
                  </w:tcBorders>
                  <w:shd w:val="clear" w:color="auto" w:fill="auto"/>
                  <w:vAlign w:val="center"/>
                </w:tcPr>
                <w:p w14:paraId="7EA385EC">
                  <w:pPr>
                    <w:pStyle w:val="17"/>
                    <w:rPr>
                      <w:rFonts w:eastAsia="宋体"/>
                      <w:color w:val="auto"/>
                    </w:rPr>
                  </w:pPr>
                  <w:r>
                    <w:rPr>
                      <w:rFonts w:eastAsia="宋体"/>
                      <w:color w:val="auto"/>
                    </w:rPr>
                    <w:t>生态</w:t>
                  </w:r>
                </w:p>
              </w:tc>
              <w:tc>
                <w:tcPr>
                  <w:tcW w:w="3259" w:type="pct"/>
                  <w:tcBorders>
                    <w:tl2br w:val="nil"/>
                    <w:tr2bl w:val="nil"/>
                  </w:tcBorders>
                  <w:shd w:val="clear" w:color="auto" w:fill="auto"/>
                  <w:vAlign w:val="center"/>
                </w:tcPr>
                <w:p w14:paraId="258F2483">
                  <w:pPr>
                    <w:pStyle w:val="17"/>
                    <w:rPr>
                      <w:rFonts w:eastAsia="宋体"/>
                      <w:color w:val="auto"/>
                    </w:rPr>
                  </w:pPr>
                  <w:r>
                    <w:rPr>
                      <w:rFonts w:hint="eastAsia" w:eastAsia="宋体"/>
                      <w:color w:val="auto"/>
                    </w:rPr>
                    <w:t>合理规划，尽量减少临时占地；施工结束后，土地复垦</w:t>
                  </w:r>
                </w:p>
              </w:tc>
            </w:tr>
            <w:tr w14:paraId="4F6750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vMerge w:val="continue"/>
                  <w:tcBorders>
                    <w:tl2br w:val="nil"/>
                    <w:tr2bl w:val="nil"/>
                  </w:tcBorders>
                  <w:shd w:val="clear" w:color="auto" w:fill="auto"/>
                  <w:vAlign w:val="center"/>
                </w:tcPr>
                <w:p w14:paraId="794F1C38">
                  <w:pPr>
                    <w:pStyle w:val="17"/>
                    <w:rPr>
                      <w:rFonts w:eastAsia="宋体"/>
                      <w:color w:val="auto"/>
                    </w:rPr>
                  </w:pPr>
                </w:p>
              </w:tc>
              <w:tc>
                <w:tcPr>
                  <w:tcW w:w="1009" w:type="pct"/>
                  <w:gridSpan w:val="2"/>
                  <w:tcBorders>
                    <w:tl2br w:val="nil"/>
                    <w:tr2bl w:val="nil"/>
                  </w:tcBorders>
                  <w:shd w:val="clear" w:color="auto" w:fill="auto"/>
                  <w:vAlign w:val="center"/>
                </w:tcPr>
                <w:p w14:paraId="187E094D">
                  <w:pPr>
                    <w:pStyle w:val="17"/>
                    <w:rPr>
                      <w:rFonts w:eastAsia="宋体"/>
                      <w:color w:val="auto"/>
                    </w:rPr>
                  </w:pPr>
                  <w:r>
                    <w:rPr>
                      <w:rFonts w:eastAsia="宋体"/>
                      <w:color w:val="auto"/>
                    </w:rPr>
                    <w:t>环境风险</w:t>
                  </w:r>
                </w:p>
              </w:tc>
              <w:tc>
                <w:tcPr>
                  <w:tcW w:w="3259" w:type="pct"/>
                  <w:tcBorders>
                    <w:tl2br w:val="nil"/>
                    <w:tr2bl w:val="nil"/>
                  </w:tcBorders>
                  <w:shd w:val="clear" w:color="auto" w:fill="auto"/>
                  <w:vAlign w:val="center"/>
                </w:tcPr>
                <w:p w14:paraId="6F3EAF24">
                  <w:pPr>
                    <w:pStyle w:val="17"/>
                    <w:rPr>
                      <w:rFonts w:hint="default" w:eastAsia="宋体"/>
                      <w:color w:val="auto"/>
                      <w:lang w:val="en-US" w:eastAsia="zh-CN"/>
                    </w:rPr>
                  </w:pPr>
                  <w:r>
                    <w:rPr>
                      <w:rFonts w:hint="default" w:ascii="Times New Roman" w:hAnsi="Times New Roman" w:eastAsia="宋体" w:cs="Times New Roman"/>
                      <w:color w:val="auto"/>
                      <w:sz w:val="21"/>
                      <w:szCs w:val="21"/>
                    </w:rPr>
                    <w:t>重点区域防渗、防流失</w:t>
                  </w:r>
                </w:p>
              </w:tc>
            </w:tr>
            <w:tr w14:paraId="60E64D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31" w:type="pct"/>
                  <w:vMerge w:val="restart"/>
                  <w:tcBorders>
                    <w:tl2br w:val="nil"/>
                    <w:tr2bl w:val="nil"/>
                  </w:tcBorders>
                  <w:shd w:val="clear" w:color="auto" w:fill="auto"/>
                  <w:vAlign w:val="center"/>
                </w:tcPr>
                <w:p w14:paraId="171C86CE">
                  <w:pPr>
                    <w:pStyle w:val="17"/>
                    <w:rPr>
                      <w:rFonts w:eastAsia="宋体"/>
                      <w:color w:val="auto"/>
                    </w:rPr>
                  </w:pPr>
                  <w:r>
                    <w:rPr>
                      <w:rFonts w:eastAsia="宋体"/>
                      <w:color w:val="auto"/>
                    </w:rPr>
                    <w:t>依托工程</w:t>
                  </w:r>
                </w:p>
              </w:tc>
              <w:tc>
                <w:tcPr>
                  <w:tcW w:w="1009" w:type="pct"/>
                  <w:gridSpan w:val="2"/>
                  <w:tcBorders>
                    <w:tl2br w:val="nil"/>
                    <w:tr2bl w:val="nil"/>
                  </w:tcBorders>
                  <w:shd w:val="clear" w:color="auto" w:fill="auto"/>
                  <w:vAlign w:val="center"/>
                </w:tcPr>
                <w:p w14:paraId="4F95C48F">
                  <w:pPr>
                    <w:pStyle w:val="17"/>
                    <w:ind w:firstLine="0" w:firstLineChars="0"/>
                    <w:rPr>
                      <w:rFonts w:hint="default" w:eastAsia="宋体"/>
                      <w:color w:val="auto"/>
                      <w:lang w:val="en-US" w:eastAsia="zh-CN"/>
                    </w:rPr>
                  </w:pPr>
                  <w:r>
                    <w:rPr>
                      <w:rFonts w:hint="eastAsia" w:eastAsia="宋体" w:cs="Times New Roman"/>
                      <w:b w:val="0"/>
                      <w:bCs/>
                      <w:color w:val="auto"/>
                      <w:lang w:val="en-US" w:eastAsia="zh-CN"/>
                    </w:rPr>
                    <w:t>沙埝</w:t>
                  </w:r>
                  <w:r>
                    <w:rPr>
                      <w:rFonts w:hint="eastAsia" w:ascii="Times New Roman" w:hAnsi="Times New Roman" w:eastAsia="宋体" w:cs="Times New Roman"/>
                      <w:b w:val="0"/>
                      <w:bCs/>
                      <w:color w:val="auto"/>
                    </w:rPr>
                    <w:t>联合站</w:t>
                  </w:r>
                </w:p>
              </w:tc>
              <w:tc>
                <w:tcPr>
                  <w:tcW w:w="3259" w:type="pct"/>
                  <w:tcBorders>
                    <w:tl2br w:val="nil"/>
                    <w:tr2bl w:val="nil"/>
                  </w:tcBorders>
                  <w:shd w:val="clear" w:color="auto" w:fill="auto"/>
                  <w:vAlign w:val="center"/>
                </w:tcPr>
                <w:p w14:paraId="4D3EC19D">
                  <w:pPr>
                    <w:pStyle w:val="17"/>
                    <w:ind w:firstLine="0" w:firstLineChars="0"/>
                    <w:rPr>
                      <w:rFonts w:hint="default" w:eastAsia="宋体"/>
                      <w:color w:val="auto"/>
                      <w:lang w:val="en-US"/>
                    </w:rPr>
                  </w:pPr>
                  <w:r>
                    <w:rPr>
                      <w:rFonts w:hint="eastAsia" w:ascii="Times New Roman" w:hAnsi="Times New Roman" w:eastAsia="宋体" w:cs="Times New Roman"/>
                      <w:color w:val="auto"/>
                      <w:sz w:val="21"/>
                      <w:szCs w:val="21"/>
                    </w:rPr>
                    <w:t>沉降+</w:t>
                  </w:r>
                  <w:r>
                    <w:rPr>
                      <w:rFonts w:hint="eastAsia" w:ascii="Times New Roman" w:hAnsi="Times New Roman" w:eastAsia="宋体" w:cs="Times New Roman"/>
                      <w:color w:val="auto"/>
                      <w:sz w:val="21"/>
                      <w:szCs w:val="21"/>
                      <w:lang w:val="en-US" w:eastAsia="zh-CN"/>
                    </w:rPr>
                    <w:t>气浮+</w:t>
                  </w:r>
                  <w:r>
                    <w:rPr>
                      <w:rFonts w:hint="eastAsia" w:ascii="Times New Roman" w:hAnsi="Times New Roman" w:eastAsia="宋体" w:cs="Times New Roman"/>
                      <w:color w:val="auto"/>
                      <w:sz w:val="21"/>
                      <w:szCs w:val="21"/>
                    </w:rPr>
                    <w:t>二级过滤，日处理能</w:t>
                  </w:r>
                  <w:r>
                    <w:rPr>
                      <w:rFonts w:hint="eastAsia" w:ascii="Times New Roman" w:hAnsi="Times New Roman" w:eastAsia="宋体" w:cs="Times New Roman"/>
                      <w:color w:val="auto"/>
                      <w:sz w:val="21"/>
                      <w:szCs w:val="21"/>
                      <w:lang w:val="en-US" w:eastAsia="zh-CN"/>
                    </w:rPr>
                    <w:t>力2000</w:t>
                  </w:r>
                  <w:r>
                    <w:rPr>
                      <w:rFonts w:hint="eastAsia" w:ascii="Times New Roman" w:hAnsi="Times New Roman" w:eastAsia="宋体" w:cs="Times New Roman"/>
                      <w:color w:val="auto"/>
                      <w:sz w:val="21"/>
                      <w:szCs w:val="21"/>
                    </w:rPr>
                    <w:t>m</w:t>
                  </w:r>
                  <w:r>
                    <w:rPr>
                      <w:rFonts w:hint="eastAsia" w:ascii="Times New Roman" w:hAnsi="Times New Roman" w:eastAsia="宋体" w:cs="Times New Roman"/>
                      <w:color w:val="auto"/>
                      <w:sz w:val="21"/>
                      <w:szCs w:val="21"/>
                      <w:vertAlign w:val="superscript"/>
                    </w:rPr>
                    <w:t>3</w:t>
                  </w:r>
                </w:p>
              </w:tc>
            </w:tr>
            <w:tr w14:paraId="396B3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vMerge w:val="continue"/>
                  <w:tcBorders>
                    <w:tl2br w:val="nil"/>
                    <w:tr2bl w:val="nil"/>
                  </w:tcBorders>
                  <w:shd w:val="clear" w:color="auto" w:fill="auto"/>
                  <w:vAlign w:val="center"/>
                </w:tcPr>
                <w:p w14:paraId="32A762FC">
                  <w:pPr>
                    <w:pStyle w:val="17"/>
                    <w:rPr>
                      <w:rFonts w:eastAsia="宋体"/>
                      <w:color w:val="auto"/>
                    </w:rPr>
                  </w:pPr>
                </w:p>
              </w:tc>
              <w:tc>
                <w:tcPr>
                  <w:tcW w:w="1009" w:type="pct"/>
                  <w:gridSpan w:val="2"/>
                  <w:tcBorders>
                    <w:tl2br w:val="nil"/>
                    <w:tr2bl w:val="nil"/>
                  </w:tcBorders>
                  <w:shd w:val="clear" w:color="auto" w:fill="auto"/>
                  <w:vAlign w:val="center"/>
                </w:tcPr>
                <w:p w14:paraId="754F4DBC">
                  <w:pPr>
                    <w:pStyle w:val="17"/>
                    <w:rPr>
                      <w:rFonts w:eastAsia="宋体"/>
                      <w:color w:val="auto"/>
                    </w:rPr>
                  </w:pPr>
                  <w:r>
                    <w:rPr>
                      <w:rFonts w:eastAsia="宋体"/>
                      <w:color w:val="auto"/>
                    </w:rPr>
                    <w:t>供水</w:t>
                  </w:r>
                </w:p>
              </w:tc>
              <w:tc>
                <w:tcPr>
                  <w:tcW w:w="3259" w:type="pct"/>
                  <w:tcBorders>
                    <w:tl2br w:val="nil"/>
                    <w:tr2bl w:val="nil"/>
                  </w:tcBorders>
                  <w:shd w:val="clear" w:color="auto" w:fill="auto"/>
                  <w:vAlign w:val="center"/>
                </w:tcPr>
                <w:p w14:paraId="13BC4A3F">
                  <w:pPr>
                    <w:pStyle w:val="17"/>
                    <w:rPr>
                      <w:rFonts w:eastAsia="宋体"/>
                      <w:color w:val="auto"/>
                    </w:rPr>
                  </w:pPr>
                  <w:r>
                    <w:rPr>
                      <w:rFonts w:hint="eastAsia" w:eastAsia="宋体"/>
                      <w:color w:val="auto"/>
                    </w:rPr>
                    <w:t>当地供水管网</w:t>
                  </w:r>
                </w:p>
              </w:tc>
            </w:tr>
            <w:tr w14:paraId="503E29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vMerge w:val="continue"/>
                  <w:tcBorders>
                    <w:tl2br w:val="nil"/>
                    <w:tr2bl w:val="nil"/>
                  </w:tcBorders>
                  <w:shd w:val="clear" w:color="auto" w:fill="auto"/>
                  <w:vAlign w:val="center"/>
                </w:tcPr>
                <w:p w14:paraId="39505229">
                  <w:pPr>
                    <w:pStyle w:val="17"/>
                    <w:rPr>
                      <w:rFonts w:eastAsia="宋体"/>
                      <w:color w:val="auto"/>
                    </w:rPr>
                  </w:pPr>
                </w:p>
              </w:tc>
              <w:tc>
                <w:tcPr>
                  <w:tcW w:w="1009" w:type="pct"/>
                  <w:gridSpan w:val="2"/>
                  <w:tcBorders>
                    <w:tl2br w:val="nil"/>
                    <w:tr2bl w:val="nil"/>
                  </w:tcBorders>
                  <w:shd w:val="clear" w:color="auto" w:fill="auto"/>
                  <w:vAlign w:val="center"/>
                </w:tcPr>
                <w:p w14:paraId="31763FC5">
                  <w:pPr>
                    <w:pStyle w:val="17"/>
                    <w:rPr>
                      <w:rFonts w:eastAsia="宋体"/>
                      <w:color w:val="auto"/>
                    </w:rPr>
                  </w:pPr>
                  <w:r>
                    <w:rPr>
                      <w:rFonts w:eastAsia="宋体"/>
                      <w:color w:val="auto"/>
                    </w:rPr>
                    <w:t>排水</w:t>
                  </w:r>
                </w:p>
              </w:tc>
              <w:tc>
                <w:tcPr>
                  <w:tcW w:w="3259" w:type="pct"/>
                  <w:tcBorders>
                    <w:tl2br w:val="nil"/>
                    <w:tr2bl w:val="nil"/>
                  </w:tcBorders>
                  <w:shd w:val="clear" w:color="auto" w:fill="auto"/>
                  <w:vAlign w:val="center"/>
                </w:tcPr>
                <w:p w14:paraId="629C16CC">
                  <w:pPr>
                    <w:pStyle w:val="17"/>
                    <w:rPr>
                      <w:rFonts w:eastAsia="宋体"/>
                      <w:color w:val="auto"/>
                    </w:rPr>
                  </w:pPr>
                  <w:r>
                    <w:rPr>
                      <w:rFonts w:hint="eastAsia" w:eastAsia="宋体"/>
                      <w:color w:val="auto"/>
                    </w:rPr>
                    <w:t>钻井废水、洗井废水、压裂废水、初期雨水由联合站处理，生活污水由钻井队便携式公共厕所</w:t>
                  </w:r>
                  <w:r>
                    <w:rPr>
                      <w:rFonts w:hint="eastAsia" w:eastAsia="宋体"/>
                      <w:color w:val="auto"/>
                      <w:lang w:val="en-US" w:eastAsia="zh-CN"/>
                    </w:rPr>
                    <w:t>处理后循环回用</w:t>
                  </w:r>
                </w:p>
              </w:tc>
            </w:tr>
            <w:tr w14:paraId="7DA4A8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vMerge w:val="continue"/>
                  <w:tcBorders>
                    <w:tl2br w:val="nil"/>
                    <w:tr2bl w:val="nil"/>
                  </w:tcBorders>
                  <w:shd w:val="clear" w:color="auto" w:fill="auto"/>
                  <w:vAlign w:val="center"/>
                </w:tcPr>
                <w:p w14:paraId="203FD4EB">
                  <w:pPr>
                    <w:pStyle w:val="17"/>
                    <w:rPr>
                      <w:rFonts w:eastAsia="宋体"/>
                      <w:color w:val="auto"/>
                    </w:rPr>
                  </w:pPr>
                </w:p>
              </w:tc>
              <w:tc>
                <w:tcPr>
                  <w:tcW w:w="1009" w:type="pct"/>
                  <w:gridSpan w:val="2"/>
                  <w:tcBorders>
                    <w:tl2br w:val="nil"/>
                    <w:tr2bl w:val="nil"/>
                  </w:tcBorders>
                  <w:shd w:val="clear" w:color="auto" w:fill="auto"/>
                  <w:vAlign w:val="center"/>
                </w:tcPr>
                <w:p w14:paraId="2D63EFCC">
                  <w:pPr>
                    <w:pStyle w:val="17"/>
                    <w:rPr>
                      <w:rFonts w:eastAsia="宋体"/>
                      <w:color w:val="auto"/>
                    </w:rPr>
                  </w:pPr>
                  <w:r>
                    <w:rPr>
                      <w:rFonts w:eastAsia="宋体"/>
                      <w:color w:val="auto"/>
                    </w:rPr>
                    <w:t>供电</w:t>
                  </w:r>
                </w:p>
              </w:tc>
              <w:tc>
                <w:tcPr>
                  <w:tcW w:w="3259" w:type="pct"/>
                  <w:tcBorders>
                    <w:tl2br w:val="nil"/>
                    <w:tr2bl w:val="nil"/>
                  </w:tcBorders>
                  <w:shd w:val="clear" w:color="auto" w:fill="auto"/>
                  <w:vAlign w:val="center"/>
                </w:tcPr>
                <w:p w14:paraId="5E5B02A3">
                  <w:pPr>
                    <w:pStyle w:val="17"/>
                    <w:rPr>
                      <w:rFonts w:eastAsia="宋体"/>
                      <w:color w:val="auto"/>
                    </w:rPr>
                  </w:pPr>
                  <w:r>
                    <w:rPr>
                      <w:rFonts w:hint="eastAsia" w:eastAsia="宋体"/>
                      <w:color w:val="auto"/>
                    </w:rPr>
                    <w:t>当地电网</w:t>
                  </w:r>
                </w:p>
              </w:tc>
            </w:tr>
            <w:tr w14:paraId="7E6BFC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tcBorders>
                    <w:tl2br w:val="nil"/>
                    <w:tr2bl w:val="nil"/>
                  </w:tcBorders>
                  <w:shd w:val="clear" w:color="auto" w:fill="auto"/>
                  <w:vAlign w:val="center"/>
                </w:tcPr>
                <w:p w14:paraId="4F34772D">
                  <w:pPr>
                    <w:pStyle w:val="17"/>
                    <w:rPr>
                      <w:rFonts w:eastAsia="宋体"/>
                      <w:color w:val="auto"/>
                    </w:rPr>
                  </w:pPr>
                  <w:r>
                    <w:rPr>
                      <w:rFonts w:eastAsia="宋体"/>
                      <w:color w:val="auto"/>
                    </w:rPr>
                    <w:t>临时工程</w:t>
                  </w:r>
                </w:p>
              </w:tc>
              <w:tc>
                <w:tcPr>
                  <w:tcW w:w="1009" w:type="pct"/>
                  <w:gridSpan w:val="2"/>
                  <w:tcBorders>
                    <w:tl2br w:val="nil"/>
                    <w:tr2bl w:val="nil"/>
                  </w:tcBorders>
                  <w:shd w:val="clear" w:color="auto" w:fill="auto"/>
                  <w:vAlign w:val="center"/>
                </w:tcPr>
                <w:p w14:paraId="3924E9B1">
                  <w:pPr>
                    <w:pStyle w:val="17"/>
                    <w:rPr>
                      <w:rFonts w:eastAsia="宋体"/>
                      <w:color w:val="auto"/>
                    </w:rPr>
                  </w:pPr>
                  <w:r>
                    <w:rPr>
                      <w:rFonts w:eastAsia="宋体"/>
                      <w:color w:val="auto"/>
                    </w:rPr>
                    <w:t>临时占地</w:t>
                  </w:r>
                </w:p>
              </w:tc>
              <w:tc>
                <w:tcPr>
                  <w:tcW w:w="3259" w:type="pct"/>
                  <w:tcBorders>
                    <w:tl2br w:val="nil"/>
                    <w:tr2bl w:val="nil"/>
                  </w:tcBorders>
                  <w:shd w:val="clear" w:color="auto" w:fill="auto"/>
                  <w:vAlign w:val="center"/>
                </w:tcPr>
                <w:p w14:paraId="572858B8">
                  <w:pPr>
                    <w:pStyle w:val="17"/>
                    <w:rPr>
                      <w:rFonts w:hint="default" w:eastAsia="宋体"/>
                      <w:color w:val="auto"/>
                      <w:lang w:val="en-US"/>
                    </w:rPr>
                  </w:pPr>
                  <w:r>
                    <w:rPr>
                      <w:rFonts w:hint="eastAsia" w:eastAsia="宋体"/>
                      <w:color w:val="auto"/>
                      <w:lang w:val="en-US" w:eastAsia="zh-CN"/>
                    </w:rPr>
                    <w:t>沙105斜：4930</w:t>
                  </w:r>
                  <w:r>
                    <w:rPr>
                      <w:rFonts w:eastAsia="宋体"/>
                      <w:color w:val="auto"/>
                    </w:rPr>
                    <w:t>m</w:t>
                  </w:r>
                  <w:r>
                    <w:rPr>
                      <w:rFonts w:eastAsia="宋体"/>
                      <w:color w:val="auto"/>
                      <w:vertAlign w:val="superscript"/>
                    </w:rPr>
                    <w:t>2</w:t>
                  </w:r>
                  <w:r>
                    <w:rPr>
                      <w:rFonts w:hint="eastAsia"/>
                      <w:lang w:eastAsia="zh-CN"/>
                    </w:rPr>
                    <w:t>；</w:t>
                  </w:r>
                  <w:r>
                    <w:rPr>
                      <w:rFonts w:hint="eastAsia" w:eastAsia="宋体"/>
                      <w:color w:val="auto"/>
                      <w:lang w:val="en-US" w:eastAsia="zh-CN"/>
                    </w:rPr>
                    <w:t>沙86斜：4930</w:t>
                  </w:r>
                  <w:r>
                    <w:rPr>
                      <w:rFonts w:eastAsia="宋体"/>
                      <w:color w:val="auto"/>
                    </w:rPr>
                    <w:t>m</w:t>
                  </w:r>
                  <w:r>
                    <w:rPr>
                      <w:rFonts w:eastAsia="宋体"/>
                      <w:color w:val="auto"/>
                      <w:vertAlign w:val="superscript"/>
                    </w:rPr>
                    <w:t>2</w:t>
                  </w:r>
                </w:p>
              </w:tc>
            </w:tr>
            <w:tr w14:paraId="0F5F6D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tcBorders>
                    <w:tl2br w:val="nil"/>
                    <w:tr2bl w:val="nil"/>
                  </w:tcBorders>
                  <w:shd w:val="clear" w:color="auto" w:fill="auto"/>
                  <w:vAlign w:val="center"/>
                </w:tcPr>
                <w:p w14:paraId="07946B0C">
                  <w:pPr>
                    <w:pStyle w:val="17"/>
                    <w:ind w:firstLine="0" w:firstLineChars="0"/>
                    <w:rPr>
                      <w:rFonts w:eastAsia="宋体"/>
                      <w:color w:val="auto"/>
                    </w:rPr>
                  </w:pPr>
                  <w:r>
                    <w:rPr>
                      <w:rFonts w:hint="eastAsia" w:eastAsia="宋体"/>
                      <w:color w:val="auto"/>
                      <w:lang w:val="en-US" w:eastAsia="zh-CN"/>
                    </w:rPr>
                    <w:t>生态恢复工程</w:t>
                  </w:r>
                </w:p>
              </w:tc>
              <w:tc>
                <w:tcPr>
                  <w:tcW w:w="1009" w:type="pct"/>
                  <w:gridSpan w:val="2"/>
                  <w:tcBorders>
                    <w:tl2br w:val="nil"/>
                    <w:tr2bl w:val="nil"/>
                  </w:tcBorders>
                  <w:shd w:val="clear" w:color="auto" w:fill="auto"/>
                  <w:vAlign w:val="center"/>
                </w:tcPr>
                <w:p w14:paraId="7552D450">
                  <w:pPr>
                    <w:pStyle w:val="17"/>
                    <w:ind w:firstLine="0" w:firstLineChars="0"/>
                    <w:rPr>
                      <w:rFonts w:eastAsia="宋体"/>
                      <w:color w:val="auto"/>
                    </w:rPr>
                  </w:pPr>
                  <w:r>
                    <w:rPr>
                      <w:rFonts w:hint="eastAsia" w:eastAsia="宋体"/>
                      <w:color w:val="auto"/>
                      <w:lang w:val="en-US" w:eastAsia="zh-CN"/>
                    </w:rPr>
                    <w:t>场地植被恢复</w:t>
                  </w:r>
                </w:p>
              </w:tc>
              <w:tc>
                <w:tcPr>
                  <w:tcW w:w="3259" w:type="pct"/>
                  <w:tcBorders>
                    <w:tl2br w:val="nil"/>
                    <w:tr2bl w:val="nil"/>
                  </w:tcBorders>
                  <w:shd w:val="clear" w:color="auto" w:fill="auto"/>
                  <w:vAlign w:val="center"/>
                </w:tcPr>
                <w:p w14:paraId="4A0D262B">
                  <w:pPr>
                    <w:pStyle w:val="17"/>
                    <w:ind w:firstLine="0" w:firstLineChars="0"/>
                    <w:rPr>
                      <w:rFonts w:hint="eastAsia" w:eastAsia="宋体"/>
                      <w:color w:val="auto"/>
                      <w:lang w:eastAsia="zh-CN"/>
                    </w:rPr>
                  </w:pPr>
                  <w:r>
                    <w:rPr>
                      <w:rFonts w:hint="eastAsia" w:eastAsia="宋体"/>
                      <w:color w:val="auto"/>
                      <w:lang w:val="en-US" w:eastAsia="zh-CN"/>
                    </w:rPr>
                    <w:t>项目开工前对表土进行单独开挖，妥善保存，分层开挖，项目完井后进行分层回填，场地恢复为原有类型的农作物，并保证原有生物量</w:t>
                  </w:r>
                </w:p>
              </w:tc>
            </w:tr>
          </w:tbl>
          <w:p w14:paraId="52D7EEA2">
            <w:pPr>
              <w:pStyle w:val="2"/>
              <w:widowControl/>
              <w:ind w:firstLine="482" w:firstLineChars="200"/>
              <w:rPr>
                <w:rFonts w:eastAsia="宋体"/>
                <w:color w:val="auto"/>
              </w:rPr>
            </w:pPr>
            <w:r>
              <w:rPr>
                <w:rFonts w:hint="eastAsia" w:eastAsia="宋体"/>
                <w:color w:val="auto"/>
                <w:lang w:val="en-US" w:eastAsia="zh-CN"/>
              </w:rPr>
              <w:t>4</w:t>
            </w:r>
            <w:r>
              <w:rPr>
                <w:rFonts w:hint="eastAsia" w:eastAsia="宋体"/>
                <w:color w:val="auto"/>
              </w:rPr>
              <w:t>、井身结构</w:t>
            </w:r>
          </w:p>
          <w:p w14:paraId="28A70DF7">
            <w:pPr>
              <w:pStyle w:val="3"/>
              <w:ind w:firstLine="480"/>
              <w:rPr>
                <w:rFonts w:hint="eastAsia" w:eastAsia="宋体"/>
                <w:color w:val="auto"/>
                <w:lang w:val="en-US" w:eastAsia="zh-CN"/>
              </w:rPr>
            </w:pPr>
            <w:r>
              <w:rPr>
                <w:rFonts w:hint="eastAsia" w:eastAsia="宋体"/>
                <w:color w:val="auto"/>
                <w:lang w:val="en-US" w:eastAsia="zh-CN"/>
              </w:rPr>
              <w:t>（1）井场相关参数</w:t>
            </w:r>
          </w:p>
          <w:p w14:paraId="4E954FEF">
            <w:pPr>
              <w:pStyle w:val="16"/>
              <w:rPr>
                <w:rFonts w:hint="eastAsia" w:eastAsia="宋体"/>
                <w:color w:val="auto"/>
              </w:rPr>
            </w:pPr>
            <w:r>
              <w:rPr>
                <w:rFonts w:hint="eastAsia" w:eastAsia="宋体"/>
                <w:color w:val="auto"/>
              </w:rPr>
              <w:t>表2-</w:t>
            </w:r>
            <w:r>
              <w:rPr>
                <w:rFonts w:hint="eastAsia" w:eastAsia="宋体"/>
                <w:color w:val="auto"/>
                <w:lang w:val="en-US" w:eastAsia="zh-CN"/>
              </w:rPr>
              <w:t>4</w:t>
            </w:r>
            <w:r>
              <w:rPr>
                <w:rFonts w:hint="eastAsia" w:eastAsia="宋体"/>
                <w:color w:val="auto"/>
              </w:rPr>
              <w:t xml:space="preserve">  各井相关参数</w:t>
            </w:r>
          </w:p>
          <w:tbl>
            <w:tblPr>
              <w:tblStyle w:val="11"/>
              <w:tblpPr w:leftFromText="180" w:rightFromText="180" w:vertAnchor="text" w:horzAnchor="page" w:tblpXSpec="center" w:tblpY="142"/>
              <w:tblOverlap w:val="never"/>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939"/>
              <w:gridCol w:w="1002"/>
              <w:gridCol w:w="1101"/>
              <w:gridCol w:w="1170"/>
              <w:gridCol w:w="1293"/>
              <w:gridCol w:w="1506"/>
            </w:tblGrid>
            <w:tr w14:paraId="42E7CC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428" w:type="pct"/>
                  <w:tcBorders>
                    <w:tl2br w:val="nil"/>
                    <w:tr2bl w:val="nil"/>
                  </w:tcBorders>
                  <w:shd w:val="clear" w:color="auto" w:fill="auto"/>
                  <w:vAlign w:val="center"/>
                </w:tcPr>
                <w:p w14:paraId="2B365E80">
                  <w:pPr>
                    <w:pStyle w:val="17"/>
                    <w:jc w:val="both"/>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井名</w:t>
                  </w:r>
                </w:p>
              </w:tc>
              <w:tc>
                <w:tcPr>
                  <w:tcW w:w="612" w:type="pct"/>
                  <w:tcBorders>
                    <w:tl2br w:val="nil"/>
                    <w:tr2bl w:val="nil"/>
                  </w:tcBorders>
                  <w:shd w:val="clear" w:color="auto" w:fill="auto"/>
                  <w:vAlign w:val="center"/>
                </w:tcPr>
                <w:p w14:paraId="235FD695">
                  <w:pPr>
                    <w:pStyle w:val="17"/>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开钻</w:t>
                  </w:r>
                </w:p>
                <w:p w14:paraId="40A1B702">
                  <w:pPr>
                    <w:pStyle w:val="17"/>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次序</w:t>
                  </w:r>
                </w:p>
              </w:tc>
              <w:tc>
                <w:tcPr>
                  <w:tcW w:w="653" w:type="pct"/>
                  <w:tcBorders>
                    <w:tl2br w:val="nil"/>
                    <w:tr2bl w:val="nil"/>
                  </w:tcBorders>
                  <w:shd w:val="clear" w:color="auto" w:fill="auto"/>
                  <w:vAlign w:val="center"/>
                </w:tcPr>
                <w:p w14:paraId="7A5EE8CE">
                  <w:pPr>
                    <w:pStyle w:val="17"/>
                    <w:ind w:firstLine="0" w:firstLineChars="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井深 m</w:t>
                  </w:r>
                </w:p>
              </w:tc>
              <w:tc>
                <w:tcPr>
                  <w:tcW w:w="718" w:type="pct"/>
                  <w:tcBorders>
                    <w:tl2br w:val="nil"/>
                    <w:tr2bl w:val="nil"/>
                  </w:tcBorders>
                  <w:shd w:val="clear" w:color="auto" w:fill="auto"/>
                  <w:vAlign w:val="center"/>
                </w:tcPr>
                <w:p w14:paraId="69B797B4">
                  <w:pPr>
                    <w:pStyle w:val="17"/>
                    <w:ind w:firstLine="0" w:firstLineChars="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井眼尺寸</w:t>
                  </w:r>
                  <w:r>
                    <w:rPr>
                      <w:rFonts w:hint="eastAsia" w:ascii="宋体" w:hAnsi="宋体" w:eastAsia="宋体" w:cs="宋体"/>
                      <w:b/>
                      <w:bCs/>
                      <w:color w:val="auto"/>
                      <w:sz w:val="21"/>
                      <w:szCs w:val="21"/>
                      <w:highlight w:val="none"/>
                      <w:lang w:val="en-US" w:eastAsia="zh-CN"/>
                    </w:rPr>
                    <w:t>mm</w:t>
                  </w:r>
                </w:p>
              </w:tc>
              <w:tc>
                <w:tcPr>
                  <w:tcW w:w="763" w:type="pct"/>
                  <w:tcBorders>
                    <w:tl2br w:val="nil"/>
                    <w:tr2bl w:val="nil"/>
                  </w:tcBorders>
                  <w:shd w:val="clear" w:color="auto" w:fill="auto"/>
                  <w:vAlign w:val="center"/>
                </w:tcPr>
                <w:p w14:paraId="39571275">
                  <w:pPr>
                    <w:pStyle w:val="17"/>
                    <w:ind w:firstLine="0" w:firstLineChars="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套管尺寸</w:t>
                  </w:r>
                  <w:r>
                    <w:rPr>
                      <w:rFonts w:hint="eastAsia" w:ascii="宋体" w:hAnsi="宋体" w:eastAsia="宋体" w:cs="宋体"/>
                      <w:b/>
                      <w:bCs/>
                      <w:color w:val="auto"/>
                      <w:sz w:val="21"/>
                      <w:szCs w:val="21"/>
                      <w:highlight w:val="none"/>
                      <w:lang w:val="en-US" w:eastAsia="zh-CN"/>
                    </w:rPr>
                    <w:t>mm</w:t>
                  </w:r>
                </w:p>
              </w:tc>
              <w:tc>
                <w:tcPr>
                  <w:tcW w:w="843" w:type="pct"/>
                  <w:tcBorders>
                    <w:tl2br w:val="nil"/>
                    <w:tr2bl w:val="nil"/>
                  </w:tcBorders>
                  <w:shd w:val="clear" w:color="auto" w:fill="auto"/>
                  <w:vAlign w:val="center"/>
                </w:tcPr>
                <w:p w14:paraId="1D253347">
                  <w:pPr>
                    <w:pStyle w:val="17"/>
                    <w:ind w:firstLine="0" w:firstLineChars="0"/>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套管</w:t>
                  </w:r>
                </w:p>
                <w:p w14:paraId="15853169">
                  <w:pPr>
                    <w:pStyle w:val="17"/>
                    <w:ind w:firstLine="0" w:firstLineChars="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下深</w:t>
                  </w:r>
                  <w:r>
                    <w:rPr>
                      <w:rFonts w:hint="eastAsia" w:ascii="宋体" w:hAnsi="宋体" w:eastAsia="宋体" w:cs="宋体"/>
                      <w:b/>
                      <w:bCs/>
                      <w:color w:val="auto"/>
                      <w:sz w:val="21"/>
                      <w:szCs w:val="21"/>
                      <w:highlight w:val="none"/>
                      <w:lang w:val="en-US" w:eastAsia="zh-CN"/>
                    </w:rPr>
                    <w:t>m</w:t>
                  </w:r>
                </w:p>
              </w:tc>
              <w:tc>
                <w:tcPr>
                  <w:tcW w:w="981" w:type="pct"/>
                  <w:tcBorders>
                    <w:tl2br w:val="nil"/>
                    <w:tr2bl w:val="nil"/>
                  </w:tcBorders>
                  <w:shd w:val="clear" w:color="auto" w:fill="auto"/>
                  <w:vAlign w:val="center"/>
                </w:tcPr>
                <w:p w14:paraId="751861A5">
                  <w:pPr>
                    <w:pStyle w:val="17"/>
                    <w:ind w:firstLine="0" w:firstLineChars="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水泥封固段</w:t>
                  </w:r>
                  <w:r>
                    <w:rPr>
                      <w:rFonts w:hint="eastAsia" w:ascii="宋体" w:hAnsi="宋体" w:eastAsia="宋体" w:cs="宋体"/>
                      <w:b/>
                      <w:bCs/>
                      <w:color w:val="auto"/>
                      <w:sz w:val="21"/>
                      <w:szCs w:val="21"/>
                      <w:highlight w:val="none"/>
                      <w:lang w:val="en-US" w:eastAsia="zh-CN"/>
                    </w:rPr>
                    <w:t>m</w:t>
                  </w:r>
                </w:p>
              </w:tc>
            </w:tr>
            <w:tr w14:paraId="1B7E75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28" w:type="pct"/>
                  <w:vMerge w:val="restart"/>
                  <w:tcBorders>
                    <w:tl2br w:val="nil"/>
                    <w:tr2bl w:val="nil"/>
                  </w:tcBorders>
                  <w:shd w:val="clear" w:color="auto" w:fill="auto"/>
                  <w:vAlign w:val="center"/>
                </w:tcPr>
                <w:p w14:paraId="7C9F3953">
                  <w:pPr>
                    <w:pStyle w:val="17"/>
                    <w:ind w:firstLine="0" w:firstLine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沙105斜井</w:t>
                  </w:r>
                </w:p>
              </w:tc>
              <w:tc>
                <w:tcPr>
                  <w:tcW w:w="612" w:type="pct"/>
                  <w:tcBorders>
                    <w:tl2br w:val="nil"/>
                    <w:tr2bl w:val="nil"/>
                  </w:tcBorders>
                  <w:shd w:val="clear" w:color="auto" w:fill="auto"/>
                  <w:vAlign w:val="center"/>
                </w:tcPr>
                <w:p w14:paraId="7C922027">
                  <w:pPr>
                    <w:pStyle w:val="17"/>
                    <w:ind w:firstLine="0" w:firstLine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导管</w:t>
                  </w:r>
                </w:p>
              </w:tc>
              <w:tc>
                <w:tcPr>
                  <w:tcW w:w="3959" w:type="pct"/>
                  <w:gridSpan w:val="5"/>
                  <w:tcBorders>
                    <w:tl2br w:val="nil"/>
                    <w:tr2bl w:val="nil"/>
                  </w:tcBorders>
                  <w:shd w:val="clear" w:color="auto" w:fill="auto"/>
                  <w:vAlign w:val="center"/>
                </w:tcPr>
                <w:p w14:paraId="74965D2B">
                  <w:pPr>
                    <w:pStyle w:val="17"/>
                    <w:ind w:firstLine="0" w:firstLine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rPr>
                    <w:t>一开前压Φ339.7导管2根</w:t>
                  </w:r>
                </w:p>
              </w:tc>
            </w:tr>
            <w:tr w14:paraId="0CAE63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28" w:type="pct"/>
                  <w:vMerge w:val="continue"/>
                  <w:tcBorders>
                    <w:tl2br w:val="nil"/>
                    <w:tr2bl w:val="nil"/>
                  </w:tcBorders>
                  <w:shd w:val="clear" w:color="auto" w:fill="auto"/>
                  <w:vAlign w:val="center"/>
                </w:tcPr>
                <w:p w14:paraId="5795CBAD">
                  <w:pPr>
                    <w:pStyle w:val="17"/>
                    <w:ind w:firstLine="0" w:firstLineChars="0"/>
                    <w:rPr>
                      <w:rFonts w:hint="eastAsia" w:ascii="宋体" w:hAnsi="宋体" w:eastAsia="宋体" w:cs="宋体"/>
                      <w:b w:val="0"/>
                      <w:bCs w:val="0"/>
                      <w:color w:val="auto"/>
                      <w:sz w:val="21"/>
                      <w:szCs w:val="21"/>
                      <w:highlight w:val="none"/>
                      <w:lang w:val="en-US" w:eastAsia="zh-CN"/>
                    </w:rPr>
                  </w:pPr>
                </w:p>
              </w:tc>
              <w:tc>
                <w:tcPr>
                  <w:tcW w:w="612" w:type="pct"/>
                  <w:tcBorders>
                    <w:tl2br w:val="nil"/>
                    <w:tr2bl w:val="nil"/>
                  </w:tcBorders>
                  <w:shd w:val="clear" w:color="auto" w:fill="auto"/>
                  <w:vAlign w:val="center"/>
                </w:tcPr>
                <w:p w14:paraId="6FBDBB07">
                  <w:pPr>
                    <w:pStyle w:val="17"/>
                    <w:ind w:firstLine="0" w:firstLineChars="0"/>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sz w:val="21"/>
                      <w:szCs w:val="21"/>
                      <w:highlight w:val="none"/>
                    </w:rPr>
                    <w:t>一开</w:t>
                  </w:r>
                </w:p>
              </w:tc>
              <w:tc>
                <w:tcPr>
                  <w:tcW w:w="653" w:type="pct"/>
                  <w:tcBorders>
                    <w:tl2br w:val="nil"/>
                    <w:tr2bl w:val="nil"/>
                  </w:tcBorders>
                  <w:shd w:val="clear" w:color="auto" w:fill="auto"/>
                  <w:vAlign w:val="center"/>
                </w:tcPr>
                <w:p w14:paraId="48A86E2B">
                  <w:pPr>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00</w:t>
                  </w:r>
                </w:p>
              </w:tc>
              <w:tc>
                <w:tcPr>
                  <w:tcW w:w="718" w:type="pct"/>
                  <w:tcBorders>
                    <w:tl2br w:val="nil"/>
                    <w:tr2bl w:val="nil"/>
                  </w:tcBorders>
                  <w:shd w:val="clear" w:color="auto" w:fill="auto"/>
                  <w:vAlign w:val="center"/>
                </w:tcPr>
                <w:p w14:paraId="695F28E3">
                  <w:pPr>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color w:val="auto"/>
                      <w:sz w:val="21"/>
                      <w:szCs w:val="21"/>
                    </w:rPr>
                    <w:t>311.1</w:t>
                  </w:r>
                </w:p>
              </w:tc>
              <w:tc>
                <w:tcPr>
                  <w:tcW w:w="763" w:type="pct"/>
                  <w:tcBorders>
                    <w:tl2br w:val="nil"/>
                    <w:tr2bl w:val="nil"/>
                  </w:tcBorders>
                  <w:shd w:val="clear" w:color="auto" w:fill="auto"/>
                  <w:vAlign w:val="center"/>
                </w:tcPr>
                <w:p w14:paraId="119C5818">
                  <w:pPr>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color w:val="auto"/>
                      <w:sz w:val="21"/>
                      <w:szCs w:val="21"/>
                    </w:rPr>
                    <w:t>244.5</w:t>
                  </w:r>
                </w:p>
              </w:tc>
              <w:tc>
                <w:tcPr>
                  <w:tcW w:w="843" w:type="pct"/>
                  <w:tcBorders>
                    <w:tl2br w:val="nil"/>
                    <w:tr2bl w:val="nil"/>
                  </w:tcBorders>
                  <w:shd w:val="clear" w:color="auto" w:fill="auto"/>
                  <w:vAlign w:val="center"/>
                </w:tcPr>
                <w:p w14:paraId="5382F998">
                  <w:pPr>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98</w:t>
                  </w:r>
                </w:p>
              </w:tc>
              <w:tc>
                <w:tcPr>
                  <w:tcW w:w="981" w:type="pct"/>
                  <w:tcBorders>
                    <w:tl2br w:val="nil"/>
                    <w:tr2bl w:val="nil"/>
                  </w:tcBorders>
                  <w:shd w:val="clear" w:color="auto" w:fill="auto"/>
                  <w:vAlign w:val="center"/>
                </w:tcPr>
                <w:p w14:paraId="5FF32236">
                  <w:pPr>
                    <w:ind w:right="-107" w:rightChars="-51"/>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color w:val="auto"/>
                      <w:sz w:val="21"/>
                      <w:szCs w:val="21"/>
                    </w:rPr>
                    <w:t>地面～</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00</w:t>
                  </w:r>
                </w:p>
              </w:tc>
            </w:tr>
            <w:tr w14:paraId="27CED2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28" w:type="pct"/>
                  <w:vMerge w:val="continue"/>
                  <w:tcBorders>
                    <w:tl2br w:val="nil"/>
                    <w:tr2bl w:val="nil"/>
                  </w:tcBorders>
                  <w:shd w:val="clear" w:color="auto" w:fill="auto"/>
                  <w:vAlign w:val="center"/>
                </w:tcPr>
                <w:p w14:paraId="0DD20A94">
                  <w:pPr>
                    <w:pStyle w:val="17"/>
                    <w:ind w:firstLine="0" w:firstLineChars="0"/>
                    <w:rPr>
                      <w:rFonts w:hint="eastAsia" w:ascii="宋体" w:hAnsi="宋体" w:eastAsia="宋体" w:cs="宋体"/>
                      <w:b w:val="0"/>
                      <w:bCs w:val="0"/>
                      <w:color w:val="auto"/>
                      <w:sz w:val="21"/>
                      <w:szCs w:val="21"/>
                      <w:highlight w:val="none"/>
                    </w:rPr>
                  </w:pPr>
                </w:p>
              </w:tc>
              <w:tc>
                <w:tcPr>
                  <w:tcW w:w="612" w:type="pct"/>
                  <w:tcBorders>
                    <w:tl2br w:val="nil"/>
                    <w:tr2bl w:val="nil"/>
                  </w:tcBorders>
                  <w:shd w:val="clear" w:color="auto" w:fill="auto"/>
                  <w:vAlign w:val="center"/>
                </w:tcPr>
                <w:p w14:paraId="5AC49902">
                  <w:pPr>
                    <w:pStyle w:val="17"/>
                    <w:ind w:firstLine="0" w:firstLineChars="0"/>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sz w:val="21"/>
                      <w:szCs w:val="21"/>
                      <w:highlight w:val="none"/>
                    </w:rPr>
                    <w:t>二开</w:t>
                  </w:r>
                </w:p>
              </w:tc>
              <w:tc>
                <w:tcPr>
                  <w:tcW w:w="653" w:type="pct"/>
                  <w:tcBorders>
                    <w:tl2br w:val="nil"/>
                    <w:tr2bl w:val="nil"/>
                  </w:tcBorders>
                  <w:shd w:val="clear" w:color="auto" w:fill="auto"/>
                  <w:vAlign w:val="center"/>
                </w:tcPr>
                <w:p w14:paraId="62332E13">
                  <w:pPr>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color w:val="auto"/>
                      <w:sz w:val="21"/>
                      <w:szCs w:val="21"/>
                      <w:lang w:val="en-US" w:eastAsia="zh-CN"/>
                    </w:rPr>
                    <w:t>3090</w:t>
                  </w:r>
                </w:p>
              </w:tc>
              <w:tc>
                <w:tcPr>
                  <w:tcW w:w="718" w:type="pct"/>
                  <w:tcBorders>
                    <w:tl2br w:val="nil"/>
                    <w:tr2bl w:val="nil"/>
                  </w:tcBorders>
                  <w:shd w:val="clear" w:color="auto" w:fill="auto"/>
                  <w:vAlign w:val="center"/>
                </w:tcPr>
                <w:p w14:paraId="1736B836">
                  <w:pPr>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color w:val="auto"/>
                      <w:sz w:val="21"/>
                      <w:szCs w:val="21"/>
                    </w:rPr>
                    <w:t>215.9</w:t>
                  </w:r>
                </w:p>
              </w:tc>
              <w:tc>
                <w:tcPr>
                  <w:tcW w:w="763" w:type="pct"/>
                  <w:tcBorders>
                    <w:tl2br w:val="nil"/>
                    <w:tr2bl w:val="nil"/>
                  </w:tcBorders>
                  <w:shd w:val="clear" w:color="auto" w:fill="auto"/>
                  <w:vAlign w:val="center"/>
                </w:tcPr>
                <w:p w14:paraId="18BD2B4D">
                  <w:pPr>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color w:val="auto"/>
                      <w:sz w:val="21"/>
                      <w:szCs w:val="21"/>
                    </w:rPr>
                    <w:t>139.7</w:t>
                  </w:r>
                </w:p>
              </w:tc>
              <w:tc>
                <w:tcPr>
                  <w:tcW w:w="1824" w:type="pct"/>
                  <w:gridSpan w:val="2"/>
                  <w:tcBorders>
                    <w:tl2br w:val="nil"/>
                    <w:tr2bl w:val="nil"/>
                  </w:tcBorders>
                  <w:shd w:val="clear" w:color="auto" w:fill="auto"/>
                  <w:vAlign w:val="center"/>
                </w:tcPr>
                <w:p w14:paraId="7E8E4EE8">
                  <w:pPr>
                    <w:ind w:right="-107" w:rightChars="-51"/>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color w:val="auto"/>
                      <w:sz w:val="21"/>
                      <w:szCs w:val="21"/>
                    </w:rPr>
                    <w:t>待定</w:t>
                  </w:r>
                </w:p>
              </w:tc>
            </w:tr>
            <w:tr w14:paraId="297E94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28" w:type="pct"/>
                  <w:vMerge w:val="restart"/>
                  <w:tcBorders>
                    <w:tl2br w:val="nil"/>
                    <w:tr2bl w:val="nil"/>
                  </w:tcBorders>
                  <w:shd w:val="clear" w:color="auto" w:fill="auto"/>
                  <w:vAlign w:val="center"/>
                </w:tcPr>
                <w:p w14:paraId="6ACCFC9E">
                  <w:pPr>
                    <w:pStyle w:val="17"/>
                    <w:ind w:firstLine="0" w:firstLineChars="0"/>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沙86斜井</w:t>
                  </w:r>
                </w:p>
              </w:tc>
              <w:tc>
                <w:tcPr>
                  <w:tcW w:w="612" w:type="pct"/>
                  <w:tcBorders>
                    <w:tl2br w:val="nil"/>
                    <w:tr2bl w:val="nil"/>
                  </w:tcBorders>
                  <w:shd w:val="clear" w:color="auto" w:fill="auto"/>
                  <w:vAlign w:val="center"/>
                </w:tcPr>
                <w:p w14:paraId="3422541E">
                  <w:pPr>
                    <w:ind w:left="-42" w:leftChars="-20"/>
                    <w:jc w:val="center"/>
                    <w:rPr>
                      <w:rFonts w:hint="eastAsia" w:ascii="宋体" w:hAnsi="宋体" w:eastAsia="宋体" w:cs="宋体"/>
                      <w:b w:val="0"/>
                      <w:bCs w:val="0"/>
                      <w:color w:val="auto"/>
                      <w:sz w:val="21"/>
                      <w:szCs w:val="21"/>
                      <w:highlight w:val="none"/>
                    </w:rPr>
                  </w:pPr>
                  <w:r>
                    <w:rPr>
                      <w:rFonts w:hint="eastAsia" w:ascii="宋体" w:hAnsi="宋体" w:cs="宋体"/>
                      <w:szCs w:val="21"/>
                    </w:rPr>
                    <w:t>导管</w:t>
                  </w:r>
                </w:p>
              </w:tc>
              <w:tc>
                <w:tcPr>
                  <w:tcW w:w="3959" w:type="pct"/>
                  <w:gridSpan w:val="5"/>
                  <w:tcBorders>
                    <w:tl2br w:val="nil"/>
                    <w:tr2bl w:val="nil"/>
                  </w:tcBorders>
                  <w:shd w:val="clear" w:color="auto" w:fill="auto"/>
                  <w:vAlign w:val="center"/>
                </w:tcPr>
                <w:p w14:paraId="04855058">
                  <w:pPr>
                    <w:ind w:left="-42" w:leftChars="-20"/>
                    <w:jc w:val="center"/>
                    <w:rPr>
                      <w:rFonts w:hint="eastAsia" w:ascii="宋体" w:hAnsi="宋体" w:eastAsia="宋体" w:cs="宋体"/>
                      <w:color w:val="auto"/>
                      <w:sz w:val="21"/>
                      <w:szCs w:val="21"/>
                    </w:rPr>
                  </w:pPr>
                  <w:r>
                    <w:rPr>
                      <w:rFonts w:hint="eastAsia" w:ascii="宋体" w:hAnsi="宋体" w:cs="宋体"/>
                      <w:szCs w:val="21"/>
                    </w:rPr>
                    <w:t>一开前压Φ339.7导管</w:t>
                  </w:r>
                  <w:r>
                    <w:rPr>
                      <w:rFonts w:ascii="宋体" w:hAnsi="宋体" w:cs="宋体"/>
                      <w:szCs w:val="21"/>
                    </w:rPr>
                    <w:t>2</w:t>
                  </w:r>
                  <w:r>
                    <w:rPr>
                      <w:rFonts w:hint="eastAsia" w:ascii="宋体" w:hAnsi="宋体" w:cs="宋体"/>
                      <w:szCs w:val="21"/>
                    </w:rPr>
                    <w:t>根</w:t>
                  </w:r>
                </w:p>
              </w:tc>
            </w:tr>
            <w:tr w14:paraId="1A34EA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28" w:type="pct"/>
                  <w:vMerge w:val="continue"/>
                  <w:tcBorders>
                    <w:tl2br w:val="nil"/>
                    <w:tr2bl w:val="nil"/>
                  </w:tcBorders>
                  <w:shd w:val="clear" w:color="auto" w:fill="auto"/>
                  <w:vAlign w:val="center"/>
                </w:tcPr>
                <w:p w14:paraId="126E1D5A">
                  <w:pPr>
                    <w:pStyle w:val="17"/>
                    <w:ind w:firstLine="0" w:firstLineChars="0"/>
                    <w:rPr>
                      <w:rFonts w:hint="eastAsia" w:ascii="宋体" w:hAnsi="宋体" w:eastAsia="宋体" w:cs="宋体"/>
                      <w:b w:val="0"/>
                      <w:bCs w:val="0"/>
                      <w:color w:val="auto"/>
                      <w:sz w:val="21"/>
                      <w:szCs w:val="21"/>
                      <w:highlight w:val="none"/>
                      <w:lang w:val="en-US" w:eastAsia="zh-CN"/>
                    </w:rPr>
                  </w:pPr>
                </w:p>
              </w:tc>
              <w:tc>
                <w:tcPr>
                  <w:tcW w:w="612" w:type="pct"/>
                  <w:tcBorders>
                    <w:tl2br w:val="nil"/>
                    <w:tr2bl w:val="nil"/>
                  </w:tcBorders>
                  <w:shd w:val="clear" w:color="auto" w:fill="auto"/>
                  <w:vAlign w:val="center"/>
                </w:tcPr>
                <w:p w14:paraId="155258F0">
                  <w:pPr>
                    <w:jc w:val="center"/>
                    <w:rPr>
                      <w:rFonts w:hint="eastAsia" w:ascii="宋体" w:hAnsi="宋体" w:eastAsia="宋体" w:cs="宋体"/>
                      <w:b w:val="0"/>
                      <w:bCs w:val="0"/>
                      <w:color w:val="auto"/>
                      <w:sz w:val="21"/>
                      <w:szCs w:val="21"/>
                      <w:highlight w:val="none"/>
                    </w:rPr>
                  </w:pPr>
                  <w:r>
                    <w:rPr>
                      <w:rFonts w:hint="eastAsia" w:ascii="宋体" w:hAnsi="宋体" w:cs="宋体"/>
                      <w:szCs w:val="21"/>
                    </w:rPr>
                    <w:t>一开</w:t>
                  </w:r>
                </w:p>
              </w:tc>
              <w:tc>
                <w:tcPr>
                  <w:tcW w:w="653" w:type="pct"/>
                  <w:tcBorders>
                    <w:tl2br w:val="nil"/>
                    <w:tr2bl w:val="nil"/>
                  </w:tcBorders>
                  <w:shd w:val="clear" w:color="auto" w:fill="auto"/>
                  <w:vAlign w:val="center"/>
                </w:tcPr>
                <w:p w14:paraId="1B8BC5D6">
                  <w:pPr>
                    <w:jc w:val="center"/>
                    <w:rPr>
                      <w:rFonts w:hint="eastAsia" w:ascii="宋体" w:hAnsi="宋体" w:eastAsia="宋体" w:cs="宋体"/>
                      <w:color w:val="auto"/>
                      <w:sz w:val="21"/>
                      <w:szCs w:val="21"/>
                      <w:lang w:val="en-US" w:eastAsia="zh-CN"/>
                    </w:rPr>
                  </w:pPr>
                  <w:r>
                    <w:rPr>
                      <w:rFonts w:hint="eastAsia" w:ascii="宋体" w:hAnsi="宋体" w:cs="宋体"/>
                      <w:szCs w:val="21"/>
                      <w:lang w:val="en-US" w:eastAsia="zh-CN"/>
                    </w:rPr>
                    <w:t>5</w:t>
                  </w:r>
                  <w:r>
                    <w:rPr>
                      <w:rFonts w:hint="eastAsia" w:ascii="宋体" w:hAnsi="宋体" w:cs="宋体"/>
                      <w:szCs w:val="21"/>
                    </w:rPr>
                    <w:t>00</w:t>
                  </w:r>
                </w:p>
              </w:tc>
              <w:tc>
                <w:tcPr>
                  <w:tcW w:w="718" w:type="pct"/>
                  <w:tcBorders>
                    <w:tl2br w:val="nil"/>
                    <w:tr2bl w:val="nil"/>
                  </w:tcBorders>
                  <w:shd w:val="clear" w:color="auto" w:fill="auto"/>
                  <w:vAlign w:val="center"/>
                </w:tcPr>
                <w:p w14:paraId="2DEA7D57">
                  <w:pPr>
                    <w:jc w:val="center"/>
                    <w:rPr>
                      <w:rFonts w:hint="eastAsia" w:ascii="宋体" w:hAnsi="宋体" w:eastAsia="宋体" w:cs="宋体"/>
                      <w:color w:val="auto"/>
                      <w:sz w:val="21"/>
                      <w:szCs w:val="21"/>
                    </w:rPr>
                  </w:pPr>
                  <w:r>
                    <w:rPr>
                      <w:rFonts w:hint="eastAsia" w:ascii="宋体" w:hAnsi="宋体" w:cs="宋体"/>
                      <w:szCs w:val="21"/>
                    </w:rPr>
                    <w:t>311.1</w:t>
                  </w:r>
                </w:p>
              </w:tc>
              <w:tc>
                <w:tcPr>
                  <w:tcW w:w="763" w:type="pct"/>
                  <w:tcBorders>
                    <w:tl2br w:val="nil"/>
                    <w:tr2bl w:val="nil"/>
                  </w:tcBorders>
                  <w:shd w:val="clear" w:color="auto" w:fill="auto"/>
                  <w:vAlign w:val="center"/>
                </w:tcPr>
                <w:p w14:paraId="7CD7D879">
                  <w:pPr>
                    <w:jc w:val="center"/>
                    <w:rPr>
                      <w:rFonts w:hint="eastAsia" w:ascii="宋体" w:hAnsi="宋体" w:eastAsia="宋体" w:cs="宋体"/>
                      <w:color w:val="auto"/>
                      <w:sz w:val="21"/>
                      <w:szCs w:val="21"/>
                    </w:rPr>
                  </w:pPr>
                  <w:r>
                    <w:rPr>
                      <w:rFonts w:hint="eastAsia" w:ascii="宋体" w:hAnsi="宋体" w:cs="宋体"/>
                      <w:szCs w:val="21"/>
                    </w:rPr>
                    <w:t>244.5</w:t>
                  </w:r>
                </w:p>
              </w:tc>
              <w:tc>
                <w:tcPr>
                  <w:tcW w:w="843" w:type="pct"/>
                  <w:tcBorders>
                    <w:tl2br w:val="nil"/>
                    <w:tr2bl w:val="nil"/>
                  </w:tcBorders>
                  <w:shd w:val="clear" w:color="auto" w:fill="auto"/>
                  <w:vAlign w:val="center"/>
                </w:tcPr>
                <w:p w14:paraId="061C0346">
                  <w:pPr>
                    <w:jc w:val="center"/>
                    <w:rPr>
                      <w:rFonts w:hint="eastAsia" w:ascii="宋体" w:hAnsi="宋体" w:eastAsia="宋体" w:cs="宋体"/>
                      <w:color w:val="auto"/>
                      <w:sz w:val="21"/>
                      <w:szCs w:val="21"/>
                    </w:rPr>
                  </w:pPr>
                  <w:r>
                    <w:rPr>
                      <w:rFonts w:hint="eastAsia" w:ascii="宋体" w:hAnsi="宋体" w:cs="宋体"/>
                      <w:szCs w:val="21"/>
                      <w:lang w:val="en-US" w:eastAsia="zh-CN"/>
                    </w:rPr>
                    <w:t>4</w:t>
                  </w:r>
                  <w:r>
                    <w:rPr>
                      <w:rFonts w:hint="eastAsia" w:ascii="宋体" w:hAnsi="宋体" w:cs="宋体"/>
                      <w:szCs w:val="21"/>
                    </w:rPr>
                    <w:t>98</w:t>
                  </w:r>
                </w:p>
              </w:tc>
              <w:tc>
                <w:tcPr>
                  <w:tcW w:w="981" w:type="pct"/>
                  <w:tcBorders>
                    <w:tl2br w:val="nil"/>
                    <w:tr2bl w:val="nil"/>
                  </w:tcBorders>
                  <w:shd w:val="clear" w:color="auto" w:fill="auto"/>
                  <w:vAlign w:val="center"/>
                </w:tcPr>
                <w:p w14:paraId="68AD7061">
                  <w:pPr>
                    <w:ind w:right="-107" w:rightChars="-51"/>
                    <w:jc w:val="center"/>
                  </w:pPr>
                  <w:r>
                    <w:rPr>
                      <w:rFonts w:hint="eastAsia" w:ascii="宋体" w:hAnsi="宋体" w:cs="宋体"/>
                      <w:szCs w:val="21"/>
                    </w:rPr>
                    <w:t>地面～</w:t>
                  </w:r>
                  <w:r>
                    <w:rPr>
                      <w:rFonts w:hint="eastAsia" w:ascii="宋体" w:hAnsi="宋体" w:cs="宋体"/>
                      <w:szCs w:val="21"/>
                      <w:lang w:val="en-US" w:eastAsia="zh-CN"/>
                    </w:rPr>
                    <w:t>5</w:t>
                  </w:r>
                  <w:r>
                    <w:rPr>
                      <w:rFonts w:hint="eastAsia" w:ascii="宋体" w:hAnsi="宋体" w:cs="宋体"/>
                      <w:szCs w:val="21"/>
                    </w:rPr>
                    <w:t>00</w:t>
                  </w:r>
                </w:p>
              </w:tc>
            </w:tr>
            <w:tr w14:paraId="714DA1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28" w:type="pct"/>
                  <w:vMerge w:val="continue"/>
                  <w:tcBorders>
                    <w:tl2br w:val="nil"/>
                    <w:tr2bl w:val="nil"/>
                  </w:tcBorders>
                  <w:shd w:val="clear" w:color="auto" w:fill="auto"/>
                  <w:vAlign w:val="center"/>
                </w:tcPr>
                <w:p w14:paraId="3C2A4139">
                  <w:pPr>
                    <w:pStyle w:val="17"/>
                    <w:ind w:firstLine="0" w:firstLineChars="0"/>
                    <w:rPr>
                      <w:rFonts w:hint="eastAsia" w:ascii="宋体" w:hAnsi="宋体" w:eastAsia="宋体" w:cs="宋体"/>
                      <w:b w:val="0"/>
                      <w:bCs w:val="0"/>
                      <w:color w:val="auto"/>
                      <w:sz w:val="21"/>
                      <w:szCs w:val="21"/>
                      <w:highlight w:val="none"/>
                      <w:lang w:val="en-US" w:eastAsia="zh-CN"/>
                    </w:rPr>
                  </w:pPr>
                </w:p>
              </w:tc>
              <w:tc>
                <w:tcPr>
                  <w:tcW w:w="612" w:type="pct"/>
                  <w:tcBorders>
                    <w:tl2br w:val="nil"/>
                    <w:tr2bl w:val="nil"/>
                  </w:tcBorders>
                  <w:shd w:val="clear" w:color="auto" w:fill="auto"/>
                  <w:vAlign w:val="center"/>
                </w:tcPr>
                <w:p w14:paraId="0BE9634C">
                  <w:pPr>
                    <w:jc w:val="center"/>
                    <w:rPr>
                      <w:rFonts w:hint="eastAsia" w:ascii="宋体" w:hAnsi="宋体" w:eastAsia="宋体" w:cs="宋体"/>
                      <w:b w:val="0"/>
                      <w:bCs w:val="0"/>
                      <w:color w:val="auto"/>
                      <w:sz w:val="21"/>
                      <w:szCs w:val="21"/>
                      <w:highlight w:val="none"/>
                    </w:rPr>
                  </w:pPr>
                  <w:r>
                    <w:rPr>
                      <w:rFonts w:hint="eastAsia" w:ascii="宋体" w:hAnsi="宋体" w:cs="宋体"/>
                      <w:szCs w:val="21"/>
                    </w:rPr>
                    <w:t>二开</w:t>
                  </w:r>
                </w:p>
              </w:tc>
              <w:tc>
                <w:tcPr>
                  <w:tcW w:w="653" w:type="pct"/>
                  <w:tcBorders>
                    <w:tl2br w:val="nil"/>
                    <w:tr2bl w:val="nil"/>
                  </w:tcBorders>
                  <w:shd w:val="clear" w:color="auto" w:fill="auto"/>
                  <w:vAlign w:val="center"/>
                </w:tcPr>
                <w:p w14:paraId="70ED1CAA">
                  <w:pPr>
                    <w:jc w:val="center"/>
                    <w:rPr>
                      <w:rFonts w:hint="eastAsia" w:ascii="宋体" w:hAnsi="宋体" w:eastAsia="宋体" w:cs="宋体"/>
                      <w:color w:val="auto"/>
                      <w:sz w:val="21"/>
                      <w:szCs w:val="21"/>
                      <w:lang w:val="en-US" w:eastAsia="zh-CN"/>
                    </w:rPr>
                  </w:pPr>
                  <w:r>
                    <w:rPr>
                      <w:rFonts w:hint="eastAsia" w:ascii="宋体" w:hAnsi="宋体" w:cs="宋体"/>
                      <w:szCs w:val="21"/>
                      <w:lang w:val="en-US" w:eastAsia="zh-CN"/>
                    </w:rPr>
                    <w:t>3292</w:t>
                  </w:r>
                </w:p>
              </w:tc>
              <w:tc>
                <w:tcPr>
                  <w:tcW w:w="718" w:type="pct"/>
                  <w:tcBorders>
                    <w:tl2br w:val="nil"/>
                    <w:tr2bl w:val="nil"/>
                  </w:tcBorders>
                  <w:shd w:val="clear" w:color="auto" w:fill="auto"/>
                  <w:vAlign w:val="center"/>
                </w:tcPr>
                <w:p w14:paraId="1208EA98">
                  <w:pPr>
                    <w:jc w:val="center"/>
                    <w:rPr>
                      <w:rFonts w:hint="eastAsia" w:ascii="宋体" w:hAnsi="宋体" w:eastAsia="宋体" w:cs="宋体"/>
                      <w:color w:val="auto"/>
                      <w:sz w:val="21"/>
                      <w:szCs w:val="21"/>
                    </w:rPr>
                  </w:pPr>
                  <w:r>
                    <w:rPr>
                      <w:rFonts w:hint="eastAsia" w:ascii="宋体" w:hAnsi="宋体" w:cs="宋体"/>
                      <w:szCs w:val="21"/>
                    </w:rPr>
                    <w:t>215.9</w:t>
                  </w:r>
                </w:p>
              </w:tc>
              <w:tc>
                <w:tcPr>
                  <w:tcW w:w="763" w:type="pct"/>
                  <w:tcBorders>
                    <w:tl2br w:val="nil"/>
                    <w:tr2bl w:val="nil"/>
                  </w:tcBorders>
                  <w:shd w:val="clear" w:color="auto" w:fill="auto"/>
                  <w:vAlign w:val="center"/>
                </w:tcPr>
                <w:p w14:paraId="33A922DD">
                  <w:pPr>
                    <w:jc w:val="center"/>
                    <w:rPr>
                      <w:rFonts w:hint="eastAsia" w:ascii="宋体" w:hAnsi="宋体" w:eastAsia="宋体" w:cs="宋体"/>
                      <w:color w:val="auto"/>
                      <w:sz w:val="21"/>
                      <w:szCs w:val="21"/>
                    </w:rPr>
                  </w:pPr>
                  <w:r>
                    <w:rPr>
                      <w:rFonts w:hint="eastAsia" w:ascii="宋体" w:hAnsi="宋体" w:cs="宋体"/>
                      <w:szCs w:val="21"/>
                    </w:rPr>
                    <w:t>139.7</w:t>
                  </w:r>
                </w:p>
              </w:tc>
              <w:tc>
                <w:tcPr>
                  <w:tcW w:w="1824" w:type="pct"/>
                  <w:gridSpan w:val="2"/>
                  <w:tcBorders>
                    <w:tl2br w:val="nil"/>
                    <w:tr2bl w:val="nil"/>
                  </w:tcBorders>
                  <w:shd w:val="clear" w:color="auto" w:fill="auto"/>
                  <w:vAlign w:val="center"/>
                </w:tcPr>
                <w:p w14:paraId="03A872ED">
                  <w:pPr>
                    <w:ind w:right="-107" w:rightChars="-51"/>
                    <w:jc w:val="center"/>
                    <w:rPr>
                      <w:rFonts w:hint="eastAsia" w:ascii="宋体" w:hAnsi="宋体" w:eastAsia="宋体" w:cs="宋体"/>
                      <w:color w:val="auto"/>
                      <w:sz w:val="21"/>
                      <w:szCs w:val="21"/>
                    </w:rPr>
                  </w:pPr>
                  <w:r>
                    <w:rPr>
                      <w:rFonts w:hint="eastAsia" w:ascii="宋体" w:hAnsi="宋体" w:cs="宋体"/>
                      <w:szCs w:val="21"/>
                    </w:rPr>
                    <w:t>待定</w:t>
                  </w:r>
                </w:p>
              </w:tc>
            </w:tr>
          </w:tbl>
          <w:p w14:paraId="67D835C8">
            <w:pPr>
              <w:pStyle w:val="16"/>
              <w:bidi w:val="0"/>
              <w:ind w:left="482" w:hanging="482" w:hangingChars="200"/>
              <w:jc w:val="both"/>
              <w:rPr>
                <w:rFonts w:hint="eastAsia" w:eastAsia="宋体"/>
                <w:color w:val="auto"/>
                <w:lang w:val="en-US" w:eastAsia="zh-CN"/>
              </w:rPr>
            </w:pPr>
            <w:r>
              <w:rPr>
                <w:rFonts w:hint="eastAsia" w:eastAsia="宋体"/>
                <w:color w:val="auto"/>
                <w:lang w:val="en-US" w:eastAsia="zh-CN"/>
              </w:rPr>
              <w:t xml:space="preserve">   （2）井深结构</w:t>
            </w:r>
          </w:p>
          <w:p w14:paraId="1AC80718">
            <w:pPr>
              <w:pStyle w:val="3"/>
              <w:ind w:firstLine="480"/>
              <w:rPr>
                <w:rFonts w:ascii="宋体" w:hAnsi="宋体"/>
                <w:bCs/>
                <w:color w:val="auto"/>
              </w:rPr>
            </w:pPr>
            <w:r>
              <w:rPr>
                <w:rFonts w:hint="eastAsia" w:eastAsia="宋体"/>
                <w:color w:val="auto"/>
                <w:lang w:val="en-US" w:eastAsia="zh-CN"/>
              </w:rPr>
              <w:t>沙105、沙86斜井为两开，井深结构示意图，见下图2-1。</w:t>
            </w:r>
          </w:p>
          <w:p w14:paraId="084EEF38">
            <w:pPr>
              <w:pStyle w:val="3"/>
              <w:ind w:firstLine="0" w:firstLineChars="0"/>
              <w:jc w:val="both"/>
              <w:rPr>
                <w:color w:val="auto"/>
              </w:rPr>
            </w:pPr>
            <w:r>
              <w:rPr>
                <w:color w:val="auto"/>
              </w:rPr>
              <mc:AlternateContent>
                <mc:Choice Requires="wpc">
                  <w:drawing>
                    <wp:inline distT="0" distB="0" distL="114300" distR="114300">
                      <wp:extent cx="3954780" cy="2356485"/>
                      <wp:effectExtent l="0" t="0" r="6350" b="20955"/>
                      <wp:docPr id="51" name="画布 51"/>
                      <wp:cNvGraphicFramePr/>
                      <a:graphic xmlns:a="http://schemas.openxmlformats.org/drawingml/2006/main">
                        <a:graphicData uri="http://schemas.microsoft.com/office/word/2010/wordprocessingCanvas">
                          <wpc:wpc>
                            <wpc:bg/>
                            <wpc:whole/>
                            <pic:pic xmlns:pic="http://schemas.openxmlformats.org/drawingml/2006/picture">
                              <pic:nvPicPr>
                                <pic:cNvPr id="7"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655955" y="133985"/>
                                  <a:ext cx="1002030" cy="2228215"/>
                                </a:xfrm>
                                <a:prstGeom prst="rect">
                                  <a:avLst/>
                                </a:prstGeom>
                                <a:noFill/>
                                <a:ln>
                                  <a:noFill/>
                                </a:ln>
                              </pic:spPr>
                            </pic:pic>
                            <wps:wsp>
                              <wps:cNvPr id="8" name="文本框 4"/>
                              <wps:cNvSpPr txBox="1">
                                <a:spLocks noChangeArrowheads="1"/>
                              </wps:cNvSpPr>
                              <wps:spPr bwMode="auto">
                                <a:xfrm>
                                  <a:off x="2013585" y="204470"/>
                                  <a:ext cx="1941195" cy="2162810"/>
                                </a:xfrm>
                                <a:prstGeom prst="rect">
                                  <a:avLst/>
                                </a:prstGeom>
                                <a:solidFill>
                                  <a:srgbClr val="FFFFFF">
                                    <a:lumMod val="100000"/>
                                    <a:lumOff val="0"/>
                                  </a:srgbClr>
                                </a:solidFill>
                                <a:ln>
                                  <a:noFill/>
                                </a:ln>
                                <a:effectLst/>
                              </wps:spPr>
                              <wps:txbx>
                                <w:txbxContent>
                                  <w:p w14:paraId="1A3F1EBA">
                                    <w:pPr>
                                      <w:rPr>
                                        <w:rFonts w:hint="eastAsia" w:ascii="宋体" w:hAnsi="宋体" w:eastAsia="宋体" w:cs="宋体"/>
                                        <w:sz w:val="21"/>
                                        <w:szCs w:val="21"/>
                                      </w:rPr>
                                    </w:pPr>
                                    <w:r>
                                      <w:rPr>
                                        <w:rFonts w:hint="eastAsia" w:ascii="宋体" w:hAnsi="宋体" w:eastAsia="宋体" w:cs="宋体"/>
                                        <w:sz w:val="21"/>
                                        <w:szCs w:val="21"/>
                                      </w:rPr>
                                      <w:t>一开前压Φ339.7导管2根</w:t>
                                    </w:r>
                                  </w:p>
                                  <w:p w14:paraId="0F1438AC">
                                    <w:pPr>
                                      <w:rPr>
                                        <w:rFonts w:hint="eastAsia" w:ascii="宋体" w:hAnsi="宋体" w:eastAsia="宋体" w:cs="宋体"/>
                                        <w:sz w:val="21"/>
                                        <w:szCs w:val="21"/>
                                      </w:rPr>
                                    </w:pPr>
                                    <w:r>
                                      <w:rPr>
                                        <w:rFonts w:hint="eastAsia" w:ascii="宋体" w:hAnsi="宋体" w:eastAsia="宋体" w:cs="宋体"/>
                                        <w:sz w:val="21"/>
                                        <w:szCs w:val="21"/>
                                      </w:rPr>
                                      <w:t>一开：</w:t>
                                    </w:r>
                                  </w:p>
                                  <w:p w14:paraId="35A417CC">
                                    <w:pPr>
                                      <w:rPr>
                                        <w:rFonts w:hint="eastAsia" w:ascii="宋体" w:hAnsi="宋体" w:eastAsia="宋体" w:cs="宋体"/>
                                        <w:sz w:val="21"/>
                                        <w:szCs w:val="21"/>
                                      </w:rPr>
                                    </w:pPr>
                                    <w:r>
                                      <w:rPr>
                                        <w:rFonts w:hint="eastAsia" w:ascii="宋体" w:hAnsi="宋体" w:eastAsia="宋体" w:cs="宋体"/>
                                        <w:sz w:val="21"/>
                                        <w:szCs w:val="21"/>
                                      </w:rPr>
                                      <w:t>井眼尺寸（mm）：311.1</w:t>
                                    </w:r>
                                  </w:p>
                                  <w:p w14:paraId="3D146653">
                                    <w:pPr>
                                      <w:rPr>
                                        <w:rFonts w:hint="eastAsia" w:ascii="宋体" w:hAnsi="宋体" w:eastAsia="宋体" w:cs="宋体"/>
                                        <w:sz w:val="21"/>
                                        <w:szCs w:val="21"/>
                                      </w:rPr>
                                    </w:pPr>
                                    <w:r>
                                      <w:rPr>
                                        <w:rFonts w:hint="eastAsia" w:ascii="宋体" w:hAnsi="宋体" w:eastAsia="宋体" w:cs="宋体"/>
                                        <w:sz w:val="21"/>
                                        <w:szCs w:val="21"/>
                                      </w:rPr>
                                      <w:t>所钻井深（m）：</w:t>
                                    </w:r>
                                    <w:r>
                                      <w:rPr>
                                        <w:rFonts w:hint="eastAsia" w:ascii="宋体" w:hAnsi="宋体" w:cs="宋体"/>
                                        <w:sz w:val="21"/>
                                        <w:szCs w:val="21"/>
                                        <w:lang w:val="en-US" w:eastAsia="zh-CN"/>
                                      </w:rPr>
                                      <w:t>5</w:t>
                                    </w:r>
                                    <w:r>
                                      <w:rPr>
                                        <w:rFonts w:hint="eastAsia" w:ascii="宋体" w:hAnsi="宋体" w:eastAsia="宋体" w:cs="宋体"/>
                                        <w:sz w:val="21"/>
                                        <w:szCs w:val="21"/>
                                      </w:rPr>
                                      <w:t>00</w:t>
                                    </w:r>
                                  </w:p>
                                  <w:p w14:paraId="0AAC924C">
                                    <w:pPr>
                                      <w:rPr>
                                        <w:rFonts w:hint="eastAsia" w:ascii="宋体" w:hAnsi="宋体" w:eastAsia="宋体" w:cs="宋体"/>
                                        <w:sz w:val="21"/>
                                        <w:szCs w:val="21"/>
                                      </w:rPr>
                                    </w:pPr>
                                    <w:r>
                                      <w:rPr>
                                        <w:rFonts w:hint="eastAsia" w:ascii="宋体" w:hAnsi="宋体" w:eastAsia="宋体" w:cs="宋体"/>
                                        <w:sz w:val="21"/>
                                        <w:szCs w:val="21"/>
                                      </w:rPr>
                                      <w:t>套管尺寸（mm）：244.5</w:t>
                                    </w:r>
                                  </w:p>
                                  <w:p w14:paraId="6A9A62AF">
                                    <w:pPr>
                                      <w:rPr>
                                        <w:rFonts w:hint="eastAsia" w:ascii="宋体" w:hAnsi="宋体" w:eastAsia="宋体" w:cs="宋体"/>
                                        <w:sz w:val="21"/>
                                        <w:szCs w:val="21"/>
                                      </w:rPr>
                                    </w:pPr>
                                    <w:r>
                                      <w:rPr>
                                        <w:rFonts w:hint="eastAsia" w:ascii="宋体" w:hAnsi="宋体" w:eastAsia="宋体" w:cs="宋体"/>
                                        <w:sz w:val="21"/>
                                        <w:szCs w:val="21"/>
                                      </w:rPr>
                                      <w:t>套管下深（m）：</w:t>
                                    </w:r>
                                    <w:r>
                                      <w:rPr>
                                        <w:rFonts w:hint="eastAsia" w:ascii="宋体" w:hAnsi="宋体" w:cs="宋体"/>
                                        <w:sz w:val="21"/>
                                        <w:szCs w:val="21"/>
                                        <w:lang w:val="en-US" w:eastAsia="zh-CN"/>
                                      </w:rPr>
                                      <w:t>4</w:t>
                                    </w:r>
                                    <w:r>
                                      <w:rPr>
                                        <w:rFonts w:hint="eastAsia" w:ascii="宋体" w:hAnsi="宋体" w:eastAsia="宋体" w:cs="宋体"/>
                                        <w:sz w:val="21"/>
                                        <w:szCs w:val="21"/>
                                      </w:rPr>
                                      <w:t>98</w:t>
                                    </w:r>
                                  </w:p>
                                  <w:p w14:paraId="2FB854A4">
                                    <w:pPr>
                                      <w:rPr>
                                        <w:rFonts w:hint="eastAsia" w:ascii="宋体" w:hAnsi="宋体" w:eastAsia="宋体" w:cs="宋体"/>
                                        <w:sz w:val="21"/>
                                        <w:szCs w:val="21"/>
                                      </w:rPr>
                                    </w:pPr>
                                    <w:r>
                                      <w:rPr>
                                        <w:rFonts w:hint="eastAsia" w:ascii="宋体" w:hAnsi="宋体" w:eastAsia="宋体" w:cs="宋体"/>
                                        <w:sz w:val="21"/>
                                        <w:szCs w:val="21"/>
                                      </w:rPr>
                                      <w:t>二开：</w:t>
                                    </w:r>
                                  </w:p>
                                  <w:p w14:paraId="40108B3F">
                                    <w:pPr>
                                      <w:rPr>
                                        <w:rFonts w:hint="eastAsia" w:ascii="宋体" w:hAnsi="宋体" w:eastAsia="宋体" w:cs="宋体"/>
                                        <w:sz w:val="21"/>
                                        <w:szCs w:val="21"/>
                                      </w:rPr>
                                    </w:pPr>
                                    <w:r>
                                      <w:rPr>
                                        <w:rFonts w:hint="eastAsia" w:ascii="宋体" w:hAnsi="宋体" w:eastAsia="宋体" w:cs="宋体"/>
                                        <w:sz w:val="21"/>
                                        <w:szCs w:val="21"/>
                                      </w:rPr>
                                      <w:t>井眼尺寸（mm）：215.9</w:t>
                                    </w:r>
                                  </w:p>
                                  <w:p w14:paraId="7A11ACF4">
                                    <w:pPr>
                                      <w:rPr>
                                        <w:rFonts w:hint="default" w:ascii="宋体" w:hAnsi="宋体" w:eastAsia="宋体" w:cs="宋体"/>
                                        <w:sz w:val="21"/>
                                        <w:szCs w:val="21"/>
                                        <w:lang w:val="en-US" w:eastAsia="zh-CN"/>
                                      </w:rPr>
                                    </w:pPr>
                                    <w:r>
                                      <w:rPr>
                                        <w:rFonts w:hint="eastAsia" w:ascii="宋体" w:hAnsi="宋体" w:eastAsia="宋体" w:cs="宋体"/>
                                        <w:sz w:val="21"/>
                                        <w:szCs w:val="21"/>
                                      </w:rPr>
                                      <w:t>所钻井深（m）：</w:t>
                                    </w:r>
                                    <w:r>
                                      <w:rPr>
                                        <w:rFonts w:hint="eastAsia" w:ascii="宋体" w:hAnsi="宋体" w:cs="宋体"/>
                                        <w:sz w:val="21"/>
                                        <w:szCs w:val="21"/>
                                        <w:lang w:val="en-US" w:eastAsia="zh-CN"/>
                                      </w:rPr>
                                      <w:t>3090</w:t>
                                    </w:r>
                                  </w:p>
                                  <w:p w14:paraId="62CA6AC8">
                                    <w:pPr>
                                      <w:rPr>
                                        <w:rFonts w:hint="eastAsia" w:ascii="宋体" w:hAnsi="宋体" w:eastAsia="宋体" w:cs="宋体"/>
                                        <w:sz w:val="21"/>
                                        <w:szCs w:val="21"/>
                                      </w:rPr>
                                    </w:pPr>
                                    <w:r>
                                      <w:rPr>
                                        <w:rFonts w:hint="eastAsia" w:ascii="宋体" w:hAnsi="宋体" w:eastAsia="宋体" w:cs="宋体"/>
                                        <w:sz w:val="21"/>
                                        <w:szCs w:val="21"/>
                                      </w:rPr>
                                      <w:t>套管尺寸（mm）：139.7</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185.55pt;width:311.4pt;" coordsize="3954780,2356485" editas="canvas" o:gfxdata="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">
                      <o:lock v:ext="edit" aspectratio="f"/>
                      <v:shape id="_x0000_s1026" o:spid="_x0000_s1026" style="position:absolute;left:0;top:0;height:2356485;width:3954780;" filled="f" stroked="f" coordsize="21600,21600" o:gfxdata="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">
                        <v:fill on="f" focussize="0,0"/>
                        <v:stroke on="f"/>
                        <v:imagedata o:title=""/>
                        <o:lock v:ext="edit" aspectratio="f"/>
                      </v:shape>
                      <v:shape id="图片 1" o:spid="_x0000_s1026" o:spt="75" type="#_x0000_t75" style="position:absolute;left:655955;top:133985;height:2228215;width:1002030;" filled="f" o:preferrelative="t" stroked="f" coordsize="21600,21600" o:gfxdata="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">
                        <v:fill on="f" focussize="0,0"/>
                        <v:stroke on="f"/>
                        <v:imagedata r:id="rId6" o:title=""/>
                        <o:lock v:ext="edit" aspectratio="t"/>
                      </v:shape>
                      <v:shape id="文本框 4" o:spid="_x0000_s1026" o:spt="202" type="#_x0000_t202" style="position:absolute;left:2013585;top:204470;height:2162810;width:1941195;" fillcolor="#FFFFFF" filled="t" stroked="f" coordsize="21600,21600" o:gfxdata="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nAOaJtQAAAAFAQAADwAAAAAA&#10;AAABACAAAAAiAAAAZHJzL2Rvd25yZXYueG1sUEsBAhQAFAAAAAgAh07iQIXoapZQAgAAjgQAAA4A&#10;AAAAAAAAAQAgAAAAIwEAAGRycy9lMm9Eb2MueG1sUEsFBgAAAAAGAAYAWQEAAOUFAAAAAA==&#10;">
                        <v:fill on="t" focussize="0,0"/>
                        <v:stroke on="f"/>
                        <v:imagedata o:title=""/>
                        <o:lock v:ext="edit" aspectratio="f"/>
                        <v:textbox>
                          <w:txbxContent>
                            <w:p w14:paraId="1A3F1EBA">
                              <w:pPr>
                                <w:rPr>
                                  <w:rFonts w:hint="eastAsia" w:ascii="宋体" w:hAnsi="宋体" w:eastAsia="宋体" w:cs="宋体"/>
                                  <w:sz w:val="21"/>
                                  <w:szCs w:val="21"/>
                                </w:rPr>
                              </w:pPr>
                              <w:r>
                                <w:rPr>
                                  <w:rFonts w:hint="eastAsia" w:ascii="宋体" w:hAnsi="宋体" w:eastAsia="宋体" w:cs="宋体"/>
                                  <w:sz w:val="21"/>
                                  <w:szCs w:val="21"/>
                                </w:rPr>
                                <w:t>一开前压Φ339.7导管2根</w:t>
                              </w:r>
                            </w:p>
                            <w:p w14:paraId="0F1438AC">
                              <w:pPr>
                                <w:rPr>
                                  <w:rFonts w:hint="eastAsia" w:ascii="宋体" w:hAnsi="宋体" w:eastAsia="宋体" w:cs="宋体"/>
                                  <w:sz w:val="21"/>
                                  <w:szCs w:val="21"/>
                                </w:rPr>
                              </w:pPr>
                              <w:r>
                                <w:rPr>
                                  <w:rFonts w:hint="eastAsia" w:ascii="宋体" w:hAnsi="宋体" w:eastAsia="宋体" w:cs="宋体"/>
                                  <w:sz w:val="21"/>
                                  <w:szCs w:val="21"/>
                                </w:rPr>
                                <w:t>一开：</w:t>
                              </w:r>
                            </w:p>
                            <w:p w14:paraId="35A417CC">
                              <w:pPr>
                                <w:rPr>
                                  <w:rFonts w:hint="eastAsia" w:ascii="宋体" w:hAnsi="宋体" w:eastAsia="宋体" w:cs="宋体"/>
                                  <w:sz w:val="21"/>
                                  <w:szCs w:val="21"/>
                                </w:rPr>
                              </w:pPr>
                              <w:r>
                                <w:rPr>
                                  <w:rFonts w:hint="eastAsia" w:ascii="宋体" w:hAnsi="宋体" w:eastAsia="宋体" w:cs="宋体"/>
                                  <w:sz w:val="21"/>
                                  <w:szCs w:val="21"/>
                                </w:rPr>
                                <w:t>井眼尺寸（mm）：311.1</w:t>
                              </w:r>
                            </w:p>
                            <w:p w14:paraId="3D146653">
                              <w:pPr>
                                <w:rPr>
                                  <w:rFonts w:hint="eastAsia" w:ascii="宋体" w:hAnsi="宋体" w:eastAsia="宋体" w:cs="宋体"/>
                                  <w:sz w:val="21"/>
                                  <w:szCs w:val="21"/>
                                </w:rPr>
                              </w:pPr>
                              <w:r>
                                <w:rPr>
                                  <w:rFonts w:hint="eastAsia" w:ascii="宋体" w:hAnsi="宋体" w:eastAsia="宋体" w:cs="宋体"/>
                                  <w:sz w:val="21"/>
                                  <w:szCs w:val="21"/>
                                </w:rPr>
                                <w:t>所钻井深（m）：</w:t>
                              </w:r>
                              <w:r>
                                <w:rPr>
                                  <w:rFonts w:hint="eastAsia" w:ascii="宋体" w:hAnsi="宋体" w:cs="宋体"/>
                                  <w:sz w:val="21"/>
                                  <w:szCs w:val="21"/>
                                  <w:lang w:val="en-US" w:eastAsia="zh-CN"/>
                                </w:rPr>
                                <w:t>5</w:t>
                              </w:r>
                              <w:r>
                                <w:rPr>
                                  <w:rFonts w:hint="eastAsia" w:ascii="宋体" w:hAnsi="宋体" w:eastAsia="宋体" w:cs="宋体"/>
                                  <w:sz w:val="21"/>
                                  <w:szCs w:val="21"/>
                                </w:rPr>
                                <w:t>00</w:t>
                              </w:r>
                            </w:p>
                            <w:p w14:paraId="0AAC924C">
                              <w:pPr>
                                <w:rPr>
                                  <w:rFonts w:hint="eastAsia" w:ascii="宋体" w:hAnsi="宋体" w:eastAsia="宋体" w:cs="宋体"/>
                                  <w:sz w:val="21"/>
                                  <w:szCs w:val="21"/>
                                </w:rPr>
                              </w:pPr>
                              <w:r>
                                <w:rPr>
                                  <w:rFonts w:hint="eastAsia" w:ascii="宋体" w:hAnsi="宋体" w:eastAsia="宋体" w:cs="宋体"/>
                                  <w:sz w:val="21"/>
                                  <w:szCs w:val="21"/>
                                </w:rPr>
                                <w:t>套管尺寸（mm）：244.5</w:t>
                              </w:r>
                            </w:p>
                            <w:p w14:paraId="6A9A62AF">
                              <w:pPr>
                                <w:rPr>
                                  <w:rFonts w:hint="eastAsia" w:ascii="宋体" w:hAnsi="宋体" w:eastAsia="宋体" w:cs="宋体"/>
                                  <w:sz w:val="21"/>
                                  <w:szCs w:val="21"/>
                                </w:rPr>
                              </w:pPr>
                              <w:r>
                                <w:rPr>
                                  <w:rFonts w:hint="eastAsia" w:ascii="宋体" w:hAnsi="宋体" w:eastAsia="宋体" w:cs="宋体"/>
                                  <w:sz w:val="21"/>
                                  <w:szCs w:val="21"/>
                                </w:rPr>
                                <w:t>套管下深（m）：</w:t>
                              </w:r>
                              <w:r>
                                <w:rPr>
                                  <w:rFonts w:hint="eastAsia" w:ascii="宋体" w:hAnsi="宋体" w:cs="宋体"/>
                                  <w:sz w:val="21"/>
                                  <w:szCs w:val="21"/>
                                  <w:lang w:val="en-US" w:eastAsia="zh-CN"/>
                                </w:rPr>
                                <w:t>4</w:t>
                              </w:r>
                              <w:r>
                                <w:rPr>
                                  <w:rFonts w:hint="eastAsia" w:ascii="宋体" w:hAnsi="宋体" w:eastAsia="宋体" w:cs="宋体"/>
                                  <w:sz w:val="21"/>
                                  <w:szCs w:val="21"/>
                                </w:rPr>
                                <w:t>98</w:t>
                              </w:r>
                            </w:p>
                            <w:p w14:paraId="2FB854A4">
                              <w:pPr>
                                <w:rPr>
                                  <w:rFonts w:hint="eastAsia" w:ascii="宋体" w:hAnsi="宋体" w:eastAsia="宋体" w:cs="宋体"/>
                                  <w:sz w:val="21"/>
                                  <w:szCs w:val="21"/>
                                </w:rPr>
                              </w:pPr>
                              <w:r>
                                <w:rPr>
                                  <w:rFonts w:hint="eastAsia" w:ascii="宋体" w:hAnsi="宋体" w:eastAsia="宋体" w:cs="宋体"/>
                                  <w:sz w:val="21"/>
                                  <w:szCs w:val="21"/>
                                </w:rPr>
                                <w:t>二开：</w:t>
                              </w:r>
                            </w:p>
                            <w:p w14:paraId="40108B3F">
                              <w:pPr>
                                <w:rPr>
                                  <w:rFonts w:hint="eastAsia" w:ascii="宋体" w:hAnsi="宋体" w:eastAsia="宋体" w:cs="宋体"/>
                                  <w:sz w:val="21"/>
                                  <w:szCs w:val="21"/>
                                </w:rPr>
                              </w:pPr>
                              <w:r>
                                <w:rPr>
                                  <w:rFonts w:hint="eastAsia" w:ascii="宋体" w:hAnsi="宋体" w:eastAsia="宋体" w:cs="宋体"/>
                                  <w:sz w:val="21"/>
                                  <w:szCs w:val="21"/>
                                </w:rPr>
                                <w:t>井眼尺寸（mm）：215.9</w:t>
                              </w:r>
                            </w:p>
                            <w:p w14:paraId="7A11ACF4">
                              <w:pPr>
                                <w:rPr>
                                  <w:rFonts w:hint="default" w:ascii="宋体" w:hAnsi="宋体" w:eastAsia="宋体" w:cs="宋体"/>
                                  <w:sz w:val="21"/>
                                  <w:szCs w:val="21"/>
                                  <w:lang w:val="en-US" w:eastAsia="zh-CN"/>
                                </w:rPr>
                              </w:pPr>
                              <w:r>
                                <w:rPr>
                                  <w:rFonts w:hint="eastAsia" w:ascii="宋体" w:hAnsi="宋体" w:eastAsia="宋体" w:cs="宋体"/>
                                  <w:sz w:val="21"/>
                                  <w:szCs w:val="21"/>
                                </w:rPr>
                                <w:t>所钻井深（m）：</w:t>
                              </w:r>
                              <w:r>
                                <w:rPr>
                                  <w:rFonts w:hint="eastAsia" w:ascii="宋体" w:hAnsi="宋体" w:cs="宋体"/>
                                  <w:sz w:val="21"/>
                                  <w:szCs w:val="21"/>
                                  <w:lang w:val="en-US" w:eastAsia="zh-CN"/>
                                </w:rPr>
                                <w:t>3090</w:t>
                              </w:r>
                            </w:p>
                            <w:p w14:paraId="62CA6AC8">
                              <w:pPr>
                                <w:rPr>
                                  <w:rFonts w:hint="eastAsia" w:ascii="宋体" w:hAnsi="宋体" w:eastAsia="宋体" w:cs="宋体"/>
                                  <w:sz w:val="21"/>
                                  <w:szCs w:val="21"/>
                                </w:rPr>
                              </w:pPr>
                              <w:r>
                                <w:rPr>
                                  <w:rFonts w:hint="eastAsia" w:ascii="宋体" w:hAnsi="宋体" w:eastAsia="宋体" w:cs="宋体"/>
                                  <w:sz w:val="21"/>
                                  <w:szCs w:val="21"/>
                                </w:rPr>
                                <w:t>套管尺寸（mm）：139.7</w:t>
                              </w:r>
                            </w:p>
                          </w:txbxContent>
                        </v:textbox>
                      </v:shape>
                      <w10:wrap type="none"/>
                      <w10:anchorlock/>
                    </v:group>
                  </w:pict>
                </mc:Fallback>
              </mc:AlternateContent>
            </w:r>
          </w:p>
          <w:p w14:paraId="1E54F846">
            <w:pPr>
              <w:pStyle w:val="3"/>
              <w:ind w:firstLine="0" w:firstLineChars="0"/>
              <w:jc w:val="center"/>
              <w:rPr>
                <w:rFonts w:hint="eastAsia" w:eastAsia="宋体"/>
                <w:b/>
                <w:bCs/>
                <w:color w:val="auto"/>
                <w:lang w:val="en-US" w:eastAsia="zh-CN"/>
              </w:rPr>
            </w:pPr>
            <w:r>
              <w:rPr>
                <w:rFonts w:hint="eastAsia" w:eastAsia="宋体"/>
                <w:b/>
                <w:bCs/>
                <w:color w:val="auto"/>
                <w:lang w:val="en-US" w:eastAsia="zh-CN"/>
              </w:rPr>
              <w:t>图2-1 沙105斜井井身结构图</w:t>
            </w:r>
          </w:p>
          <w:p w14:paraId="368EE0D4">
            <w:pPr>
              <w:pStyle w:val="3"/>
              <w:ind w:firstLine="0" w:firstLineChars="0"/>
              <w:jc w:val="center"/>
              <w:rPr>
                <w:rFonts w:hint="eastAsia" w:eastAsia="宋体"/>
                <w:b/>
                <w:bCs/>
                <w:color w:val="auto"/>
                <w:lang w:val="en-US" w:eastAsia="zh-CN"/>
              </w:rPr>
            </w:pPr>
            <w:r>
              <mc:AlternateContent>
                <mc:Choice Requires="wps">
                  <w:drawing>
                    <wp:anchor distT="0" distB="0" distL="114300" distR="114300" simplePos="0" relativeHeight="251662336" behindDoc="0" locked="0" layoutInCell="1" allowOverlap="1">
                      <wp:simplePos x="0" y="0"/>
                      <wp:positionH relativeFrom="column">
                        <wp:posOffset>2106295</wp:posOffset>
                      </wp:positionH>
                      <wp:positionV relativeFrom="paragraph">
                        <wp:posOffset>68580</wp:posOffset>
                      </wp:positionV>
                      <wp:extent cx="2148205" cy="2119630"/>
                      <wp:effectExtent l="0" t="0" r="635" b="1397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148205" cy="2119630"/>
                              </a:xfrm>
                              <a:prstGeom prst="rect">
                                <a:avLst/>
                              </a:prstGeom>
                              <a:solidFill>
                                <a:srgbClr val="FFFFFF">
                                  <a:lumMod val="100000"/>
                                  <a:lumOff val="0"/>
                                </a:srgbClr>
                              </a:solidFill>
                              <a:ln>
                                <a:noFill/>
                              </a:ln>
                              <a:effectLst/>
                            </wps:spPr>
                            <wps:txbx>
                              <w:txbxContent>
                                <w:p w14:paraId="2BFC8498">
                                  <w:pPr>
                                    <w:rPr>
                                      <w:rFonts w:hint="eastAsia" w:ascii="宋体" w:hAnsi="宋体" w:eastAsia="宋体" w:cs="宋体"/>
                                      <w:sz w:val="21"/>
                                      <w:szCs w:val="21"/>
                                    </w:rPr>
                                  </w:pPr>
                                  <w:r>
                                    <w:rPr>
                                      <w:rFonts w:hint="eastAsia" w:ascii="宋体" w:hAnsi="宋体" w:eastAsia="宋体" w:cs="宋体"/>
                                      <w:sz w:val="21"/>
                                      <w:szCs w:val="21"/>
                                    </w:rPr>
                                    <w:t>一开前压Φ339.7导管2根</w:t>
                                  </w:r>
                                </w:p>
                                <w:p w14:paraId="02E88EC5">
                                  <w:pPr>
                                    <w:rPr>
                                      <w:rFonts w:hint="eastAsia" w:ascii="宋体" w:hAnsi="宋体" w:eastAsia="宋体" w:cs="宋体"/>
                                      <w:sz w:val="21"/>
                                      <w:szCs w:val="21"/>
                                    </w:rPr>
                                  </w:pPr>
                                  <w:r>
                                    <w:rPr>
                                      <w:rFonts w:hint="eastAsia" w:ascii="宋体" w:hAnsi="宋体" w:eastAsia="宋体" w:cs="宋体"/>
                                      <w:sz w:val="21"/>
                                      <w:szCs w:val="21"/>
                                    </w:rPr>
                                    <w:t>一开：</w:t>
                                  </w:r>
                                </w:p>
                                <w:p w14:paraId="7723DB24">
                                  <w:pPr>
                                    <w:rPr>
                                      <w:rFonts w:hint="eastAsia" w:ascii="宋体" w:hAnsi="宋体" w:eastAsia="宋体" w:cs="宋体"/>
                                      <w:sz w:val="21"/>
                                      <w:szCs w:val="21"/>
                                    </w:rPr>
                                  </w:pPr>
                                  <w:r>
                                    <w:rPr>
                                      <w:rFonts w:hint="eastAsia" w:ascii="宋体" w:hAnsi="宋体" w:eastAsia="宋体" w:cs="宋体"/>
                                      <w:sz w:val="21"/>
                                      <w:szCs w:val="21"/>
                                    </w:rPr>
                                    <w:t>井眼尺寸（mm）：311.1</w:t>
                                  </w:r>
                                </w:p>
                                <w:p w14:paraId="71B9B9EB">
                                  <w:pPr>
                                    <w:rPr>
                                      <w:rFonts w:hint="eastAsia" w:ascii="宋体" w:hAnsi="宋体" w:eastAsia="宋体" w:cs="宋体"/>
                                      <w:sz w:val="21"/>
                                      <w:szCs w:val="21"/>
                                    </w:rPr>
                                  </w:pPr>
                                  <w:r>
                                    <w:rPr>
                                      <w:rFonts w:hint="eastAsia" w:ascii="宋体" w:hAnsi="宋体" w:eastAsia="宋体" w:cs="宋体"/>
                                      <w:sz w:val="21"/>
                                      <w:szCs w:val="21"/>
                                    </w:rPr>
                                    <w:t>所钻井深（m）：</w:t>
                                  </w:r>
                                  <w:r>
                                    <w:rPr>
                                      <w:rFonts w:hint="eastAsia" w:ascii="宋体" w:hAnsi="宋体" w:cs="宋体"/>
                                      <w:sz w:val="21"/>
                                      <w:szCs w:val="21"/>
                                      <w:lang w:val="en-US" w:eastAsia="zh-CN"/>
                                    </w:rPr>
                                    <w:t>5</w:t>
                                  </w:r>
                                  <w:r>
                                    <w:rPr>
                                      <w:rFonts w:hint="eastAsia" w:ascii="宋体" w:hAnsi="宋体" w:eastAsia="宋体" w:cs="宋体"/>
                                      <w:sz w:val="21"/>
                                      <w:szCs w:val="21"/>
                                    </w:rPr>
                                    <w:t>00</w:t>
                                  </w:r>
                                </w:p>
                                <w:p w14:paraId="286684ED">
                                  <w:pPr>
                                    <w:rPr>
                                      <w:rFonts w:hint="eastAsia" w:ascii="宋体" w:hAnsi="宋体" w:eastAsia="宋体" w:cs="宋体"/>
                                      <w:sz w:val="21"/>
                                      <w:szCs w:val="21"/>
                                    </w:rPr>
                                  </w:pPr>
                                  <w:r>
                                    <w:rPr>
                                      <w:rFonts w:hint="eastAsia" w:ascii="宋体" w:hAnsi="宋体" w:eastAsia="宋体" w:cs="宋体"/>
                                      <w:sz w:val="21"/>
                                      <w:szCs w:val="21"/>
                                    </w:rPr>
                                    <w:t>套管尺寸（mm）：244.5</w:t>
                                  </w:r>
                                </w:p>
                                <w:p w14:paraId="2573CF35">
                                  <w:pPr>
                                    <w:rPr>
                                      <w:rFonts w:hint="eastAsia" w:ascii="宋体" w:hAnsi="宋体" w:eastAsia="宋体" w:cs="宋体"/>
                                      <w:sz w:val="21"/>
                                      <w:szCs w:val="21"/>
                                    </w:rPr>
                                  </w:pPr>
                                  <w:r>
                                    <w:rPr>
                                      <w:rFonts w:hint="eastAsia" w:ascii="宋体" w:hAnsi="宋体" w:eastAsia="宋体" w:cs="宋体"/>
                                      <w:sz w:val="21"/>
                                      <w:szCs w:val="21"/>
                                    </w:rPr>
                                    <w:t>套管下深（m）：</w:t>
                                  </w:r>
                                  <w:r>
                                    <w:rPr>
                                      <w:rFonts w:hint="eastAsia" w:ascii="宋体" w:hAnsi="宋体" w:cs="宋体"/>
                                      <w:sz w:val="21"/>
                                      <w:szCs w:val="21"/>
                                      <w:lang w:val="en-US" w:eastAsia="zh-CN"/>
                                    </w:rPr>
                                    <w:t>4</w:t>
                                  </w:r>
                                  <w:r>
                                    <w:rPr>
                                      <w:rFonts w:hint="eastAsia" w:ascii="宋体" w:hAnsi="宋体" w:eastAsia="宋体" w:cs="宋体"/>
                                      <w:sz w:val="21"/>
                                      <w:szCs w:val="21"/>
                                    </w:rPr>
                                    <w:t>98</w:t>
                                  </w:r>
                                </w:p>
                                <w:p w14:paraId="3DD3FAA6">
                                  <w:pPr>
                                    <w:rPr>
                                      <w:rFonts w:hint="eastAsia" w:ascii="宋体" w:hAnsi="宋体" w:eastAsia="宋体" w:cs="宋体"/>
                                      <w:sz w:val="21"/>
                                      <w:szCs w:val="21"/>
                                    </w:rPr>
                                  </w:pPr>
                                  <w:r>
                                    <w:rPr>
                                      <w:rFonts w:hint="eastAsia" w:ascii="宋体" w:hAnsi="宋体" w:eastAsia="宋体" w:cs="宋体"/>
                                      <w:sz w:val="21"/>
                                      <w:szCs w:val="21"/>
                                    </w:rPr>
                                    <w:t>二开：</w:t>
                                  </w:r>
                                </w:p>
                                <w:p w14:paraId="4FDCB9A6">
                                  <w:pPr>
                                    <w:rPr>
                                      <w:rFonts w:hint="eastAsia" w:ascii="宋体" w:hAnsi="宋体" w:eastAsia="宋体" w:cs="宋体"/>
                                      <w:sz w:val="21"/>
                                      <w:szCs w:val="21"/>
                                    </w:rPr>
                                  </w:pPr>
                                  <w:r>
                                    <w:rPr>
                                      <w:rFonts w:hint="eastAsia" w:ascii="宋体" w:hAnsi="宋体" w:eastAsia="宋体" w:cs="宋体"/>
                                      <w:sz w:val="21"/>
                                      <w:szCs w:val="21"/>
                                    </w:rPr>
                                    <w:t>井眼尺寸（mm）：215.9</w:t>
                                  </w:r>
                                </w:p>
                                <w:p w14:paraId="41B5CC16">
                                  <w:pPr>
                                    <w:rPr>
                                      <w:rFonts w:hint="default" w:ascii="宋体" w:hAnsi="宋体" w:eastAsia="宋体" w:cs="宋体"/>
                                      <w:sz w:val="21"/>
                                      <w:szCs w:val="21"/>
                                      <w:lang w:val="en-US" w:eastAsia="zh-CN"/>
                                    </w:rPr>
                                  </w:pPr>
                                  <w:r>
                                    <w:rPr>
                                      <w:rFonts w:hint="eastAsia" w:ascii="宋体" w:hAnsi="宋体" w:eastAsia="宋体" w:cs="宋体"/>
                                      <w:sz w:val="21"/>
                                      <w:szCs w:val="21"/>
                                    </w:rPr>
                                    <w:t>所钻井深（m）：</w:t>
                                  </w:r>
                                  <w:r>
                                    <w:rPr>
                                      <w:rFonts w:hint="eastAsia" w:ascii="宋体" w:hAnsi="宋体" w:cs="宋体"/>
                                      <w:sz w:val="21"/>
                                      <w:szCs w:val="21"/>
                                      <w:lang w:val="en-US" w:eastAsia="zh-CN"/>
                                    </w:rPr>
                                    <w:t>3292</w:t>
                                  </w:r>
                                </w:p>
                                <w:p w14:paraId="597E957D">
                                  <w:pPr>
                                    <w:rPr>
                                      <w:rFonts w:hint="eastAsia" w:ascii="宋体" w:hAnsi="宋体" w:eastAsia="宋体" w:cs="宋体"/>
                                      <w:sz w:val="21"/>
                                      <w:szCs w:val="21"/>
                                    </w:rPr>
                                  </w:pPr>
                                  <w:r>
                                    <w:rPr>
                                      <w:rFonts w:hint="eastAsia" w:ascii="宋体" w:hAnsi="宋体" w:eastAsia="宋体" w:cs="宋体"/>
                                      <w:sz w:val="21"/>
                                      <w:szCs w:val="21"/>
                                    </w:rPr>
                                    <w:t>套管尺寸（mm）：139.7</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65.85pt;margin-top:5.4pt;height:166.9pt;width:169.15pt;z-index:251662336;mso-width-relative:page;mso-height-relative:page;" fillcolor="#FFFFFF" filled="t" stroked="f" coordsize="21600,21600" o:gfxdata="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E+n3bWAAAACgEAAA8AAAAAAAAAAQAg&#10;AAAAIgAAAGRycy9kb3ducmV2LnhtbFBLAQIUABQAAAAIAIdO4kDxdZFXSQIAAIMEAAAOAAAAAAAA&#10;AAEAIAAAACUBAABkcnMvZTJvRG9jLnhtbFBLBQYAAAAABgAGAFkBAADgBQAAAAA=&#10;">
                      <v:fill on="t" focussize="0,0"/>
                      <v:stroke on="f"/>
                      <v:imagedata o:title=""/>
                      <o:lock v:ext="edit" aspectratio="f"/>
                      <v:textbox>
                        <w:txbxContent>
                          <w:p w14:paraId="2BFC8498">
                            <w:pPr>
                              <w:rPr>
                                <w:rFonts w:hint="eastAsia" w:ascii="宋体" w:hAnsi="宋体" w:eastAsia="宋体" w:cs="宋体"/>
                                <w:sz w:val="21"/>
                                <w:szCs w:val="21"/>
                              </w:rPr>
                            </w:pPr>
                            <w:r>
                              <w:rPr>
                                <w:rFonts w:hint="eastAsia" w:ascii="宋体" w:hAnsi="宋体" w:eastAsia="宋体" w:cs="宋体"/>
                                <w:sz w:val="21"/>
                                <w:szCs w:val="21"/>
                              </w:rPr>
                              <w:t>一开前压Φ339.7导管2根</w:t>
                            </w:r>
                          </w:p>
                          <w:p w14:paraId="02E88EC5">
                            <w:pPr>
                              <w:rPr>
                                <w:rFonts w:hint="eastAsia" w:ascii="宋体" w:hAnsi="宋体" w:eastAsia="宋体" w:cs="宋体"/>
                                <w:sz w:val="21"/>
                                <w:szCs w:val="21"/>
                              </w:rPr>
                            </w:pPr>
                            <w:r>
                              <w:rPr>
                                <w:rFonts w:hint="eastAsia" w:ascii="宋体" w:hAnsi="宋体" w:eastAsia="宋体" w:cs="宋体"/>
                                <w:sz w:val="21"/>
                                <w:szCs w:val="21"/>
                              </w:rPr>
                              <w:t>一开：</w:t>
                            </w:r>
                          </w:p>
                          <w:p w14:paraId="7723DB24">
                            <w:pPr>
                              <w:rPr>
                                <w:rFonts w:hint="eastAsia" w:ascii="宋体" w:hAnsi="宋体" w:eastAsia="宋体" w:cs="宋体"/>
                                <w:sz w:val="21"/>
                                <w:szCs w:val="21"/>
                              </w:rPr>
                            </w:pPr>
                            <w:r>
                              <w:rPr>
                                <w:rFonts w:hint="eastAsia" w:ascii="宋体" w:hAnsi="宋体" w:eastAsia="宋体" w:cs="宋体"/>
                                <w:sz w:val="21"/>
                                <w:szCs w:val="21"/>
                              </w:rPr>
                              <w:t>井眼尺寸（mm）：311.1</w:t>
                            </w:r>
                          </w:p>
                          <w:p w14:paraId="71B9B9EB">
                            <w:pPr>
                              <w:rPr>
                                <w:rFonts w:hint="eastAsia" w:ascii="宋体" w:hAnsi="宋体" w:eastAsia="宋体" w:cs="宋体"/>
                                <w:sz w:val="21"/>
                                <w:szCs w:val="21"/>
                              </w:rPr>
                            </w:pPr>
                            <w:r>
                              <w:rPr>
                                <w:rFonts w:hint="eastAsia" w:ascii="宋体" w:hAnsi="宋体" w:eastAsia="宋体" w:cs="宋体"/>
                                <w:sz w:val="21"/>
                                <w:szCs w:val="21"/>
                              </w:rPr>
                              <w:t>所钻井深（m）：</w:t>
                            </w:r>
                            <w:r>
                              <w:rPr>
                                <w:rFonts w:hint="eastAsia" w:ascii="宋体" w:hAnsi="宋体" w:cs="宋体"/>
                                <w:sz w:val="21"/>
                                <w:szCs w:val="21"/>
                                <w:lang w:val="en-US" w:eastAsia="zh-CN"/>
                              </w:rPr>
                              <w:t>5</w:t>
                            </w:r>
                            <w:r>
                              <w:rPr>
                                <w:rFonts w:hint="eastAsia" w:ascii="宋体" w:hAnsi="宋体" w:eastAsia="宋体" w:cs="宋体"/>
                                <w:sz w:val="21"/>
                                <w:szCs w:val="21"/>
                              </w:rPr>
                              <w:t>00</w:t>
                            </w:r>
                          </w:p>
                          <w:p w14:paraId="286684ED">
                            <w:pPr>
                              <w:rPr>
                                <w:rFonts w:hint="eastAsia" w:ascii="宋体" w:hAnsi="宋体" w:eastAsia="宋体" w:cs="宋体"/>
                                <w:sz w:val="21"/>
                                <w:szCs w:val="21"/>
                              </w:rPr>
                            </w:pPr>
                            <w:r>
                              <w:rPr>
                                <w:rFonts w:hint="eastAsia" w:ascii="宋体" w:hAnsi="宋体" w:eastAsia="宋体" w:cs="宋体"/>
                                <w:sz w:val="21"/>
                                <w:szCs w:val="21"/>
                              </w:rPr>
                              <w:t>套管尺寸（mm）：244.5</w:t>
                            </w:r>
                          </w:p>
                          <w:p w14:paraId="2573CF35">
                            <w:pPr>
                              <w:rPr>
                                <w:rFonts w:hint="eastAsia" w:ascii="宋体" w:hAnsi="宋体" w:eastAsia="宋体" w:cs="宋体"/>
                                <w:sz w:val="21"/>
                                <w:szCs w:val="21"/>
                              </w:rPr>
                            </w:pPr>
                            <w:r>
                              <w:rPr>
                                <w:rFonts w:hint="eastAsia" w:ascii="宋体" w:hAnsi="宋体" w:eastAsia="宋体" w:cs="宋体"/>
                                <w:sz w:val="21"/>
                                <w:szCs w:val="21"/>
                              </w:rPr>
                              <w:t>套管下深（m）：</w:t>
                            </w:r>
                            <w:r>
                              <w:rPr>
                                <w:rFonts w:hint="eastAsia" w:ascii="宋体" w:hAnsi="宋体" w:cs="宋体"/>
                                <w:sz w:val="21"/>
                                <w:szCs w:val="21"/>
                                <w:lang w:val="en-US" w:eastAsia="zh-CN"/>
                              </w:rPr>
                              <w:t>4</w:t>
                            </w:r>
                            <w:r>
                              <w:rPr>
                                <w:rFonts w:hint="eastAsia" w:ascii="宋体" w:hAnsi="宋体" w:eastAsia="宋体" w:cs="宋体"/>
                                <w:sz w:val="21"/>
                                <w:szCs w:val="21"/>
                              </w:rPr>
                              <w:t>98</w:t>
                            </w:r>
                          </w:p>
                          <w:p w14:paraId="3DD3FAA6">
                            <w:pPr>
                              <w:rPr>
                                <w:rFonts w:hint="eastAsia" w:ascii="宋体" w:hAnsi="宋体" w:eastAsia="宋体" w:cs="宋体"/>
                                <w:sz w:val="21"/>
                                <w:szCs w:val="21"/>
                              </w:rPr>
                            </w:pPr>
                            <w:r>
                              <w:rPr>
                                <w:rFonts w:hint="eastAsia" w:ascii="宋体" w:hAnsi="宋体" w:eastAsia="宋体" w:cs="宋体"/>
                                <w:sz w:val="21"/>
                                <w:szCs w:val="21"/>
                              </w:rPr>
                              <w:t>二开：</w:t>
                            </w:r>
                          </w:p>
                          <w:p w14:paraId="4FDCB9A6">
                            <w:pPr>
                              <w:rPr>
                                <w:rFonts w:hint="eastAsia" w:ascii="宋体" w:hAnsi="宋体" w:eastAsia="宋体" w:cs="宋体"/>
                                <w:sz w:val="21"/>
                                <w:szCs w:val="21"/>
                              </w:rPr>
                            </w:pPr>
                            <w:r>
                              <w:rPr>
                                <w:rFonts w:hint="eastAsia" w:ascii="宋体" w:hAnsi="宋体" w:eastAsia="宋体" w:cs="宋体"/>
                                <w:sz w:val="21"/>
                                <w:szCs w:val="21"/>
                              </w:rPr>
                              <w:t>井眼尺寸（mm）：215.9</w:t>
                            </w:r>
                          </w:p>
                          <w:p w14:paraId="41B5CC16">
                            <w:pPr>
                              <w:rPr>
                                <w:rFonts w:hint="default" w:ascii="宋体" w:hAnsi="宋体" w:eastAsia="宋体" w:cs="宋体"/>
                                <w:sz w:val="21"/>
                                <w:szCs w:val="21"/>
                                <w:lang w:val="en-US" w:eastAsia="zh-CN"/>
                              </w:rPr>
                            </w:pPr>
                            <w:r>
                              <w:rPr>
                                <w:rFonts w:hint="eastAsia" w:ascii="宋体" w:hAnsi="宋体" w:eastAsia="宋体" w:cs="宋体"/>
                                <w:sz w:val="21"/>
                                <w:szCs w:val="21"/>
                              </w:rPr>
                              <w:t>所钻井深（m）：</w:t>
                            </w:r>
                            <w:r>
                              <w:rPr>
                                <w:rFonts w:hint="eastAsia" w:ascii="宋体" w:hAnsi="宋体" w:cs="宋体"/>
                                <w:sz w:val="21"/>
                                <w:szCs w:val="21"/>
                                <w:lang w:val="en-US" w:eastAsia="zh-CN"/>
                              </w:rPr>
                              <w:t>3292</w:t>
                            </w:r>
                          </w:p>
                          <w:p w14:paraId="597E957D">
                            <w:pPr>
                              <w:rPr>
                                <w:rFonts w:hint="eastAsia" w:ascii="宋体" w:hAnsi="宋体" w:eastAsia="宋体" w:cs="宋体"/>
                                <w:sz w:val="21"/>
                                <w:szCs w:val="21"/>
                              </w:rPr>
                            </w:pPr>
                            <w:r>
                              <w:rPr>
                                <w:rFonts w:hint="eastAsia" w:ascii="宋体" w:hAnsi="宋体" w:eastAsia="宋体" w:cs="宋体"/>
                                <w:sz w:val="21"/>
                                <w:szCs w:val="21"/>
                              </w:rPr>
                              <w:t>套管尺寸（mm）：139.7</w:t>
                            </w:r>
                          </w:p>
                        </w:txbxContent>
                      </v:textbox>
                    </v:shape>
                  </w:pict>
                </mc:Fallback>
              </mc:AlternateContent>
            </w:r>
            <w:r>
              <w:drawing>
                <wp:anchor distT="0" distB="0" distL="114300" distR="114300" simplePos="0" relativeHeight="251663360" behindDoc="0" locked="0" layoutInCell="1" allowOverlap="1">
                  <wp:simplePos x="0" y="0"/>
                  <wp:positionH relativeFrom="column">
                    <wp:posOffset>873760</wp:posOffset>
                  </wp:positionH>
                  <wp:positionV relativeFrom="paragraph">
                    <wp:posOffset>13335</wp:posOffset>
                  </wp:positionV>
                  <wp:extent cx="1033780" cy="2298700"/>
                  <wp:effectExtent l="0" t="0" r="2540" b="254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033780" cy="2298700"/>
                          </a:xfrm>
                          <a:prstGeom prst="rect">
                            <a:avLst/>
                          </a:prstGeom>
                          <a:noFill/>
                          <a:ln>
                            <a:noFill/>
                          </a:ln>
                        </pic:spPr>
                      </pic:pic>
                    </a:graphicData>
                  </a:graphic>
                </wp:anchor>
              </w:drawing>
            </w:r>
          </w:p>
          <w:p w14:paraId="0C0BE236">
            <w:pPr>
              <w:pStyle w:val="3"/>
              <w:ind w:firstLine="0" w:firstLineChars="0"/>
              <w:jc w:val="center"/>
              <w:rPr>
                <w:rFonts w:hint="eastAsia" w:eastAsia="宋体"/>
                <w:b/>
                <w:bCs/>
                <w:color w:val="auto"/>
                <w:lang w:val="en-US" w:eastAsia="zh-CN"/>
              </w:rPr>
            </w:pPr>
          </w:p>
          <w:p w14:paraId="0FBDD8FC">
            <w:pPr>
              <w:pStyle w:val="3"/>
              <w:ind w:firstLine="0" w:firstLineChars="0"/>
              <w:jc w:val="center"/>
              <w:rPr>
                <w:rFonts w:hint="eastAsia" w:eastAsia="宋体"/>
                <w:b/>
                <w:bCs/>
                <w:color w:val="auto"/>
                <w:lang w:val="en-US" w:eastAsia="zh-CN"/>
              </w:rPr>
            </w:pPr>
          </w:p>
          <w:p w14:paraId="71C334E7">
            <w:pPr>
              <w:pStyle w:val="3"/>
              <w:ind w:firstLine="0" w:firstLineChars="0"/>
              <w:jc w:val="center"/>
              <w:rPr>
                <w:rFonts w:hint="eastAsia" w:eastAsia="宋体"/>
                <w:b/>
                <w:bCs/>
                <w:color w:val="auto"/>
                <w:lang w:val="en-US" w:eastAsia="zh-CN"/>
              </w:rPr>
            </w:pPr>
          </w:p>
          <w:p w14:paraId="0D9F3A4D">
            <w:pPr>
              <w:pStyle w:val="3"/>
              <w:ind w:firstLine="0" w:firstLineChars="0"/>
              <w:jc w:val="center"/>
              <w:rPr>
                <w:rFonts w:hint="eastAsia" w:eastAsia="宋体"/>
                <w:b/>
                <w:bCs/>
                <w:color w:val="auto"/>
                <w:lang w:val="en-US" w:eastAsia="zh-CN"/>
              </w:rPr>
            </w:pPr>
          </w:p>
          <w:p w14:paraId="5E842A06">
            <w:pPr>
              <w:pStyle w:val="3"/>
              <w:ind w:firstLine="0" w:firstLineChars="0"/>
              <w:jc w:val="center"/>
              <w:rPr>
                <w:rFonts w:hint="eastAsia" w:eastAsia="宋体"/>
                <w:b/>
                <w:bCs/>
                <w:color w:val="auto"/>
                <w:lang w:val="en-US" w:eastAsia="zh-CN"/>
              </w:rPr>
            </w:pPr>
          </w:p>
          <w:p w14:paraId="3418B4C5">
            <w:pPr>
              <w:pStyle w:val="3"/>
              <w:ind w:firstLine="0" w:firstLineChars="0"/>
              <w:jc w:val="center"/>
              <w:rPr>
                <w:rFonts w:hint="eastAsia" w:eastAsia="宋体"/>
                <w:b/>
                <w:bCs/>
                <w:color w:val="auto"/>
                <w:lang w:val="en-US" w:eastAsia="zh-CN"/>
              </w:rPr>
            </w:pPr>
          </w:p>
          <w:p w14:paraId="2F96966D">
            <w:pPr>
              <w:pStyle w:val="3"/>
              <w:ind w:firstLine="0" w:firstLineChars="0"/>
              <w:jc w:val="center"/>
              <w:rPr>
                <w:rFonts w:hint="eastAsia" w:eastAsia="宋体"/>
                <w:b/>
                <w:bCs/>
                <w:color w:val="auto"/>
                <w:lang w:val="en-US" w:eastAsia="zh-CN"/>
              </w:rPr>
            </w:pPr>
          </w:p>
          <w:p w14:paraId="5AC9539A">
            <w:pPr>
              <w:pStyle w:val="3"/>
              <w:ind w:firstLine="0" w:firstLineChars="0"/>
              <w:jc w:val="center"/>
              <w:rPr>
                <w:rFonts w:hint="default" w:eastAsia="宋体"/>
                <w:b/>
                <w:bCs/>
                <w:color w:val="auto"/>
                <w:lang w:val="en-US" w:eastAsia="zh-CN"/>
              </w:rPr>
            </w:pPr>
            <w:r>
              <w:rPr>
                <w:rFonts w:hint="eastAsia" w:eastAsia="宋体"/>
                <w:b/>
                <w:bCs/>
                <w:color w:val="auto"/>
                <w:lang w:val="en-US" w:eastAsia="zh-CN"/>
              </w:rPr>
              <w:t>图2-2 沙86斜井井身结构图</w:t>
            </w:r>
          </w:p>
          <w:p w14:paraId="25F5A706">
            <w:pPr>
              <w:pStyle w:val="16"/>
              <w:numPr>
                <w:ilvl w:val="0"/>
                <w:numId w:val="1"/>
              </w:numPr>
              <w:bidi w:val="0"/>
              <w:ind w:left="481" w:leftChars="229" w:firstLine="0" w:firstLineChars="0"/>
              <w:jc w:val="both"/>
              <w:rPr>
                <w:rFonts w:hint="eastAsia" w:eastAsia="宋体"/>
                <w:color w:val="auto"/>
              </w:rPr>
            </w:pPr>
            <w:r>
              <w:rPr>
                <w:rFonts w:hint="eastAsia" w:eastAsia="宋体"/>
                <w:color w:val="auto"/>
              </w:rPr>
              <w:t>主要设备</w:t>
            </w:r>
          </w:p>
          <w:p w14:paraId="45DE804F">
            <w:pPr>
              <w:pStyle w:val="3"/>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本项目逐口井施工，施工工艺不变，主要施工设备不变。每个井场主要设备种类及数量基本相同，具体见下表。</w:t>
            </w:r>
          </w:p>
          <w:p w14:paraId="69465584">
            <w:pPr>
              <w:pStyle w:val="16"/>
              <w:rPr>
                <w:rFonts w:hint="eastAsia" w:eastAsia="宋体"/>
                <w:color w:val="auto"/>
                <w:lang w:eastAsia="zh-CN"/>
              </w:rPr>
            </w:pPr>
            <w:r>
              <w:rPr>
                <w:rFonts w:hint="eastAsia" w:eastAsia="宋体"/>
                <w:color w:val="auto"/>
              </w:rPr>
              <w:t>表2-</w:t>
            </w:r>
            <w:r>
              <w:rPr>
                <w:rFonts w:hint="eastAsia" w:eastAsia="宋体"/>
                <w:color w:val="auto"/>
                <w:lang w:val="en-US" w:eastAsia="zh-CN"/>
              </w:rPr>
              <w:t>5</w:t>
            </w:r>
            <w:r>
              <w:rPr>
                <w:rFonts w:hint="eastAsia" w:eastAsia="宋体"/>
                <w:color w:val="auto"/>
              </w:rPr>
              <w:t xml:space="preserve">  施工期主要设备一览表</w:t>
            </w:r>
            <w:r>
              <w:rPr>
                <w:rFonts w:hint="eastAsia" w:eastAsia="宋体"/>
                <w:color w:val="auto"/>
                <w:lang w:eastAsia="zh-CN"/>
              </w:rPr>
              <w:t>（</w:t>
            </w:r>
            <w:r>
              <w:rPr>
                <w:rFonts w:hint="eastAsia" w:eastAsia="宋体"/>
                <w:color w:val="auto"/>
                <w:lang w:val="en-US" w:eastAsia="zh-CN"/>
              </w:rPr>
              <w:t>两口井按顺序勘探，非同时勘探</w:t>
            </w:r>
            <w:r>
              <w:rPr>
                <w:rFonts w:hint="eastAsia" w:eastAsia="宋体"/>
                <w:color w:val="auto"/>
                <w:lang w:eastAsia="zh-CN"/>
              </w:rPr>
              <w:t>）</w:t>
            </w:r>
          </w:p>
          <w:tbl>
            <w:tblPr>
              <w:tblStyle w:val="1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04"/>
              <w:gridCol w:w="1529"/>
              <w:gridCol w:w="1664"/>
              <w:gridCol w:w="816"/>
              <w:gridCol w:w="605"/>
              <w:gridCol w:w="506"/>
              <w:gridCol w:w="1946"/>
            </w:tblGrid>
            <w:tr w14:paraId="0576E3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vMerge w:val="restart"/>
                  <w:tcBorders>
                    <w:tl2br w:val="nil"/>
                    <w:tr2bl w:val="nil"/>
                  </w:tcBorders>
                  <w:tcMar>
                    <w:top w:w="15" w:type="dxa"/>
                    <w:left w:w="15" w:type="dxa"/>
                    <w:bottom w:w="0" w:type="dxa"/>
                    <w:right w:w="15" w:type="dxa"/>
                  </w:tcMar>
                  <w:vAlign w:val="center"/>
                </w:tcPr>
                <w:p w14:paraId="082D030E">
                  <w:pPr>
                    <w:pStyle w:val="17"/>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028" w:type="pct"/>
                  <w:vMerge w:val="restart"/>
                  <w:tcBorders>
                    <w:tl2br w:val="nil"/>
                    <w:tr2bl w:val="nil"/>
                  </w:tcBorders>
                  <w:tcMar>
                    <w:top w:w="15" w:type="dxa"/>
                    <w:left w:w="15" w:type="dxa"/>
                    <w:bottom w:w="0" w:type="dxa"/>
                    <w:right w:w="15" w:type="dxa"/>
                  </w:tcMar>
                  <w:vAlign w:val="center"/>
                </w:tcPr>
                <w:p w14:paraId="1F9C3DA7">
                  <w:pPr>
                    <w:pStyle w:val="17"/>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964" w:type="pct"/>
                  <w:vMerge w:val="restart"/>
                  <w:tcBorders>
                    <w:tl2br w:val="nil"/>
                    <w:tr2bl w:val="nil"/>
                  </w:tcBorders>
                  <w:tcMar>
                    <w:top w:w="15" w:type="dxa"/>
                    <w:left w:w="15" w:type="dxa"/>
                    <w:bottom w:w="0" w:type="dxa"/>
                    <w:right w:w="15" w:type="dxa"/>
                  </w:tcMar>
                  <w:vAlign w:val="center"/>
                </w:tcPr>
                <w:p w14:paraId="6BE9C6AB">
                  <w:pPr>
                    <w:pStyle w:val="17"/>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规格型号</w:t>
                  </w:r>
                </w:p>
              </w:tc>
              <w:tc>
                <w:tcPr>
                  <w:tcW w:w="921" w:type="pct"/>
                  <w:gridSpan w:val="2"/>
                  <w:tcBorders>
                    <w:tl2br w:val="nil"/>
                    <w:tr2bl w:val="nil"/>
                  </w:tcBorders>
                  <w:vAlign w:val="center"/>
                </w:tcPr>
                <w:p w14:paraId="099BC35A">
                  <w:pPr>
                    <w:pStyle w:val="17"/>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主要技术参数</w:t>
                  </w:r>
                </w:p>
              </w:tc>
              <w:tc>
                <w:tcPr>
                  <w:tcW w:w="361" w:type="pct"/>
                  <w:tcBorders>
                    <w:tl2br w:val="nil"/>
                    <w:tr2bl w:val="nil"/>
                  </w:tcBorders>
                  <w:vAlign w:val="center"/>
                </w:tcPr>
                <w:p w14:paraId="006C0AF6">
                  <w:pPr>
                    <w:pStyle w:val="17"/>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w:t>
                  </w:r>
                </w:p>
              </w:tc>
              <w:tc>
                <w:tcPr>
                  <w:tcW w:w="1298" w:type="pct"/>
                  <w:vMerge w:val="restart"/>
                  <w:tcBorders>
                    <w:tl2br w:val="nil"/>
                    <w:tr2bl w:val="nil"/>
                  </w:tcBorders>
                  <w:tcMar>
                    <w:top w:w="15" w:type="dxa"/>
                    <w:left w:w="15" w:type="dxa"/>
                    <w:bottom w:w="0" w:type="dxa"/>
                    <w:right w:w="15" w:type="dxa"/>
                  </w:tcMar>
                  <w:vAlign w:val="center"/>
                </w:tcPr>
                <w:p w14:paraId="450FB31E">
                  <w:pPr>
                    <w:pStyle w:val="17"/>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用途</w:t>
                  </w:r>
                </w:p>
              </w:tc>
            </w:tr>
            <w:tr w14:paraId="14F06B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vMerge w:val="continue"/>
                  <w:tcBorders>
                    <w:tl2br w:val="nil"/>
                    <w:tr2bl w:val="nil"/>
                  </w:tcBorders>
                  <w:tcMar>
                    <w:top w:w="15" w:type="dxa"/>
                    <w:left w:w="15" w:type="dxa"/>
                    <w:bottom w:w="0" w:type="dxa"/>
                    <w:right w:w="15" w:type="dxa"/>
                  </w:tcMar>
                  <w:vAlign w:val="center"/>
                </w:tcPr>
                <w:p w14:paraId="6BB20A1D">
                  <w:pPr>
                    <w:pStyle w:val="17"/>
                    <w:jc w:val="center"/>
                    <w:rPr>
                      <w:rFonts w:hint="default" w:ascii="Times New Roman" w:hAnsi="Times New Roman" w:eastAsia="宋体" w:cs="Times New Roman"/>
                      <w:color w:val="auto"/>
                      <w:sz w:val="21"/>
                      <w:szCs w:val="21"/>
                    </w:rPr>
                  </w:pPr>
                </w:p>
              </w:tc>
              <w:tc>
                <w:tcPr>
                  <w:tcW w:w="1028" w:type="pct"/>
                  <w:vMerge w:val="continue"/>
                  <w:tcBorders>
                    <w:tl2br w:val="nil"/>
                    <w:tr2bl w:val="nil"/>
                  </w:tcBorders>
                  <w:tcMar>
                    <w:top w:w="15" w:type="dxa"/>
                    <w:left w:w="15" w:type="dxa"/>
                    <w:bottom w:w="0" w:type="dxa"/>
                    <w:right w:w="15" w:type="dxa"/>
                  </w:tcMar>
                  <w:vAlign w:val="center"/>
                </w:tcPr>
                <w:p w14:paraId="7D67BCCF">
                  <w:pPr>
                    <w:pStyle w:val="17"/>
                    <w:jc w:val="center"/>
                    <w:rPr>
                      <w:rFonts w:hint="default" w:ascii="Times New Roman" w:hAnsi="Times New Roman" w:eastAsia="宋体" w:cs="Times New Roman"/>
                      <w:color w:val="auto"/>
                      <w:sz w:val="21"/>
                      <w:szCs w:val="21"/>
                    </w:rPr>
                  </w:pPr>
                </w:p>
              </w:tc>
              <w:tc>
                <w:tcPr>
                  <w:tcW w:w="964" w:type="pct"/>
                  <w:vMerge w:val="continue"/>
                  <w:tcBorders>
                    <w:tl2br w:val="nil"/>
                    <w:tr2bl w:val="nil"/>
                  </w:tcBorders>
                  <w:tcMar>
                    <w:top w:w="15" w:type="dxa"/>
                    <w:left w:w="15" w:type="dxa"/>
                    <w:bottom w:w="0" w:type="dxa"/>
                    <w:right w:w="15" w:type="dxa"/>
                  </w:tcMar>
                  <w:vAlign w:val="center"/>
                </w:tcPr>
                <w:p w14:paraId="7288DC04">
                  <w:pPr>
                    <w:pStyle w:val="17"/>
                    <w:jc w:val="center"/>
                    <w:rPr>
                      <w:rFonts w:hint="default" w:ascii="Times New Roman" w:hAnsi="Times New Roman" w:eastAsia="宋体" w:cs="Times New Roman"/>
                      <w:color w:val="auto"/>
                      <w:sz w:val="21"/>
                      <w:szCs w:val="21"/>
                    </w:rPr>
                  </w:pPr>
                </w:p>
              </w:tc>
              <w:tc>
                <w:tcPr>
                  <w:tcW w:w="495" w:type="pct"/>
                  <w:tcBorders>
                    <w:tl2br w:val="nil"/>
                    <w:tr2bl w:val="nil"/>
                  </w:tcBorders>
                  <w:vAlign w:val="center"/>
                </w:tcPr>
                <w:p w14:paraId="14794E53">
                  <w:pPr>
                    <w:pStyle w:val="17"/>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参数</w:t>
                  </w:r>
                </w:p>
              </w:tc>
              <w:tc>
                <w:tcPr>
                  <w:tcW w:w="425" w:type="pct"/>
                  <w:tcBorders>
                    <w:tl2br w:val="nil"/>
                    <w:tr2bl w:val="nil"/>
                  </w:tcBorders>
                  <w:vAlign w:val="center"/>
                </w:tcPr>
                <w:p w14:paraId="10C88149">
                  <w:pPr>
                    <w:pStyle w:val="17"/>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361" w:type="pct"/>
                  <w:tcBorders>
                    <w:tl2br w:val="nil"/>
                    <w:tr2bl w:val="nil"/>
                  </w:tcBorders>
                  <w:vAlign w:val="center"/>
                </w:tcPr>
                <w:p w14:paraId="5A5E7D90">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台/套</w:t>
                  </w:r>
                </w:p>
              </w:tc>
              <w:tc>
                <w:tcPr>
                  <w:tcW w:w="1298" w:type="pct"/>
                  <w:vMerge w:val="continue"/>
                  <w:tcBorders>
                    <w:tl2br w:val="nil"/>
                    <w:tr2bl w:val="nil"/>
                  </w:tcBorders>
                  <w:tcMar>
                    <w:top w:w="15" w:type="dxa"/>
                    <w:left w:w="15" w:type="dxa"/>
                    <w:bottom w:w="0" w:type="dxa"/>
                    <w:right w:w="15" w:type="dxa"/>
                  </w:tcMar>
                  <w:vAlign w:val="center"/>
                </w:tcPr>
                <w:p w14:paraId="2069F722">
                  <w:pPr>
                    <w:pStyle w:val="17"/>
                    <w:jc w:val="center"/>
                    <w:rPr>
                      <w:rFonts w:hint="default" w:ascii="Times New Roman" w:hAnsi="Times New Roman" w:eastAsia="宋体" w:cs="Times New Roman"/>
                      <w:color w:val="auto"/>
                      <w:sz w:val="21"/>
                      <w:szCs w:val="21"/>
                    </w:rPr>
                  </w:pPr>
                </w:p>
              </w:tc>
            </w:tr>
            <w:tr w14:paraId="34A0CA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000" w:type="pct"/>
                  <w:gridSpan w:val="7"/>
                  <w:tcBorders>
                    <w:tl2br w:val="nil"/>
                    <w:tr2bl w:val="nil"/>
                  </w:tcBorders>
                  <w:tcMar>
                    <w:top w:w="15" w:type="dxa"/>
                    <w:left w:w="15" w:type="dxa"/>
                    <w:bottom w:w="0" w:type="dxa"/>
                    <w:right w:w="15" w:type="dxa"/>
                  </w:tcMar>
                  <w:vAlign w:val="center"/>
                </w:tcPr>
                <w:p w14:paraId="466FA563">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一、钻井设备</w:t>
                  </w:r>
                </w:p>
              </w:tc>
            </w:tr>
            <w:tr w14:paraId="00D086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3D81F32E">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028" w:type="pct"/>
                  <w:tcBorders>
                    <w:tl2br w:val="nil"/>
                    <w:tr2bl w:val="nil"/>
                  </w:tcBorders>
                  <w:tcMar>
                    <w:top w:w="15" w:type="dxa"/>
                    <w:left w:w="15" w:type="dxa"/>
                    <w:bottom w:w="0" w:type="dxa"/>
                    <w:right w:w="15" w:type="dxa"/>
                  </w:tcMar>
                  <w:vAlign w:val="center"/>
                </w:tcPr>
                <w:p w14:paraId="349B6BD3">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井架</w:t>
                  </w:r>
                </w:p>
              </w:tc>
              <w:tc>
                <w:tcPr>
                  <w:tcW w:w="964" w:type="pct"/>
                  <w:tcBorders>
                    <w:tl2br w:val="nil"/>
                    <w:tr2bl w:val="nil"/>
                  </w:tcBorders>
                  <w:tcMar>
                    <w:top w:w="15" w:type="dxa"/>
                    <w:left w:w="15" w:type="dxa"/>
                    <w:bottom w:w="0" w:type="dxa"/>
                    <w:right w:w="15" w:type="dxa"/>
                  </w:tcMar>
                  <w:vAlign w:val="center"/>
                </w:tcPr>
                <w:p w14:paraId="0A28CBEB">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JJ450/10.5-K14</w:t>
                  </w:r>
                </w:p>
              </w:tc>
              <w:tc>
                <w:tcPr>
                  <w:tcW w:w="495" w:type="pct"/>
                  <w:tcBorders>
                    <w:tl2br w:val="nil"/>
                    <w:tr2bl w:val="nil"/>
                  </w:tcBorders>
                  <w:vAlign w:val="center"/>
                </w:tcPr>
                <w:p w14:paraId="2522A32F">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4500</w:t>
                  </w:r>
                </w:p>
              </w:tc>
              <w:tc>
                <w:tcPr>
                  <w:tcW w:w="425" w:type="pct"/>
                  <w:tcBorders>
                    <w:tl2br w:val="nil"/>
                    <w:tr2bl w:val="nil"/>
                  </w:tcBorders>
                  <w:vAlign w:val="center"/>
                </w:tcPr>
                <w:p w14:paraId="75AE283F">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KN</w:t>
                  </w:r>
                </w:p>
              </w:tc>
              <w:tc>
                <w:tcPr>
                  <w:tcW w:w="361" w:type="pct"/>
                  <w:tcBorders>
                    <w:tl2br w:val="nil"/>
                    <w:tr2bl w:val="nil"/>
                  </w:tcBorders>
                  <w:vAlign w:val="center"/>
                </w:tcPr>
                <w:p w14:paraId="7941B7F6">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vMerge w:val="restart"/>
                  <w:tcBorders>
                    <w:tl2br w:val="nil"/>
                    <w:tr2bl w:val="nil"/>
                  </w:tcBorders>
                  <w:tcMar>
                    <w:top w:w="15" w:type="dxa"/>
                    <w:left w:w="15" w:type="dxa"/>
                    <w:bottom w:w="0" w:type="dxa"/>
                    <w:right w:w="15" w:type="dxa"/>
                  </w:tcMar>
                  <w:vAlign w:val="center"/>
                </w:tcPr>
                <w:p w14:paraId="17CC4FBE">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钻机组成部分，主要用于钻进，起下钻杆等</w:t>
                  </w:r>
                </w:p>
              </w:tc>
            </w:tr>
            <w:tr w14:paraId="3D5D5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6EE00E5B">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028" w:type="pct"/>
                  <w:tcBorders>
                    <w:tl2br w:val="nil"/>
                    <w:tr2bl w:val="nil"/>
                  </w:tcBorders>
                  <w:tcMar>
                    <w:top w:w="15" w:type="dxa"/>
                    <w:left w:w="15" w:type="dxa"/>
                    <w:bottom w:w="0" w:type="dxa"/>
                    <w:right w:w="15" w:type="dxa"/>
                  </w:tcMar>
                  <w:vAlign w:val="center"/>
                </w:tcPr>
                <w:p w14:paraId="2FB9AB99">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底座</w:t>
                  </w:r>
                </w:p>
              </w:tc>
              <w:tc>
                <w:tcPr>
                  <w:tcW w:w="964" w:type="pct"/>
                  <w:tcBorders>
                    <w:tl2br w:val="nil"/>
                    <w:tr2bl w:val="nil"/>
                  </w:tcBorders>
                  <w:tcMar>
                    <w:top w:w="15" w:type="dxa"/>
                    <w:left w:w="15" w:type="dxa"/>
                    <w:bottom w:w="0" w:type="dxa"/>
                    <w:right w:w="15" w:type="dxa"/>
                  </w:tcMar>
                  <w:vAlign w:val="center"/>
                </w:tcPr>
                <w:p w14:paraId="28B2775D">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DZ450/10.5-X11</w:t>
                  </w:r>
                </w:p>
              </w:tc>
              <w:tc>
                <w:tcPr>
                  <w:tcW w:w="495" w:type="pct"/>
                  <w:tcBorders>
                    <w:tl2br w:val="nil"/>
                    <w:tr2bl w:val="nil"/>
                  </w:tcBorders>
                  <w:vAlign w:val="center"/>
                </w:tcPr>
                <w:p w14:paraId="48775F4F">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4500</w:t>
                  </w:r>
                </w:p>
              </w:tc>
              <w:tc>
                <w:tcPr>
                  <w:tcW w:w="425" w:type="pct"/>
                  <w:tcBorders>
                    <w:tl2br w:val="nil"/>
                    <w:tr2bl w:val="nil"/>
                  </w:tcBorders>
                  <w:vAlign w:val="center"/>
                </w:tcPr>
                <w:p w14:paraId="1B140B94">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KN</w:t>
                  </w:r>
                </w:p>
              </w:tc>
              <w:tc>
                <w:tcPr>
                  <w:tcW w:w="361" w:type="pct"/>
                  <w:tcBorders>
                    <w:tl2br w:val="nil"/>
                    <w:tr2bl w:val="nil"/>
                  </w:tcBorders>
                  <w:vAlign w:val="center"/>
                </w:tcPr>
                <w:p w14:paraId="20926BB6">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vMerge w:val="continue"/>
                  <w:tcBorders>
                    <w:tl2br w:val="nil"/>
                    <w:tr2bl w:val="nil"/>
                  </w:tcBorders>
                  <w:tcMar>
                    <w:top w:w="15" w:type="dxa"/>
                    <w:left w:w="15" w:type="dxa"/>
                    <w:bottom w:w="0" w:type="dxa"/>
                    <w:right w:w="15" w:type="dxa"/>
                  </w:tcMar>
                  <w:vAlign w:val="center"/>
                </w:tcPr>
                <w:p w14:paraId="7498E54F">
                  <w:pPr>
                    <w:pStyle w:val="17"/>
                    <w:jc w:val="center"/>
                    <w:rPr>
                      <w:rFonts w:hint="default" w:ascii="Times New Roman" w:hAnsi="Times New Roman" w:eastAsia="宋体" w:cs="Times New Roman"/>
                      <w:color w:val="auto"/>
                      <w:sz w:val="21"/>
                      <w:szCs w:val="21"/>
                    </w:rPr>
                  </w:pPr>
                </w:p>
              </w:tc>
            </w:tr>
            <w:tr w14:paraId="79D11D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4FFEE46D">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028" w:type="pct"/>
                  <w:tcBorders>
                    <w:tl2br w:val="nil"/>
                    <w:tr2bl w:val="nil"/>
                  </w:tcBorders>
                  <w:tcMar>
                    <w:top w:w="15" w:type="dxa"/>
                    <w:left w:w="15" w:type="dxa"/>
                    <w:bottom w:w="0" w:type="dxa"/>
                    <w:right w:w="15" w:type="dxa"/>
                  </w:tcMar>
                  <w:vAlign w:val="center"/>
                </w:tcPr>
                <w:p w14:paraId="297EC214">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天车</w:t>
                  </w:r>
                </w:p>
              </w:tc>
              <w:tc>
                <w:tcPr>
                  <w:tcW w:w="964" w:type="pct"/>
                  <w:tcBorders>
                    <w:tl2br w:val="nil"/>
                    <w:tr2bl w:val="nil"/>
                  </w:tcBorders>
                  <w:tcMar>
                    <w:top w:w="15" w:type="dxa"/>
                    <w:left w:w="15" w:type="dxa"/>
                    <w:bottom w:w="0" w:type="dxa"/>
                    <w:right w:w="15" w:type="dxa"/>
                  </w:tcMar>
                  <w:vAlign w:val="center"/>
                </w:tcPr>
                <w:p w14:paraId="7674B712">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TC7-450</w:t>
                  </w:r>
                </w:p>
              </w:tc>
              <w:tc>
                <w:tcPr>
                  <w:tcW w:w="495" w:type="pct"/>
                  <w:tcBorders>
                    <w:tl2br w:val="nil"/>
                    <w:tr2bl w:val="nil"/>
                  </w:tcBorders>
                  <w:vAlign w:val="center"/>
                </w:tcPr>
                <w:p w14:paraId="1BB7C8AF">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4500</w:t>
                  </w:r>
                </w:p>
              </w:tc>
              <w:tc>
                <w:tcPr>
                  <w:tcW w:w="425" w:type="pct"/>
                  <w:tcBorders>
                    <w:tl2br w:val="nil"/>
                    <w:tr2bl w:val="nil"/>
                  </w:tcBorders>
                  <w:vAlign w:val="center"/>
                </w:tcPr>
                <w:p w14:paraId="1445D291">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KN</w:t>
                  </w:r>
                </w:p>
              </w:tc>
              <w:tc>
                <w:tcPr>
                  <w:tcW w:w="361" w:type="pct"/>
                  <w:tcBorders>
                    <w:tl2br w:val="nil"/>
                    <w:tr2bl w:val="nil"/>
                  </w:tcBorders>
                  <w:vAlign w:val="center"/>
                </w:tcPr>
                <w:p w14:paraId="01CAAE35">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vMerge w:val="continue"/>
                  <w:tcBorders>
                    <w:tl2br w:val="nil"/>
                    <w:tr2bl w:val="nil"/>
                  </w:tcBorders>
                  <w:tcMar>
                    <w:top w:w="15" w:type="dxa"/>
                    <w:left w:w="15" w:type="dxa"/>
                    <w:bottom w:w="0" w:type="dxa"/>
                    <w:right w:w="15" w:type="dxa"/>
                  </w:tcMar>
                  <w:vAlign w:val="center"/>
                </w:tcPr>
                <w:p w14:paraId="4C45EC19">
                  <w:pPr>
                    <w:pStyle w:val="17"/>
                    <w:jc w:val="center"/>
                    <w:rPr>
                      <w:rFonts w:hint="default" w:ascii="Times New Roman" w:hAnsi="Times New Roman" w:eastAsia="宋体" w:cs="Times New Roman"/>
                      <w:color w:val="auto"/>
                      <w:sz w:val="21"/>
                      <w:szCs w:val="21"/>
                    </w:rPr>
                  </w:pPr>
                </w:p>
              </w:tc>
            </w:tr>
            <w:tr w14:paraId="144021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63557573">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028" w:type="pct"/>
                  <w:tcBorders>
                    <w:tl2br w:val="nil"/>
                    <w:tr2bl w:val="nil"/>
                  </w:tcBorders>
                  <w:tcMar>
                    <w:top w:w="15" w:type="dxa"/>
                    <w:left w:w="15" w:type="dxa"/>
                    <w:bottom w:w="0" w:type="dxa"/>
                    <w:right w:w="15" w:type="dxa"/>
                  </w:tcMar>
                  <w:vAlign w:val="center"/>
                </w:tcPr>
                <w:p w14:paraId="23C52E60">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游车</w:t>
                  </w:r>
                </w:p>
              </w:tc>
              <w:tc>
                <w:tcPr>
                  <w:tcW w:w="964" w:type="pct"/>
                  <w:tcBorders>
                    <w:tl2br w:val="nil"/>
                    <w:tr2bl w:val="nil"/>
                  </w:tcBorders>
                  <w:tcMar>
                    <w:top w:w="15" w:type="dxa"/>
                    <w:left w:w="15" w:type="dxa"/>
                    <w:bottom w:w="0" w:type="dxa"/>
                    <w:right w:w="15" w:type="dxa"/>
                  </w:tcMar>
                  <w:vAlign w:val="center"/>
                </w:tcPr>
                <w:p w14:paraId="29566C25">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YC-450</w:t>
                  </w:r>
                </w:p>
              </w:tc>
              <w:tc>
                <w:tcPr>
                  <w:tcW w:w="495" w:type="pct"/>
                  <w:tcBorders>
                    <w:tl2br w:val="nil"/>
                    <w:tr2bl w:val="nil"/>
                  </w:tcBorders>
                  <w:vAlign w:val="center"/>
                </w:tcPr>
                <w:p w14:paraId="7306CAC9">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4500</w:t>
                  </w:r>
                </w:p>
              </w:tc>
              <w:tc>
                <w:tcPr>
                  <w:tcW w:w="425" w:type="pct"/>
                  <w:tcBorders>
                    <w:tl2br w:val="nil"/>
                    <w:tr2bl w:val="nil"/>
                  </w:tcBorders>
                  <w:vAlign w:val="center"/>
                </w:tcPr>
                <w:p w14:paraId="137D3945">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KN</w:t>
                  </w:r>
                </w:p>
              </w:tc>
              <w:tc>
                <w:tcPr>
                  <w:tcW w:w="361" w:type="pct"/>
                  <w:tcBorders>
                    <w:tl2br w:val="nil"/>
                    <w:tr2bl w:val="nil"/>
                  </w:tcBorders>
                  <w:vAlign w:val="center"/>
                </w:tcPr>
                <w:p w14:paraId="676F0E67">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vMerge w:val="continue"/>
                  <w:tcBorders>
                    <w:tl2br w:val="nil"/>
                    <w:tr2bl w:val="nil"/>
                  </w:tcBorders>
                  <w:tcMar>
                    <w:top w:w="15" w:type="dxa"/>
                    <w:left w:w="15" w:type="dxa"/>
                    <w:bottom w:w="0" w:type="dxa"/>
                    <w:right w:w="15" w:type="dxa"/>
                  </w:tcMar>
                  <w:vAlign w:val="center"/>
                </w:tcPr>
                <w:p w14:paraId="100F1A55">
                  <w:pPr>
                    <w:pStyle w:val="17"/>
                    <w:jc w:val="center"/>
                    <w:rPr>
                      <w:rFonts w:hint="default" w:ascii="Times New Roman" w:hAnsi="Times New Roman" w:eastAsia="宋体" w:cs="Times New Roman"/>
                      <w:color w:val="auto"/>
                      <w:sz w:val="21"/>
                      <w:szCs w:val="21"/>
                    </w:rPr>
                  </w:pPr>
                </w:p>
              </w:tc>
            </w:tr>
            <w:tr w14:paraId="4D2CC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68698042">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028" w:type="pct"/>
                  <w:tcBorders>
                    <w:tl2br w:val="nil"/>
                    <w:tr2bl w:val="nil"/>
                  </w:tcBorders>
                  <w:tcMar>
                    <w:top w:w="15" w:type="dxa"/>
                    <w:left w:w="15" w:type="dxa"/>
                    <w:bottom w:w="0" w:type="dxa"/>
                    <w:right w:w="15" w:type="dxa"/>
                  </w:tcMar>
                  <w:vAlign w:val="center"/>
                </w:tcPr>
                <w:p w14:paraId="6E948086">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大钩</w:t>
                  </w:r>
                </w:p>
              </w:tc>
              <w:tc>
                <w:tcPr>
                  <w:tcW w:w="964" w:type="pct"/>
                  <w:tcBorders>
                    <w:tl2br w:val="nil"/>
                    <w:tr2bl w:val="nil"/>
                  </w:tcBorders>
                  <w:tcMar>
                    <w:top w:w="15" w:type="dxa"/>
                    <w:left w:w="15" w:type="dxa"/>
                    <w:bottom w:w="0" w:type="dxa"/>
                    <w:right w:w="15" w:type="dxa"/>
                  </w:tcMar>
                  <w:vAlign w:val="center"/>
                </w:tcPr>
                <w:p w14:paraId="6CDBD803">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DG-450</w:t>
                  </w:r>
                </w:p>
              </w:tc>
              <w:tc>
                <w:tcPr>
                  <w:tcW w:w="495" w:type="pct"/>
                  <w:tcBorders>
                    <w:tl2br w:val="nil"/>
                    <w:tr2bl w:val="nil"/>
                  </w:tcBorders>
                  <w:vAlign w:val="center"/>
                </w:tcPr>
                <w:p w14:paraId="02F03AE1">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4500</w:t>
                  </w:r>
                </w:p>
              </w:tc>
              <w:tc>
                <w:tcPr>
                  <w:tcW w:w="425" w:type="pct"/>
                  <w:tcBorders>
                    <w:tl2br w:val="nil"/>
                    <w:tr2bl w:val="nil"/>
                  </w:tcBorders>
                  <w:vAlign w:val="center"/>
                </w:tcPr>
                <w:p w14:paraId="1DB3CD0D">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KN</w:t>
                  </w:r>
                </w:p>
              </w:tc>
              <w:tc>
                <w:tcPr>
                  <w:tcW w:w="361" w:type="pct"/>
                  <w:tcBorders>
                    <w:tl2br w:val="nil"/>
                    <w:tr2bl w:val="nil"/>
                  </w:tcBorders>
                  <w:vAlign w:val="center"/>
                </w:tcPr>
                <w:p w14:paraId="1B5F2633">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vMerge w:val="continue"/>
                  <w:tcBorders>
                    <w:tl2br w:val="nil"/>
                    <w:tr2bl w:val="nil"/>
                  </w:tcBorders>
                  <w:tcMar>
                    <w:top w:w="15" w:type="dxa"/>
                    <w:left w:w="15" w:type="dxa"/>
                    <w:bottom w:w="0" w:type="dxa"/>
                    <w:right w:w="15" w:type="dxa"/>
                  </w:tcMar>
                  <w:vAlign w:val="center"/>
                </w:tcPr>
                <w:p w14:paraId="5B331FA5">
                  <w:pPr>
                    <w:pStyle w:val="17"/>
                    <w:jc w:val="center"/>
                    <w:rPr>
                      <w:rFonts w:hint="default" w:ascii="Times New Roman" w:hAnsi="Times New Roman" w:eastAsia="宋体" w:cs="Times New Roman"/>
                      <w:color w:val="auto"/>
                      <w:sz w:val="21"/>
                      <w:szCs w:val="21"/>
                    </w:rPr>
                  </w:pPr>
                </w:p>
              </w:tc>
            </w:tr>
            <w:tr w14:paraId="505EB5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7F401FA5">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028" w:type="pct"/>
                  <w:tcBorders>
                    <w:tl2br w:val="nil"/>
                    <w:tr2bl w:val="nil"/>
                  </w:tcBorders>
                  <w:tcMar>
                    <w:top w:w="15" w:type="dxa"/>
                    <w:left w:w="15" w:type="dxa"/>
                    <w:bottom w:w="0" w:type="dxa"/>
                    <w:right w:w="15" w:type="dxa"/>
                  </w:tcMar>
                  <w:vAlign w:val="center"/>
                </w:tcPr>
                <w:p w14:paraId="458559E1">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水龙头</w:t>
                  </w:r>
                </w:p>
              </w:tc>
              <w:tc>
                <w:tcPr>
                  <w:tcW w:w="964" w:type="pct"/>
                  <w:tcBorders>
                    <w:tl2br w:val="nil"/>
                    <w:tr2bl w:val="nil"/>
                  </w:tcBorders>
                  <w:tcMar>
                    <w:top w:w="15" w:type="dxa"/>
                    <w:left w:w="15" w:type="dxa"/>
                    <w:bottom w:w="0" w:type="dxa"/>
                    <w:right w:w="15" w:type="dxa"/>
                  </w:tcMar>
                  <w:vAlign w:val="center"/>
                </w:tcPr>
                <w:p w14:paraId="6C160755">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SL-450II</w:t>
                  </w:r>
                </w:p>
              </w:tc>
              <w:tc>
                <w:tcPr>
                  <w:tcW w:w="495" w:type="pct"/>
                  <w:tcBorders>
                    <w:tl2br w:val="nil"/>
                    <w:tr2bl w:val="nil"/>
                  </w:tcBorders>
                  <w:vAlign w:val="center"/>
                </w:tcPr>
                <w:p w14:paraId="4D192BAD">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4500</w:t>
                  </w:r>
                </w:p>
              </w:tc>
              <w:tc>
                <w:tcPr>
                  <w:tcW w:w="425" w:type="pct"/>
                  <w:tcBorders>
                    <w:tl2br w:val="nil"/>
                    <w:tr2bl w:val="nil"/>
                  </w:tcBorders>
                  <w:vAlign w:val="center"/>
                </w:tcPr>
                <w:p w14:paraId="5F330218">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KN</w:t>
                  </w:r>
                </w:p>
              </w:tc>
              <w:tc>
                <w:tcPr>
                  <w:tcW w:w="361" w:type="pct"/>
                  <w:tcBorders>
                    <w:tl2br w:val="nil"/>
                    <w:tr2bl w:val="nil"/>
                  </w:tcBorders>
                  <w:vAlign w:val="center"/>
                </w:tcPr>
                <w:p w14:paraId="5D75B949">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vMerge w:val="continue"/>
                  <w:tcBorders>
                    <w:tl2br w:val="nil"/>
                    <w:tr2bl w:val="nil"/>
                  </w:tcBorders>
                  <w:tcMar>
                    <w:top w:w="15" w:type="dxa"/>
                    <w:left w:w="15" w:type="dxa"/>
                    <w:bottom w:w="0" w:type="dxa"/>
                    <w:right w:w="15" w:type="dxa"/>
                  </w:tcMar>
                  <w:vAlign w:val="center"/>
                </w:tcPr>
                <w:p w14:paraId="684982CA">
                  <w:pPr>
                    <w:pStyle w:val="17"/>
                    <w:jc w:val="center"/>
                    <w:rPr>
                      <w:rFonts w:hint="default" w:ascii="Times New Roman" w:hAnsi="Times New Roman" w:eastAsia="宋体" w:cs="Times New Roman"/>
                      <w:color w:val="auto"/>
                      <w:sz w:val="21"/>
                      <w:szCs w:val="21"/>
                    </w:rPr>
                  </w:pPr>
                </w:p>
              </w:tc>
            </w:tr>
            <w:tr w14:paraId="7DE9D8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2B6A02B8">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028" w:type="pct"/>
                  <w:tcBorders>
                    <w:tl2br w:val="nil"/>
                    <w:tr2bl w:val="nil"/>
                  </w:tcBorders>
                  <w:tcMar>
                    <w:top w:w="15" w:type="dxa"/>
                    <w:left w:w="15" w:type="dxa"/>
                    <w:bottom w:w="0" w:type="dxa"/>
                    <w:right w:w="15" w:type="dxa"/>
                  </w:tcMar>
                  <w:vAlign w:val="center"/>
                </w:tcPr>
                <w:p w14:paraId="0949DA87">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顶驱装置</w:t>
                  </w:r>
                </w:p>
              </w:tc>
              <w:tc>
                <w:tcPr>
                  <w:tcW w:w="964" w:type="pct"/>
                  <w:tcBorders>
                    <w:tl2br w:val="nil"/>
                    <w:tr2bl w:val="nil"/>
                  </w:tcBorders>
                  <w:tcMar>
                    <w:top w:w="15" w:type="dxa"/>
                    <w:left w:w="15" w:type="dxa"/>
                    <w:bottom w:w="0" w:type="dxa"/>
                    <w:right w:w="15" w:type="dxa"/>
                  </w:tcMar>
                  <w:vAlign w:val="center"/>
                </w:tcPr>
                <w:p w14:paraId="2986E88F">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500T</w:t>
                  </w:r>
                </w:p>
              </w:tc>
              <w:tc>
                <w:tcPr>
                  <w:tcW w:w="495" w:type="pct"/>
                  <w:tcBorders>
                    <w:tl2br w:val="nil"/>
                    <w:tr2bl w:val="nil"/>
                  </w:tcBorders>
                  <w:vAlign w:val="center"/>
                </w:tcPr>
                <w:p w14:paraId="64212A31">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w:t>
                  </w:r>
                </w:p>
              </w:tc>
              <w:tc>
                <w:tcPr>
                  <w:tcW w:w="425" w:type="pct"/>
                  <w:tcBorders>
                    <w:tl2br w:val="nil"/>
                    <w:tr2bl w:val="nil"/>
                  </w:tcBorders>
                  <w:vAlign w:val="center"/>
                </w:tcPr>
                <w:p w14:paraId="5B8B0C26">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Ton</w:t>
                  </w:r>
                </w:p>
              </w:tc>
              <w:tc>
                <w:tcPr>
                  <w:tcW w:w="361" w:type="pct"/>
                  <w:tcBorders>
                    <w:tl2br w:val="nil"/>
                    <w:tr2bl w:val="nil"/>
                  </w:tcBorders>
                  <w:vAlign w:val="center"/>
                </w:tcPr>
                <w:p w14:paraId="18185ED6">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vMerge w:val="continue"/>
                  <w:tcBorders>
                    <w:tl2br w:val="nil"/>
                    <w:tr2bl w:val="nil"/>
                  </w:tcBorders>
                  <w:tcMar>
                    <w:top w:w="15" w:type="dxa"/>
                    <w:left w:w="15" w:type="dxa"/>
                    <w:bottom w:w="0" w:type="dxa"/>
                    <w:right w:w="15" w:type="dxa"/>
                  </w:tcMar>
                  <w:vAlign w:val="center"/>
                </w:tcPr>
                <w:p w14:paraId="64B7532E">
                  <w:pPr>
                    <w:pStyle w:val="17"/>
                    <w:jc w:val="center"/>
                    <w:rPr>
                      <w:rFonts w:hint="default" w:ascii="Times New Roman" w:hAnsi="Times New Roman" w:eastAsia="宋体" w:cs="Times New Roman"/>
                      <w:color w:val="auto"/>
                      <w:sz w:val="21"/>
                      <w:szCs w:val="21"/>
                    </w:rPr>
                  </w:pPr>
                </w:p>
              </w:tc>
            </w:tr>
            <w:tr w14:paraId="23A600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2F378C21">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028" w:type="pct"/>
                  <w:tcBorders>
                    <w:tl2br w:val="nil"/>
                    <w:tr2bl w:val="nil"/>
                  </w:tcBorders>
                  <w:tcMar>
                    <w:top w:w="15" w:type="dxa"/>
                    <w:left w:w="15" w:type="dxa"/>
                    <w:bottom w:w="0" w:type="dxa"/>
                    <w:right w:w="15" w:type="dxa"/>
                  </w:tcMar>
                  <w:vAlign w:val="center"/>
                </w:tcPr>
                <w:p w14:paraId="254418EE">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转盘</w:t>
                  </w:r>
                </w:p>
              </w:tc>
              <w:tc>
                <w:tcPr>
                  <w:tcW w:w="964" w:type="pct"/>
                  <w:tcBorders>
                    <w:tl2br w:val="nil"/>
                    <w:tr2bl w:val="nil"/>
                  </w:tcBorders>
                  <w:tcMar>
                    <w:top w:w="15" w:type="dxa"/>
                    <w:left w:w="15" w:type="dxa"/>
                    <w:bottom w:w="0" w:type="dxa"/>
                    <w:right w:w="15" w:type="dxa"/>
                  </w:tcMar>
                  <w:vAlign w:val="center"/>
                </w:tcPr>
                <w:p w14:paraId="12CDBC69">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ZP-375</w:t>
                  </w:r>
                </w:p>
              </w:tc>
              <w:tc>
                <w:tcPr>
                  <w:tcW w:w="495" w:type="pct"/>
                  <w:tcBorders>
                    <w:tl2br w:val="nil"/>
                    <w:tr2bl w:val="nil"/>
                  </w:tcBorders>
                  <w:vAlign w:val="center"/>
                </w:tcPr>
                <w:p w14:paraId="5154928B">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5850</w:t>
                  </w:r>
                </w:p>
              </w:tc>
              <w:tc>
                <w:tcPr>
                  <w:tcW w:w="425" w:type="pct"/>
                  <w:tcBorders>
                    <w:tl2br w:val="nil"/>
                    <w:tr2bl w:val="nil"/>
                  </w:tcBorders>
                  <w:vAlign w:val="center"/>
                </w:tcPr>
                <w:p w14:paraId="7D5DBEF2">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KN</w:t>
                  </w:r>
                </w:p>
              </w:tc>
              <w:tc>
                <w:tcPr>
                  <w:tcW w:w="361" w:type="pct"/>
                  <w:tcBorders>
                    <w:tl2br w:val="nil"/>
                    <w:tr2bl w:val="nil"/>
                  </w:tcBorders>
                  <w:vAlign w:val="center"/>
                </w:tcPr>
                <w:p w14:paraId="054AAAE6">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vMerge w:val="continue"/>
                  <w:tcBorders>
                    <w:tl2br w:val="nil"/>
                    <w:tr2bl w:val="nil"/>
                  </w:tcBorders>
                  <w:tcMar>
                    <w:top w:w="15" w:type="dxa"/>
                    <w:left w:w="15" w:type="dxa"/>
                    <w:bottom w:w="0" w:type="dxa"/>
                    <w:right w:w="15" w:type="dxa"/>
                  </w:tcMar>
                  <w:vAlign w:val="center"/>
                </w:tcPr>
                <w:p w14:paraId="0BC0CDC4">
                  <w:pPr>
                    <w:pStyle w:val="17"/>
                    <w:jc w:val="center"/>
                    <w:rPr>
                      <w:rFonts w:hint="default" w:ascii="Times New Roman" w:hAnsi="Times New Roman" w:eastAsia="宋体" w:cs="Times New Roman"/>
                      <w:color w:val="auto"/>
                      <w:sz w:val="21"/>
                      <w:szCs w:val="21"/>
                    </w:rPr>
                  </w:pPr>
                </w:p>
              </w:tc>
            </w:tr>
            <w:tr w14:paraId="69EA4E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4EB45C6A">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028" w:type="pct"/>
                  <w:tcBorders>
                    <w:tl2br w:val="nil"/>
                    <w:tr2bl w:val="nil"/>
                  </w:tcBorders>
                  <w:tcMar>
                    <w:top w:w="15" w:type="dxa"/>
                    <w:left w:w="15" w:type="dxa"/>
                    <w:bottom w:w="0" w:type="dxa"/>
                    <w:right w:w="15" w:type="dxa"/>
                  </w:tcMar>
                  <w:vAlign w:val="center"/>
                </w:tcPr>
                <w:p w14:paraId="7A09CFCD">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绞车</w:t>
                  </w:r>
                </w:p>
              </w:tc>
              <w:tc>
                <w:tcPr>
                  <w:tcW w:w="964" w:type="pct"/>
                  <w:tcBorders>
                    <w:tl2br w:val="nil"/>
                    <w:tr2bl w:val="nil"/>
                  </w:tcBorders>
                  <w:tcMar>
                    <w:top w:w="15" w:type="dxa"/>
                    <w:left w:w="15" w:type="dxa"/>
                    <w:bottom w:w="0" w:type="dxa"/>
                    <w:right w:w="15" w:type="dxa"/>
                  </w:tcMar>
                  <w:vAlign w:val="center"/>
                </w:tcPr>
                <w:p w14:paraId="73545E3A">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JC-70D</w:t>
                  </w:r>
                </w:p>
              </w:tc>
              <w:tc>
                <w:tcPr>
                  <w:tcW w:w="495" w:type="pct"/>
                  <w:tcBorders>
                    <w:tl2br w:val="nil"/>
                    <w:tr2bl w:val="nil"/>
                  </w:tcBorders>
                  <w:vAlign w:val="center"/>
                </w:tcPr>
                <w:p w14:paraId="3B6533D9">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1470</w:t>
                  </w:r>
                </w:p>
              </w:tc>
              <w:tc>
                <w:tcPr>
                  <w:tcW w:w="425" w:type="pct"/>
                  <w:tcBorders>
                    <w:tl2br w:val="nil"/>
                    <w:tr2bl w:val="nil"/>
                  </w:tcBorders>
                  <w:vAlign w:val="center"/>
                </w:tcPr>
                <w:p w14:paraId="6CB6A723">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KW</w:t>
                  </w:r>
                </w:p>
              </w:tc>
              <w:tc>
                <w:tcPr>
                  <w:tcW w:w="361" w:type="pct"/>
                  <w:tcBorders>
                    <w:tl2br w:val="nil"/>
                    <w:tr2bl w:val="nil"/>
                  </w:tcBorders>
                  <w:vAlign w:val="center"/>
                </w:tcPr>
                <w:p w14:paraId="47EFC851">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vMerge w:val="continue"/>
                  <w:tcBorders>
                    <w:tl2br w:val="nil"/>
                    <w:tr2bl w:val="nil"/>
                  </w:tcBorders>
                  <w:tcMar>
                    <w:top w:w="15" w:type="dxa"/>
                    <w:left w:w="15" w:type="dxa"/>
                    <w:bottom w:w="0" w:type="dxa"/>
                    <w:right w:w="15" w:type="dxa"/>
                  </w:tcMar>
                  <w:vAlign w:val="center"/>
                </w:tcPr>
                <w:p w14:paraId="43C5DC9D">
                  <w:pPr>
                    <w:pStyle w:val="17"/>
                    <w:jc w:val="center"/>
                    <w:rPr>
                      <w:rFonts w:hint="default" w:ascii="Times New Roman" w:hAnsi="Times New Roman" w:eastAsia="宋体" w:cs="Times New Roman"/>
                      <w:color w:val="auto"/>
                      <w:sz w:val="21"/>
                      <w:szCs w:val="21"/>
                    </w:rPr>
                  </w:pPr>
                </w:p>
              </w:tc>
            </w:tr>
            <w:tr w14:paraId="45DA41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07EFF034">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028" w:type="pct"/>
                  <w:tcBorders>
                    <w:tl2br w:val="nil"/>
                    <w:tr2bl w:val="nil"/>
                  </w:tcBorders>
                  <w:tcMar>
                    <w:top w:w="15" w:type="dxa"/>
                    <w:left w:w="15" w:type="dxa"/>
                    <w:bottom w:w="0" w:type="dxa"/>
                    <w:right w:w="15" w:type="dxa"/>
                  </w:tcMar>
                  <w:vAlign w:val="center"/>
                </w:tcPr>
                <w:p w14:paraId="4E9C1EDE">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高压泥浆泵</w:t>
                  </w:r>
                </w:p>
              </w:tc>
              <w:tc>
                <w:tcPr>
                  <w:tcW w:w="964" w:type="pct"/>
                  <w:tcBorders>
                    <w:tl2br w:val="nil"/>
                    <w:tr2bl w:val="nil"/>
                  </w:tcBorders>
                  <w:tcMar>
                    <w:top w:w="15" w:type="dxa"/>
                    <w:left w:w="15" w:type="dxa"/>
                    <w:bottom w:w="0" w:type="dxa"/>
                    <w:right w:w="15" w:type="dxa"/>
                  </w:tcMar>
                  <w:vAlign w:val="center"/>
                </w:tcPr>
                <w:p w14:paraId="3A43E9BB">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F-1600HL</w:t>
                  </w:r>
                </w:p>
              </w:tc>
              <w:tc>
                <w:tcPr>
                  <w:tcW w:w="495" w:type="pct"/>
                  <w:tcBorders>
                    <w:tl2br w:val="nil"/>
                    <w:tr2bl w:val="nil"/>
                  </w:tcBorders>
                  <w:vAlign w:val="center"/>
                </w:tcPr>
                <w:p w14:paraId="506954FB">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1600</w:t>
                  </w:r>
                </w:p>
              </w:tc>
              <w:tc>
                <w:tcPr>
                  <w:tcW w:w="425" w:type="pct"/>
                  <w:tcBorders>
                    <w:tl2br w:val="nil"/>
                    <w:tr2bl w:val="nil"/>
                  </w:tcBorders>
                  <w:vAlign w:val="center"/>
                </w:tcPr>
                <w:p w14:paraId="6EFFE35F">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HP</w:t>
                  </w:r>
                </w:p>
              </w:tc>
              <w:tc>
                <w:tcPr>
                  <w:tcW w:w="361" w:type="pct"/>
                  <w:tcBorders>
                    <w:tl2br w:val="nil"/>
                    <w:tr2bl w:val="nil"/>
                  </w:tcBorders>
                  <w:vAlign w:val="center"/>
                </w:tcPr>
                <w:p w14:paraId="2F3093DA">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298" w:type="pct"/>
                  <w:vMerge w:val="restart"/>
                  <w:tcBorders>
                    <w:tl2br w:val="nil"/>
                    <w:tr2bl w:val="nil"/>
                  </w:tcBorders>
                  <w:tcMar>
                    <w:top w:w="15" w:type="dxa"/>
                    <w:left w:w="15" w:type="dxa"/>
                    <w:bottom w:w="0" w:type="dxa"/>
                    <w:right w:w="15" w:type="dxa"/>
                  </w:tcMar>
                  <w:vAlign w:val="center"/>
                </w:tcPr>
                <w:p w14:paraId="70B307D2">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泥浆四级固控循环系统组成部分，保证泥浆的循环使用</w:t>
                  </w:r>
                </w:p>
              </w:tc>
            </w:tr>
            <w:tr w14:paraId="187584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2C8939A6">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028" w:type="pct"/>
                  <w:tcBorders>
                    <w:tl2br w:val="nil"/>
                    <w:tr2bl w:val="nil"/>
                  </w:tcBorders>
                  <w:tcMar>
                    <w:top w:w="15" w:type="dxa"/>
                    <w:left w:w="15" w:type="dxa"/>
                    <w:bottom w:w="0" w:type="dxa"/>
                    <w:right w:w="15" w:type="dxa"/>
                  </w:tcMar>
                  <w:vAlign w:val="center"/>
                </w:tcPr>
                <w:p w14:paraId="31CE82E1">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泥浆泵</w:t>
                  </w:r>
                </w:p>
              </w:tc>
              <w:tc>
                <w:tcPr>
                  <w:tcW w:w="964" w:type="pct"/>
                  <w:tcBorders>
                    <w:tl2br w:val="nil"/>
                    <w:tr2bl w:val="nil"/>
                  </w:tcBorders>
                  <w:tcMar>
                    <w:top w:w="15" w:type="dxa"/>
                    <w:left w:w="15" w:type="dxa"/>
                    <w:bottom w:w="0" w:type="dxa"/>
                    <w:right w:w="15" w:type="dxa"/>
                  </w:tcMar>
                  <w:vAlign w:val="center"/>
                </w:tcPr>
                <w:p w14:paraId="7549EA42">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F-1600</w:t>
                  </w:r>
                </w:p>
              </w:tc>
              <w:tc>
                <w:tcPr>
                  <w:tcW w:w="495" w:type="pct"/>
                  <w:tcBorders>
                    <w:tl2br w:val="nil"/>
                    <w:tr2bl w:val="nil"/>
                  </w:tcBorders>
                  <w:vAlign w:val="center"/>
                </w:tcPr>
                <w:p w14:paraId="7C243D1E">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1600</w:t>
                  </w:r>
                </w:p>
              </w:tc>
              <w:tc>
                <w:tcPr>
                  <w:tcW w:w="425" w:type="pct"/>
                  <w:tcBorders>
                    <w:tl2br w:val="nil"/>
                    <w:tr2bl w:val="nil"/>
                  </w:tcBorders>
                  <w:vAlign w:val="center"/>
                </w:tcPr>
                <w:p w14:paraId="495F79C6">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HP</w:t>
                  </w:r>
                </w:p>
              </w:tc>
              <w:tc>
                <w:tcPr>
                  <w:tcW w:w="361" w:type="pct"/>
                  <w:tcBorders>
                    <w:tl2br w:val="nil"/>
                    <w:tr2bl w:val="nil"/>
                  </w:tcBorders>
                  <w:vAlign w:val="center"/>
                </w:tcPr>
                <w:p w14:paraId="68F00815">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vMerge w:val="continue"/>
                  <w:tcBorders>
                    <w:tl2br w:val="nil"/>
                    <w:tr2bl w:val="nil"/>
                  </w:tcBorders>
                  <w:tcMar>
                    <w:top w:w="15" w:type="dxa"/>
                    <w:left w:w="15" w:type="dxa"/>
                    <w:bottom w:w="0" w:type="dxa"/>
                    <w:right w:w="15" w:type="dxa"/>
                  </w:tcMar>
                  <w:vAlign w:val="center"/>
                </w:tcPr>
                <w:p w14:paraId="4F4F2FA5">
                  <w:pPr>
                    <w:pStyle w:val="17"/>
                    <w:jc w:val="center"/>
                    <w:rPr>
                      <w:rFonts w:hint="default" w:ascii="Times New Roman" w:hAnsi="Times New Roman" w:eastAsia="宋体" w:cs="Times New Roman"/>
                      <w:color w:val="auto"/>
                      <w:sz w:val="21"/>
                      <w:szCs w:val="21"/>
                    </w:rPr>
                  </w:pPr>
                </w:p>
              </w:tc>
            </w:tr>
            <w:tr w14:paraId="176906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5615BE15">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028" w:type="pct"/>
                  <w:tcBorders>
                    <w:tl2br w:val="nil"/>
                    <w:tr2bl w:val="nil"/>
                  </w:tcBorders>
                  <w:tcMar>
                    <w:top w:w="15" w:type="dxa"/>
                    <w:left w:w="15" w:type="dxa"/>
                    <w:bottom w:w="0" w:type="dxa"/>
                    <w:right w:w="15" w:type="dxa"/>
                  </w:tcMar>
                  <w:vAlign w:val="center"/>
                </w:tcPr>
                <w:p w14:paraId="245201F5">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高压管汇</w:t>
                  </w:r>
                </w:p>
              </w:tc>
              <w:tc>
                <w:tcPr>
                  <w:tcW w:w="964" w:type="pct"/>
                  <w:tcBorders>
                    <w:tl2br w:val="nil"/>
                    <w:tr2bl w:val="nil"/>
                  </w:tcBorders>
                  <w:tcMar>
                    <w:top w:w="15" w:type="dxa"/>
                    <w:left w:w="15" w:type="dxa"/>
                    <w:bottom w:w="0" w:type="dxa"/>
                    <w:right w:w="15" w:type="dxa"/>
                  </w:tcMar>
                  <w:vAlign w:val="center"/>
                </w:tcPr>
                <w:p w14:paraId="27ABAF00">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70MPa</w:t>
                  </w:r>
                </w:p>
              </w:tc>
              <w:tc>
                <w:tcPr>
                  <w:tcW w:w="495" w:type="pct"/>
                  <w:tcBorders>
                    <w:tl2br w:val="nil"/>
                    <w:tr2bl w:val="nil"/>
                  </w:tcBorders>
                  <w:vAlign w:val="center"/>
                </w:tcPr>
                <w:p w14:paraId="31256226">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425" w:type="pct"/>
                  <w:tcBorders>
                    <w:tl2br w:val="nil"/>
                    <w:tr2bl w:val="nil"/>
                  </w:tcBorders>
                  <w:vAlign w:val="center"/>
                </w:tcPr>
                <w:p w14:paraId="7CF0759C">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MPa</w:t>
                  </w:r>
                </w:p>
              </w:tc>
              <w:tc>
                <w:tcPr>
                  <w:tcW w:w="361" w:type="pct"/>
                  <w:tcBorders>
                    <w:tl2br w:val="nil"/>
                    <w:tr2bl w:val="nil"/>
                  </w:tcBorders>
                  <w:vAlign w:val="center"/>
                </w:tcPr>
                <w:p w14:paraId="6345820C">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vMerge w:val="continue"/>
                  <w:tcBorders>
                    <w:tl2br w:val="nil"/>
                    <w:tr2bl w:val="nil"/>
                  </w:tcBorders>
                  <w:tcMar>
                    <w:top w:w="15" w:type="dxa"/>
                    <w:left w:w="15" w:type="dxa"/>
                    <w:bottom w:w="0" w:type="dxa"/>
                    <w:right w:w="15" w:type="dxa"/>
                  </w:tcMar>
                  <w:vAlign w:val="center"/>
                </w:tcPr>
                <w:p w14:paraId="669CD840">
                  <w:pPr>
                    <w:pStyle w:val="17"/>
                    <w:jc w:val="center"/>
                    <w:rPr>
                      <w:rFonts w:hint="default" w:ascii="Times New Roman" w:hAnsi="Times New Roman" w:eastAsia="宋体" w:cs="Times New Roman"/>
                      <w:color w:val="auto"/>
                      <w:sz w:val="21"/>
                      <w:szCs w:val="21"/>
                    </w:rPr>
                  </w:pPr>
                </w:p>
              </w:tc>
            </w:tr>
            <w:tr w14:paraId="2F2DF5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2A3B0FE6">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028" w:type="pct"/>
                  <w:tcBorders>
                    <w:tl2br w:val="nil"/>
                    <w:tr2bl w:val="nil"/>
                  </w:tcBorders>
                  <w:tcMar>
                    <w:top w:w="15" w:type="dxa"/>
                    <w:left w:w="15" w:type="dxa"/>
                    <w:bottom w:w="0" w:type="dxa"/>
                    <w:right w:w="15" w:type="dxa"/>
                  </w:tcMar>
                  <w:vAlign w:val="center"/>
                </w:tcPr>
                <w:p w14:paraId="0CEA47E2">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振动筛</w:t>
                  </w:r>
                </w:p>
              </w:tc>
              <w:tc>
                <w:tcPr>
                  <w:tcW w:w="964" w:type="pct"/>
                  <w:tcBorders>
                    <w:tl2br w:val="nil"/>
                    <w:tr2bl w:val="nil"/>
                  </w:tcBorders>
                  <w:tcMar>
                    <w:top w:w="15" w:type="dxa"/>
                    <w:left w:w="15" w:type="dxa"/>
                    <w:bottom w:w="0" w:type="dxa"/>
                    <w:right w:w="15" w:type="dxa"/>
                  </w:tcMar>
                  <w:vAlign w:val="center"/>
                </w:tcPr>
                <w:p w14:paraId="69AADFC9">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95" w:type="pct"/>
                  <w:tcBorders>
                    <w:tl2br w:val="nil"/>
                    <w:tr2bl w:val="nil"/>
                  </w:tcBorders>
                  <w:vAlign w:val="center"/>
                </w:tcPr>
                <w:p w14:paraId="41D80745">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425" w:type="pct"/>
                  <w:tcBorders>
                    <w:tl2br w:val="nil"/>
                    <w:tr2bl w:val="nil"/>
                  </w:tcBorders>
                  <w:vAlign w:val="center"/>
                </w:tcPr>
                <w:p w14:paraId="6CEB9705">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361" w:type="pct"/>
                  <w:tcBorders>
                    <w:tl2br w:val="nil"/>
                    <w:tr2bl w:val="nil"/>
                  </w:tcBorders>
                  <w:vAlign w:val="center"/>
                </w:tcPr>
                <w:p w14:paraId="0BB10453">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298" w:type="pct"/>
                  <w:vMerge w:val="continue"/>
                  <w:tcBorders>
                    <w:tl2br w:val="nil"/>
                    <w:tr2bl w:val="nil"/>
                  </w:tcBorders>
                  <w:tcMar>
                    <w:top w:w="15" w:type="dxa"/>
                    <w:left w:w="15" w:type="dxa"/>
                    <w:bottom w:w="0" w:type="dxa"/>
                    <w:right w:w="15" w:type="dxa"/>
                  </w:tcMar>
                  <w:vAlign w:val="center"/>
                </w:tcPr>
                <w:p w14:paraId="5B1F46C4">
                  <w:pPr>
                    <w:pStyle w:val="17"/>
                    <w:jc w:val="center"/>
                    <w:rPr>
                      <w:rFonts w:hint="default" w:ascii="Times New Roman" w:hAnsi="Times New Roman" w:eastAsia="宋体" w:cs="Times New Roman"/>
                      <w:color w:val="auto"/>
                      <w:sz w:val="21"/>
                      <w:szCs w:val="21"/>
                    </w:rPr>
                  </w:pPr>
                </w:p>
              </w:tc>
            </w:tr>
            <w:tr w14:paraId="2094D9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0B4B987E">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028" w:type="pct"/>
                  <w:tcBorders>
                    <w:tl2br w:val="nil"/>
                    <w:tr2bl w:val="nil"/>
                  </w:tcBorders>
                  <w:tcMar>
                    <w:top w:w="15" w:type="dxa"/>
                    <w:left w:w="15" w:type="dxa"/>
                    <w:bottom w:w="0" w:type="dxa"/>
                    <w:right w:w="15" w:type="dxa"/>
                  </w:tcMar>
                  <w:vAlign w:val="center"/>
                </w:tcPr>
                <w:p w14:paraId="0E1B97A9">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除气器</w:t>
                  </w:r>
                </w:p>
              </w:tc>
              <w:tc>
                <w:tcPr>
                  <w:tcW w:w="964" w:type="pct"/>
                  <w:tcBorders>
                    <w:tl2br w:val="nil"/>
                    <w:tr2bl w:val="nil"/>
                  </w:tcBorders>
                  <w:tcMar>
                    <w:top w:w="15" w:type="dxa"/>
                    <w:left w:w="15" w:type="dxa"/>
                    <w:bottom w:w="0" w:type="dxa"/>
                    <w:right w:w="15" w:type="dxa"/>
                  </w:tcMar>
                  <w:vAlign w:val="center"/>
                </w:tcPr>
                <w:p w14:paraId="08AB6040">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2CQ360-360</w:t>
                  </w:r>
                </w:p>
              </w:tc>
              <w:tc>
                <w:tcPr>
                  <w:tcW w:w="495" w:type="pct"/>
                  <w:tcBorders>
                    <w:tl2br w:val="nil"/>
                    <w:tr2bl w:val="nil"/>
                  </w:tcBorders>
                  <w:vAlign w:val="center"/>
                </w:tcPr>
                <w:p w14:paraId="7F3426B9">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360</w:t>
                  </w:r>
                </w:p>
              </w:tc>
              <w:tc>
                <w:tcPr>
                  <w:tcW w:w="425" w:type="pct"/>
                  <w:tcBorders>
                    <w:tl2br w:val="nil"/>
                    <w:tr2bl w:val="nil"/>
                  </w:tcBorders>
                  <w:vAlign w:val="center"/>
                </w:tcPr>
                <w:p w14:paraId="65B5D5CA">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361" w:type="pct"/>
                  <w:tcBorders>
                    <w:tl2br w:val="nil"/>
                    <w:tr2bl w:val="nil"/>
                  </w:tcBorders>
                  <w:vAlign w:val="center"/>
                </w:tcPr>
                <w:p w14:paraId="5B967650">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vMerge w:val="continue"/>
                  <w:tcBorders>
                    <w:tl2br w:val="nil"/>
                    <w:tr2bl w:val="nil"/>
                  </w:tcBorders>
                  <w:tcMar>
                    <w:top w:w="15" w:type="dxa"/>
                    <w:left w:w="15" w:type="dxa"/>
                    <w:bottom w:w="0" w:type="dxa"/>
                    <w:right w:w="15" w:type="dxa"/>
                  </w:tcMar>
                  <w:vAlign w:val="center"/>
                </w:tcPr>
                <w:p w14:paraId="1B8707D8">
                  <w:pPr>
                    <w:pStyle w:val="17"/>
                    <w:jc w:val="center"/>
                    <w:rPr>
                      <w:rFonts w:hint="default" w:ascii="Times New Roman" w:hAnsi="Times New Roman" w:eastAsia="宋体" w:cs="Times New Roman"/>
                      <w:color w:val="auto"/>
                      <w:sz w:val="21"/>
                      <w:szCs w:val="21"/>
                    </w:rPr>
                  </w:pPr>
                </w:p>
              </w:tc>
            </w:tr>
            <w:tr w14:paraId="5595C3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42353AD9">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028" w:type="pct"/>
                  <w:tcBorders>
                    <w:tl2br w:val="nil"/>
                    <w:tr2bl w:val="nil"/>
                  </w:tcBorders>
                  <w:tcMar>
                    <w:top w:w="15" w:type="dxa"/>
                    <w:left w:w="15" w:type="dxa"/>
                    <w:bottom w:w="0" w:type="dxa"/>
                    <w:right w:w="15" w:type="dxa"/>
                  </w:tcMar>
                  <w:vAlign w:val="center"/>
                </w:tcPr>
                <w:p w14:paraId="0E2B1584">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除砂、除泥一体机</w:t>
                  </w:r>
                </w:p>
              </w:tc>
              <w:tc>
                <w:tcPr>
                  <w:tcW w:w="964" w:type="pct"/>
                  <w:tcBorders>
                    <w:tl2br w:val="nil"/>
                    <w:tr2bl w:val="nil"/>
                  </w:tcBorders>
                  <w:tcMar>
                    <w:top w:w="15" w:type="dxa"/>
                    <w:left w:w="15" w:type="dxa"/>
                    <w:bottom w:w="0" w:type="dxa"/>
                    <w:right w:w="15" w:type="dxa"/>
                  </w:tcMar>
                  <w:vAlign w:val="center"/>
                </w:tcPr>
                <w:p w14:paraId="7D4CD8C3">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95" w:type="pct"/>
                  <w:tcBorders>
                    <w:tl2br w:val="nil"/>
                    <w:tr2bl w:val="nil"/>
                  </w:tcBorders>
                  <w:vAlign w:val="center"/>
                </w:tcPr>
                <w:p w14:paraId="2A5AAA4A">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425" w:type="pct"/>
                  <w:tcBorders>
                    <w:tl2br w:val="nil"/>
                    <w:tr2bl w:val="nil"/>
                  </w:tcBorders>
                  <w:vAlign w:val="center"/>
                </w:tcPr>
                <w:p w14:paraId="740E2CB9">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361" w:type="pct"/>
                  <w:tcBorders>
                    <w:tl2br w:val="nil"/>
                    <w:tr2bl w:val="nil"/>
                  </w:tcBorders>
                  <w:vAlign w:val="center"/>
                </w:tcPr>
                <w:p w14:paraId="23288C8C">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vMerge w:val="continue"/>
                  <w:tcBorders>
                    <w:tl2br w:val="nil"/>
                    <w:tr2bl w:val="nil"/>
                  </w:tcBorders>
                  <w:tcMar>
                    <w:top w:w="15" w:type="dxa"/>
                    <w:left w:w="15" w:type="dxa"/>
                    <w:bottom w:w="0" w:type="dxa"/>
                    <w:right w:w="15" w:type="dxa"/>
                  </w:tcMar>
                  <w:vAlign w:val="center"/>
                </w:tcPr>
                <w:p w14:paraId="3FB47796">
                  <w:pPr>
                    <w:pStyle w:val="17"/>
                    <w:jc w:val="center"/>
                    <w:rPr>
                      <w:rFonts w:hint="default" w:ascii="Times New Roman" w:hAnsi="Times New Roman" w:eastAsia="宋体" w:cs="Times New Roman"/>
                      <w:color w:val="auto"/>
                      <w:sz w:val="21"/>
                      <w:szCs w:val="21"/>
                    </w:rPr>
                  </w:pPr>
                </w:p>
              </w:tc>
            </w:tr>
            <w:tr w14:paraId="6AAFF7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223C45D4">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1028" w:type="pct"/>
                  <w:tcBorders>
                    <w:tl2br w:val="nil"/>
                    <w:tr2bl w:val="nil"/>
                  </w:tcBorders>
                  <w:tcMar>
                    <w:top w:w="15" w:type="dxa"/>
                    <w:left w:w="15" w:type="dxa"/>
                    <w:bottom w:w="0" w:type="dxa"/>
                    <w:right w:w="15" w:type="dxa"/>
                  </w:tcMar>
                  <w:vAlign w:val="center"/>
                </w:tcPr>
                <w:p w14:paraId="574CC93D">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泥浆</w:t>
                  </w:r>
                  <w:r>
                    <w:rPr>
                      <w:rFonts w:hint="default" w:ascii="Times New Roman" w:hAnsi="Times New Roman" w:eastAsia="宋体" w:cs="Times New Roman"/>
                      <w:color w:val="auto"/>
                      <w:sz w:val="21"/>
                      <w:szCs w:val="21"/>
                      <w:lang w:val="en-US" w:eastAsia="zh-CN"/>
                    </w:rPr>
                    <w:t>循环</w:t>
                  </w:r>
                  <w:r>
                    <w:rPr>
                      <w:rFonts w:hint="default" w:ascii="Times New Roman" w:hAnsi="Times New Roman" w:eastAsia="宋体" w:cs="Times New Roman"/>
                      <w:color w:val="auto"/>
                      <w:sz w:val="21"/>
                      <w:szCs w:val="21"/>
                    </w:rPr>
                    <w:t>罐</w:t>
                  </w:r>
                </w:p>
              </w:tc>
              <w:tc>
                <w:tcPr>
                  <w:tcW w:w="964" w:type="pct"/>
                  <w:tcBorders>
                    <w:tl2br w:val="nil"/>
                    <w:tr2bl w:val="nil"/>
                  </w:tcBorders>
                  <w:tcMar>
                    <w:top w:w="15" w:type="dxa"/>
                    <w:left w:w="15" w:type="dxa"/>
                    <w:bottom w:w="0" w:type="dxa"/>
                    <w:right w:w="15" w:type="dxa"/>
                  </w:tcMar>
                  <w:vAlign w:val="center"/>
                </w:tcPr>
                <w:p w14:paraId="3B5B307F">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95" w:type="pct"/>
                  <w:tcBorders>
                    <w:tl2br w:val="nil"/>
                    <w:tr2bl w:val="nil"/>
                  </w:tcBorders>
                  <w:vAlign w:val="center"/>
                </w:tcPr>
                <w:p w14:paraId="6B3AFE77">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420</w:t>
                  </w:r>
                </w:p>
              </w:tc>
              <w:tc>
                <w:tcPr>
                  <w:tcW w:w="425" w:type="pct"/>
                  <w:tcBorders>
                    <w:tl2br w:val="nil"/>
                    <w:tr2bl w:val="nil"/>
                  </w:tcBorders>
                  <w:vAlign w:val="center"/>
                </w:tcPr>
                <w:p w14:paraId="405BD8AD">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361" w:type="pct"/>
                  <w:tcBorders>
                    <w:tl2br w:val="nil"/>
                    <w:tr2bl w:val="nil"/>
                  </w:tcBorders>
                  <w:vAlign w:val="center"/>
                </w:tcPr>
                <w:p w14:paraId="42ADB7A2">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298" w:type="pct"/>
                  <w:vMerge w:val="continue"/>
                  <w:tcBorders>
                    <w:tl2br w:val="nil"/>
                    <w:tr2bl w:val="nil"/>
                  </w:tcBorders>
                  <w:tcMar>
                    <w:top w:w="15" w:type="dxa"/>
                    <w:left w:w="15" w:type="dxa"/>
                    <w:bottom w:w="0" w:type="dxa"/>
                    <w:right w:w="15" w:type="dxa"/>
                  </w:tcMar>
                  <w:vAlign w:val="center"/>
                </w:tcPr>
                <w:p w14:paraId="2D6EEF8E">
                  <w:pPr>
                    <w:pStyle w:val="17"/>
                    <w:jc w:val="center"/>
                    <w:rPr>
                      <w:rFonts w:hint="default" w:ascii="Times New Roman" w:hAnsi="Times New Roman" w:eastAsia="宋体" w:cs="Times New Roman"/>
                      <w:color w:val="auto"/>
                      <w:sz w:val="21"/>
                      <w:szCs w:val="21"/>
                    </w:rPr>
                  </w:pPr>
                </w:p>
              </w:tc>
            </w:tr>
            <w:tr w14:paraId="1A9DDC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43EB722B">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1028" w:type="pct"/>
                  <w:tcBorders>
                    <w:tl2br w:val="nil"/>
                    <w:tr2bl w:val="nil"/>
                  </w:tcBorders>
                  <w:tcMar>
                    <w:top w:w="15" w:type="dxa"/>
                    <w:left w:w="15" w:type="dxa"/>
                    <w:bottom w:w="0" w:type="dxa"/>
                    <w:right w:w="15" w:type="dxa"/>
                  </w:tcMar>
                  <w:vAlign w:val="center"/>
                </w:tcPr>
                <w:p w14:paraId="64A69DAA">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离心机</w:t>
                  </w:r>
                </w:p>
              </w:tc>
              <w:tc>
                <w:tcPr>
                  <w:tcW w:w="964" w:type="pct"/>
                  <w:tcBorders>
                    <w:tl2br w:val="nil"/>
                    <w:tr2bl w:val="nil"/>
                  </w:tcBorders>
                  <w:tcMar>
                    <w:top w:w="15" w:type="dxa"/>
                    <w:left w:w="15" w:type="dxa"/>
                    <w:bottom w:w="0" w:type="dxa"/>
                    <w:right w:w="15" w:type="dxa"/>
                  </w:tcMar>
                  <w:vAlign w:val="center"/>
                </w:tcPr>
                <w:p w14:paraId="52619457">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95" w:type="pct"/>
                  <w:tcBorders>
                    <w:tl2br w:val="nil"/>
                    <w:tr2bl w:val="nil"/>
                  </w:tcBorders>
                  <w:vAlign w:val="center"/>
                </w:tcPr>
                <w:p w14:paraId="70EAF876">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5" w:type="pct"/>
                  <w:tcBorders>
                    <w:tl2br w:val="nil"/>
                    <w:tr2bl w:val="nil"/>
                  </w:tcBorders>
                  <w:vAlign w:val="center"/>
                </w:tcPr>
                <w:p w14:paraId="53868F9F">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361" w:type="pct"/>
                  <w:tcBorders>
                    <w:tl2br w:val="nil"/>
                    <w:tr2bl w:val="nil"/>
                  </w:tcBorders>
                  <w:vAlign w:val="center"/>
                </w:tcPr>
                <w:p w14:paraId="62511AA9">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vMerge w:val="continue"/>
                  <w:tcBorders>
                    <w:tl2br w:val="nil"/>
                    <w:tr2bl w:val="nil"/>
                  </w:tcBorders>
                  <w:tcMar>
                    <w:top w:w="15" w:type="dxa"/>
                    <w:left w:w="15" w:type="dxa"/>
                    <w:bottom w:w="0" w:type="dxa"/>
                    <w:right w:w="15" w:type="dxa"/>
                  </w:tcMar>
                  <w:vAlign w:val="center"/>
                </w:tcPr>
                <w:p w14:paraId="11AC6F9D">
                  <w:pPr>
                    <w:pStyle w:val="17"/>
                    <w:jc w:val="center"/>
                    <w:rPr>
                      <w:rFonts w:hint="default" w:ascii="Times New Roman" w:hAnsi="Times New Roman" w:eastAsia="宋体" w:cs="Times New Roman"/>
                      <w:color w:val="auto"/>
                      <w:sz w:val="21"/>
                      <w:szCs w:val="21"/>
                    </w:rPr>
                  </w:pPr>
                </w:p>
              </w:tc>
            </w:tr>
            <w:tr w14:paraId="48A36A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73ADF4EE">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1028" w:type="pct"/>
                  <w:tcBorders>
                    <w:tl2br w:val="nil"/>
                    <w:tr2bl w:val="nil"/>
                  </w:tcBorders>
                  <w:tcMar>
                    <w:top w:w="15" w:type="dxa"/>
                    <w:left w:w="15" w:type="dxa"/>
                    <w:bottom w:w="0" w:type="dxa"/>
                    <w:right w:w="15" w:type="dxa"/>
                  </w:tcMar>
                  <w:vAlign w:val="center"/>
                </w:tcPr>
                <w:p w14:paraId="451BE100">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环形防喷器</w:t>
                  </w:r>
                </w:p>
              </w:tc>
              <w:tc>
                <w:tcPr>
                  <w:tcW w:w="964" w:type="pct"/>
                  <w:tcBorders>
                    <w:tl2br w:val="nil"/>
                    <w:tr2bl w:val="nil"/>
                  </w:tcBorders>
                  <w:tcMar>
                    <w:top w:w="15" w:type="dxa"/>
                    <w:left w:w="15" w:type="dxa"/>
                    <w:bottom w:w="0" w:type="dxa"/>
                    <w:right w:w="15" w:type="dxa"/>
                  </w:tcMar>
                  <w:vAlign w:val="center"/>
                </w:tcPr>
                <w:p w14:paraId="4721193A">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FH35-35</w:t>
                  </w:r>
                </w:p>
              </w:tc>
              <w:tc>
                <w:tcPr>
                  <w:tcW w:w="495" w:type="pct"/>
                  <w:tcBorders>
                    <w:tl2br w:val="nil"/>
                    <w:tr2bl w:val="nil"/>
                  </w:tcBorders>
                  <w:vAlign w:val="center"/>
                </w:tcPr>
                <w:p w14:paraId="26BD190D">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425" w:type="pct"/>
                  <w:tcBorders>
                    <w:tl2br w:val="nil"/>
                    <w:tr2bl w:val="nil"/>
                  </w:tcBorders>
                  <w:vAlign w:val="center"/>
                </w:tcPr>
                <w:p w14:paraId="2AF2B599">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MPa</w:t>
                  </w:r>
                </w:p>
              </w:tc>
              <w:tc>
                <w:tcPr>
                  <w:tcW w:w="361" w:type="pct"/>
                  <w:tcBorders>
                    <w:tl2br w:val="nil"/>
                    <w:tr2bl w:val="nil"/>
                  </w:tcBorders>
                  <w:vAlign w:val="center"/>
                </w:tcPr>
                <w:p w14:paraId="6CD8914A">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vMerge w:val="restart"/>
                  <w:tcBorders>
                    <w:tl2br w:val="nil"/>
                    <w:tr2bl w:val="nil"/>
                  </w:tcBorders>
                  <w:tcMar>
                    <w:top w:w="15" w:type="dxa"/>
                    <w:left w:w="15" w:type="dxa"/>
                    <w:bottom w:w="0" w:type="dxa"/>
                    <w:right w:w="15" w:type="dxa"/>
                  </w:tcMar>
                  <w:vAlign w:val="center"/>
                </w:tcPr>
                <w:p w14:paraId="2B2C6628">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井控系统，防止井喷</w:t>
                  </w:r>
                </w:p>
              </w:tc>
            </w:tr>
            <w:tr w14:paraId="77CB69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28AD5F0E">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1028" w:type="pct"/>
                  <w:tcBorders>
                    <w:tl2br w:val="nil"/>
                    <w:tr2bl w:val="nil"/>
                  </w:tcBorders>
                  <w:tcMar>
                    <w:top w:w="15" w:type="dxa"/>
                    <w:left w:w="15" w:type="dxa"/>
                    <w:bottom w:w="0" w:type="dxa"/>
                    <w:right w:w="15" w:type="dxa"/>
                  </w:tcMar>
                  <w:vAlign w:val="center"/>
                </w:tcPr>
                <w:p w14:paraId="6C4BC1DC">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双闸板防喷器</w:t>
                  </w:r>
                </w:p>
              </w:tc>
              <w:tc>
                <w:tcPr>
                  <w:tcW w:w="964" w:type="pct"/>
                  <w:tcBorders>
                    <w:tl2br w:val="nil"/>
                    <w:tr2bl w:val="nil"/>
                  </w:tcBorders>
                  <w:tcMar>
                    <w:top w:w="15" w:type="dxa"/>
                    <w:left w:w="15" w:type="dxa"/>
                    <w:bottom w:w="0" w:type="dxa"/>
                    <w:right w:w="15" w:type="dxa"/>
                  </w:tcMar>
                  <w:vAlign w:val="center"/>
                </w:tcPr>
                <w:p w14:paraId="41B1555B">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2FZ35-35</w:t>
                  </w:r>
                </w:p>
              </w:tc>
              <w:tc>
                <w:tcPr>
                  <w:tcW w:w="495" w:type="pct"/>
                  <w:tcBorders>
                    <w:tl2br w:val="nil"/>
                    <w:tr2bl w:val="nil"/>
                  </w:tcBorders>
                  <w:vAlign w:val="center"/>
                </w:tcPr>
                <w:p w14:paraId="2127795D">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425" w:type="pct"/>
                  <w:tcBorders>
                    <w:tl2br w:val="nil"/>
                    <w:tr2bl w:val="nil"/>
                  </w:tcBorders>
                  <w:vAlign w:val="center"/>
                </w:tcPr>
                <w:p w14:paraId="403F7752">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MPa</w:t>
                  </w:r>
                </w:p>
              </w:tc>
              <w:tc>
                <w:tcPr>
                  <w:tcW w:w="361" w:type="pct"/>
                  <w:tcBorders>
                    <w:tl2br w:val="nil"/>
                    <w:tr2bl w:val="nil"/>
                  </w:tcBorders>
                  <w:vAlign w:val="center"/>
                </w:tcPr>
                <w:p w14:paraId="7B46ADBA">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vMerge w:val="continue"/>
                  <w:tcBorders>
                    <w:tl2br w:val="nil"/>
                    <w:tr2bl w:val="nil"/>
                  </w:tcBorders>
                  <w:tcMar>
                    <w:top w:w="15" w:type="dxa"/>
                    <w:left w:w="15" w:type="dxa"/>
                    <w:bottom w:w="0" w:type="dxa"/>
                    <w:right w:w="15" w:type="dxa"/>
                  </w:tcMar>
                  <w:vAlign w:val="center"/>
                </w:tcPr>
                <w:p w14:paraId="4E9497F5">
                  <w:pPr>
                    <w:pStyle w:val="17"/>
                    <w:jc w:val="center"/>
                    <w:rPr>
                      <w:rFonts w:hint="default" w:ascii="Times New Roman" w:hAnsi="Times New Roman" w:eastAsia="宋体" w:cs="Times New Roman"/>
                      <w:color w:val="auto"/>
                      <w:sz w:val="21"/>
                      <w:szCs w:val="21"/>
                    </w:rPr>
                  </w:pPr>
                </w:p>
              </w:tc>
            </w:tr>
            <w:tr w14:paraId="17C4E1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3201FC4D">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28" w:type="pct"/>
                  <w:tcBorders>
                    <w:tl2br w:val="nil"/>
                    <w:tr2bl w:val="nil"/>
                  </w:tcBorders>
                  <w:tcMar>
                    <w:top w:w="15" w:type="dxa"/>
                    <w:left w:w="15" w:type="dxa"/>
                    <w:bottom w:w="0" w:type="dxa"/>
                    <w:right w:w="15" w:type="dxa"/>
                  </w:tcMar>
                  <w:vAlign w:val="center"/>
                </w:tcPr>
                <w:p w14:paraId="49137CE9">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钻井四通</w:t>
                  </w:r>
                </w:p>
              </w:tc>
              <w:tc>
                <w:tcPr>
                  <w:tcW w:w="964" w:type="pct"/>
                  <w:tcBorders>
                    <w:tl2br w:val="nil"/>
                    <w:tr2bl w:val="nil"/>
                  </w:tcBorders>
                  <w:tcMar>
                    <w:top w:w="15" w:type="dxa"/>
                    <w:left w:w="15" w:type="dxa"/>
                    <w:bottom w:w="0" w:type="dxa"/>
                    <w:right w:w="15" w:type="dxa"/>
                  </w:tcMar>
                  <w:vAlign w:val="center"/>
                </w:tcPr>
                <w:p w14:paraId="20A79FAD">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FS35-35</w:t>
                  </w:r>
                </w:p>
              </w:tc>
              <w:tc>
                <w:tcPr>
                  <w:tcW w:w="495" w:type="pct"/>
                  <w:tcBorders>
                    <w:tl2br w:val="nil"/>
                    <w:tr2bl w:val="nil"/>
                  </w:tcBorders>
                  <w:vAlign w:val="center"/>
                </w:tcPr>
                <w:p w14:paraId="06804BF3">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425" w:type="pct"/>
                  <w:tcBorders>
                    <w:tl2br w:val="nil"/>
                    <w:tr2bl w:val="nil"/>
                  </w:tcBorders>
                  <w:vAlign w:val="center"/>
                </w:tcPr>
                <w:p w14:paraId="00A73C12">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MPa</w:t>
                  </w:r>
                </w:p>
              </w:tc>
              <w:tc>
                <w:tcPr>
                  <w:tcW w:w="361" w:type="pct"/>
                  <w:tcBorders>
                    <w:tl2br w:val="nil"/>
                    <w:tr2bl w:val="nil"/>
                  </w:tcBorders>
                  <w:vAlign w:val="center"/>
                </w:tcPr>
                <w:p w14:paraId="425CDD22">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vMerge w:val="continue"/>
                  <w:tcBorders>
                    <w:tl2br w:val="nil"/>
                    <w:tr2bl w:val="nil"/>
                  </w:tcBorders>
                  <w:tcMar>
                    <w:top w:w="15" w:type="dxa"/>
                    <w:left w:w="15" w:type="dxa"/>
                    <w:bottom w:w="0" w:type="dxa"/>
                    <w:right w:w="15" w:type="dxa"/>
                  </w:tcMar>
                  <w:vAlign w:val="center"/>
                </w:tcPr>
                <w:p w14:paraId="738B7E7B">
                  <w:pPr>
                    <w:pStyle w:val="17"/>
                    <w:jc w:val="center"/>
                    <w:rPr>
                      <w:rFonts w:hint="default" w:ascii="Times New Roman" w:hAnsi="Times New Roman" w:eastAsia="宋体" w:cs="Times New Roman"/>
                      <w:color w:val="auto"/>
                      <w:sz w:val="21"/>
                      <w:szCs w:val="21"/>
                    </w:rPr>
                  </w:pPr>
                </w:p>
              </w:tc>
            </w:tr>
            <w:tr w14:paraId="6DDA3B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4DCFCB22">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1028" w:type="pct"/>
                  <w:tcBorders>
                    <w:tl2br w:val="nil"/>
                    <w:tr2bl w:val="nil"/>
                  </w:tcBorders>
                  <w:tcMar>
                    <w:top w:w="15" w:type="dxa"/>
                    <w:left w:w="15" w:type="dxa"/>
                    <w:bottom w:w="0" w:type="dxa"/>
                    <w:right w:w="15" w:type="dxa"/>
                  </w:tcMar>
                  <w:vAlign w:val="center"/>
                </w:tcPr>
                <w:p w14:paraId="3707BDD8">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节流管汇</w:t>
                  </w:r>
                </w:p>
              </w:tc>
              <w:tc>
                <w:tcPr>
                  <w:tcW w:w="964" w:type="pct"/>
                  <w:tcBorders>
                    <w:tl2br w:val="nil"/>
                    <w:tr2bl w:val="nil"/>
                  </w:tcBorders>
                  <w:tcMar>
                    <w:top w:w="15" w:type="dxa"/>
                    <w:left w:w="15" w:type="dxa"/>
                    <w:bottom w:w="0" w:type="dxa"/>
                    <w:right w:w="15" w:type="dxa"/>
                  </w:tcMar>
                  <w:vAlign w:val="center"/>
                </w:tcPr>
                <w:p w14:paraId="28A67325">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JG35</w:t>
                  </w:r>
                </w:p>
              </w:tc>
              <w:tc>
                <w:tcPr>
                  <w:tcW w:w="495" w:type="pct"/>
                  <w:tcBorders>
                    <w:tl2br w:val="nil"/>
                    <w:tr2bl w:val="nil"/>
                  </w:tcBorders>
                  <w:vAlign w:val="center"/>
                </w:tcPr>
                <w:p w14:paraId="47563F7A">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425" w:type="pct"/>
                  <w:tcBorders>
                    <w:tl2br w:val="nil"/>
                    <w:tr2bl w:val="nil"/>
                  </w:tcBorders>
                  <w:vAlign w:val="center"/>
                </w:tcPr>
                <w:p w14:paraId="7DC93FDF">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MPa</w:t>
                  </w:r>
                </w:p>
              </w:tc>
              <w:tc>
                <w:tcPr>
                  <w:tcW w:w="361" w:type="pct"/>
                  <w:tcBorders>
                    <w:tl2br w:val="nil"/>
                    <w:tr2bl w:val="nil"/>
                  </w:tcBorders>
                  <w:vAlign w:val="center"/>
                </w:tcPr>
                <w:p w14:paraId="23D20186">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vMerge w:val="continue"/>
                  <w:tcBorders>
                    <w:tl2br w:val="nil"/>
                    <w:tr2bl w:val="nil"/>
                  </w:tcBorders>
                  <w:tcMar>
                    <w:top w:w="15" w:type="dxa"/>
                    <w:left w:w="15" w:type="dxa"/>
                    <w:bottom w:w="0" w:type="dxa"/>
                    <w:right w:w="15" w:type="dxa"/>
                  </w:tcMar>
                  <w:vAlign w:val="center"/>
                </w:tcPr>
                <w:p w14:paraId="6389EF02">
                  <w:pPr>
                    <w:pStyle w:val="17"/>
                    <w:jc w:val="center"/>
                    <w:rPr>
                      <w:rFonts w:hint="default" w:ascii="Times New Roman" w:hAnsi="Times New Roman" w:eastAsia="宋体" w:cs="Times New Roman"/>
                      <w:color w:val="auto"/>
                      <w:sz w:val="21"/>
                      <w:szCs w:val="21"/>
                    </w:rPr>
                  </w:pPr>
                </w:p>
              </w:tc>
            </w:tr>
            <w:tr w14:paraId="363875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11DED2C4">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1028" w:type="pct"/>
                  <w:tcBorders>
                    <w:tl2br w:val="nil"/>
                    <w:tr2bl w:val="nil"/>
                  </w:tcBorders>
                  <w:tcMar>
                    <w:top w:w="15" w:type="dxa"/>
                    <w:left w:w="15" w:type="dxa"/>
                    <w:bottom w:w="0" w:type="dxa"/>
                    <w:right w:w="15" w:type="dxa"/>
                  </w:tcMar>
                  <w:vAlign w:val="center"/>
                </w:tcPr>
                <w:p w14:paraId="3F144A16">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压井管汇</w:t>
                  </w:r>
                </w:p>
              </w:tc>
              <w:tc>
                <w:tcPr>
                  <w:tcW w:w="964" w:type="pct"/>
                  <w:tcBorders>
                    <w:tl2br w:val="nil"/>
                    <w:tr2bl w:val="nil"/>
                  </w:tcBorders>
                  <w:tcMar>
                    <w:top w:w="15" w:type="dxa"/>
                    <w:left w:w="15" w:type="dxa"/>
                    <w:bottom w:w="0" w:type="dxa"/>
                    <w:right w:w="15" w:type="dxa"/>
                  </w:tcMar>
                  <w:vAlign w:val="center"/>
                </w:tcPr>
                <w:p w14:paraId="21D7677E">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YG35</w:t>
                  </w:r>
                </w:p>
              </w:tc>
              <w:tc>
                <w:tcPr>
                  <w:tcW w:w="495" w:type="pct"/>
                  <w:tcBorders>
                    <w:tl2br w:val="nil"/>
                    <w:tr2bl w:val="nil"/>
                  </w:tcBorders>
                  <w:vAlign w:val="center"/>
                </w:tcPr>
                <w:p w14:paraId="4BAFD617">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425" w:type="pct"/>
                  <w:tcBorders>
                    <w:tl2br w:val="nil"/>
                    <w:tr2bl w:val="nil"/>
                  </w:tcBorders>
                  <w:vAlign w:val="center"/>
                </w:tcPr>
                <w:p w14:paraId="423A2C76">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MPa</w:t>
                  </w:r>
                </w:p>
              </w:tc>
              <w:tc>
                <w:tcPr>
                  <w:tcW w:w="361" w:type="pct"/>
                  <w:tcBorders>
                    <w:tl2br w:val="nil"/>
                    <w:tr2bl w:val="nil"/>
                  </w:tcBorders>
                  <w:vAlign w:val="center"/>
                </w:tcPr>
                <w:p w14:paraId="04EF13C2">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vMerge w:val="continue"/>
                  <w:tcBorders>
                    <w:tl2br w:val="nil"/>
                    <w:tr2bl w:val="nil"/>
                  </w:tcBorders>
                  <w:tcMar>
                    <w:top w:w="15" w:type="dxa"/>
                    <w:left w:w="15" w:type="dxa"/>
                    <w:bottom w:w="0" w:type="dxa"/>
                    <w:right w:w="15" w:type="dxa"/>
                  </w:tcMar>
                  <w:vAlign w:val="center"/>
                </w:tcPr>
                <w:p w14:paraId="1D750622">
                  <w:pPr>
                    <w:pStyle w:val="17"/>
                    <w:jc w:val="center"/>
                    <w:rPr>
                      <w:rFonts w:hint="default" w:ascii="Times New Roman" w:hAnsi="Times New Roman" w:eastAsia="宋体" w:cs="Times New Roman"/>
                      <w:color w:val="auto"/>
                      <w:sz w:val="21"/>
                      <w:szCs w:val="21"/>
                    </w:rPr>
                  </w:pPr>
                </w:p>
              </w:tc>
            </w:tr>
            <w:tr w14:paraId="74E651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13B3348F">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1028" w:type="pct"/>
                  <w:tcBorders>
                    <w:tl2br w:val="nil"/>
                    <w:tr2bl w:val="nil"/>
                  </w:tcBorders>
                  <w:tcMar>
                    <w:top w:w="15" w:type="dxa"/>
                    <w:left w:w="15" w:type="dxa"/>
                    <w:bottom w:w="0" w:type="dxa"/>
                    <w:right w:w="15" w:type="dxa"/>
                  </w:tcMar>
                  <w:vAlign w:val="center"/>
                </w:tcPr>
                <w:p w14:paraId="7C9A4856">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控制系统</w:t>
                  </w:r>
                </w:p>
              </w:tc>
              <w:tc>
                <w:tcPr>
                  <w:tcW w:w="964" w:type="pct"/>
                  <w:tcBorders>
                    <w:tl2br w:val="nil"/>
                    <w:tr2bl w:val="nil"/>
                  </w:tcBorders>
                  <w:tcMar>
                    <w:top w:w="15" w:type="dxa"/>
                    <w:left w:w="15" w:type="dxa"/>
                    <w:bottom w:w="0" w:type="dxa"/>
                    <w:right w:w="15" w:type="dxa"/>
                  </w:tcMar>
                  <w:vAlign w:val="center"/>
                </w:tcPr>
                <w:p w14:paraId="08C5D673">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FKQ800-7</w:t>
                  </w:r>
                </w:p>
              </w:tc>
              <w:tc>
                <w:tcPr>
                  <w:tcW w:w="495" w:type="pct"/>
                  <w:tcBorders>
                    <w:tl2br w:val="nil"/>
                    <w:tr2bl w:val="nil"/>
                  </w:tcBorders>
                  <w:vAlign w:val="center"/>
                </w:tcPr>
                <w:p w14:paraId="050046C5">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425" w:type="pct"/>
                  <w:tcBorders>
                    <w:tl2br w:val="nil"/>
                    <w:tr2bl w:val="nil"/>
                  </w:tcBorders>
                  <w:vAlign w:val="center"/>
                </w:tcPr>
                <w:p w14:paraId="0026D60E">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MPa</w:t>
                  </w:r>
                </w:p>
              </w:tc>
              <w:tc>
                <w:tcPr>
                  <w:tcW w:w="361" w:type="pct"/>
                  <w:tcBorders>
                    <w:tl2br w:val="nil"/>
                    <w:tr2bl w:val="nil"/>
                  </w:tcBorders>
                  <w:vAlign w:val="center"/>
                </w:tcPr>
                <w:p w14:paraId="32368D80">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vMerge w:val="continue"/>
                  <w:tcBorders>
                    <w:tl2br w:val="nil"/>
                    <w:tr2bl w:val="nil"/>
                  </w:tcBorders>
                  <w:tcMar>
                    <w:top w:w="15" w:type="dxa"/>
                    <w:left w:w="15" w:type="dxa"/>
                    <w:bottom w:w="0" w:type="dxa"/>
                    <w:right w:w="15" w:type="dxa"/>
                  </w:tcMar>
                  <w:vAlign w:val="center"/>
                </w:tcPr>
                <w:p w14:paraId="3502D3DC">
                  <w:pPr>
                    <w:pStyle w:val="17"/>
                    <w:jc w:val="center"/>
                    <w:rPr>
                      <w:rFonts w:hint="default" w:ascii="Times New Roman" w:hAnsi="Times New Roman" w:eastAsia="宋体" w:cs="Times New Roman"/>
                      <w:color w:val="auto"/>
                      <w:sz w:val="21"/>
                      <w:szCs w:val="21"/>
                    </w:rPr>
                  </w:pPr>
                </w:p>
              </w:tc>
            </w:tr>
            <w:tr w14:paraId="53C5EF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2F492976">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1028" w:type="pct"/>
                  <w:tcBorders>
                    <w:tl2br w:val="nil"/>
                    <w:tr2bl w:val="nil"/>
                  </w:tcBorders>
                  <w:tcMar>
                    <w:top w:w="15" w:type="dxa"/>
                    <w:left w:w="15" w:type="dxa"/>
                    <w:bottom w:w="0" w:type="dxa"/>
                    <w:right w:w="15" w:type="dxa"/>
                  </w:tcMar>
                  <w:vAlign w:val="center"/>
                </w:tcPr>
                <w:p w14:paraId="1FA2D981">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柴油储罐</w:t>
                  </w:r>
                </w:p>
              </w:tc>
              <w:tc>
                <w:tcPr>
                  <w:tcW w:w="964" w:type="pct"/>
                  <w:tcBorders>
                    <w:tl2br w:val="nil"/>
                    <w:tr2bl w:val="nil"/>
                  </w:tcBorders>
                  <w:tcMar>
                    <w:top w:w="15" w:type="dxa"/>
                    <w:left w:w="15" w:type="dxa"/>
                    <w:bottom w:w="0" w:type="dxa"/>
                    <w:right w:w="15" w:type="dxa"/>
                  </w:tcMar>
                  <w:vAlign w:val="center"/>
                </w:tcPr>
                <w:p w14:paraId="7FDE7EF5">
                  <w:pPr>
                    <w:pStyle w:val="17"/>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495" w:type="pct"/>
                  <w:tcBorders>
                    <w:tl2br w:val="nil"/>
                    <w:tr2bl w:val="nil"/>
                  </w:tcBorders>
                  <w:vAlign w:val="center"/>
                </w:tcPr>
                <w:p w14:paraId="1AEAD4F3">
                  <w:pPr>
                    <w:pStyle w:val="17"/>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425" w:type="pct"/>
                  <w:tcBorders>
                    <w:tl2br w:val="nil"/>
                    <w:tr2bl w:val="nil"/>
                  </w:tcBorders>
                  <w:vAlign w:val="center"/>
                </w:tcPr>
                <w:p w14:paraId="15266F07">
                  <w:pPr>
                    <w:pStyle w:val="17"/>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p>
              </w:tc>
              <w:tc>
                <w:tcPr>
                  <w:tcW w:w="361" w:type="pct"/>
                  <w:tcBorders>
                    <w:tl2br w:val="nil"/>
                    <w:tr2bl w:val="nil"/>
                  </w:tcBorders>
                  <w:vAlign w:val="center"/>
                </w:tcPr>
                <w:p w14:paraId="6A33CA53">
                  <w:pPr>
                    <w:pStyle w:val="17"/>
                    <w:jc w:val="center"/>
                    <w:rPr>
                      <w:rFonts w:hint="eastAsia" w:ascii="Times New Roman" w:hAnsi="Times New Roman" w:eastAsia="宋体" w:cs="Times New Roman"/>
                      <w:color w:val="auto"/>
                      <w:sz w:val="21"/>
                      <w:szCs w:val="21"/>
                      <w:highlight w:val="none"/>
                      <w:lang w:eastAsia="zh-CN"/>
                    </w:rPr>
                  </w:pPr>
                  <w:r>
                    <w:rPr>
                      <w:rFonts w:hint="eastAsia" w:eastAsia="宋体" w:cs="Times New Roman"/>
                      <w:color w:val="auto"/>
                      <w:sz w:val="21"/>
                      <w:szCs w:val="21"/>
                      <w:highlight w:val="none"/>
                      <w:lang w:val="en-US" w:eastAsia="zh-CN"/>
                    </w:rPr>
                    <w:t>1</w:t>
                  </w:r>
                </w:p>
              </w:tc>
              <w:tc>
                <w:tcPr>
                  <w:tcW w:w="1298" w:type="pct"/>
                  <w:tcBorders>
                    <w:tl2br w:val="nil"/>
                    <w:tr2bl w:val="nil"/>
                  </w:tcBorders>
                  <w:tcMar>
                    <w:top w:w="15" w:type="dxa"/>
                    <w:left w:w="15" w:type="dxa"/>
                    <w:bottom w:w="0" w:type="dxa"/>
                    <w:right w:w="15" w:type="dxa"/>
                  </w:tcMar>
                  <w:vAlign w:val="center"/>
                </w:tcPr>
                <w:p w14:paraId="53FD031E">
                  <w:pPr>
                    <w:pStyle w:val="17"/>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5C96C1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000" w:type="pct"/>
                  <w:gridSpan w:val="7"/>
                  <w:tcBorders>
                    <w:tl2br w:val="nil"/>
                    <w:tr2bl w:val="nil"/>
                  </w:tcBorders>
                  <w:tcMar>
                    <w:top w:w="15" w:type="dxa"/>
                    <w:left w:w="15" w:type="dxa"/>
                    <w:bottom w:w="0" w:type="dxa"/>
                    <w:right w:w="15" w:type="dxa"/>
                  </w:tcMar>
                  <w:vAlign w:val="center"/>
                </w:tcPr>
                <w:p w14:paraId="2509AF30">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二、钻井随钻泥浆不落地处理</w:t>
                  </w:r>
                </w:p>
              </w:tc>
            </w:tr>
            <w:tr w14:paraId="3824C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1C2F5BCE">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028" w:type="pct"/>
                  <w:tcBorders>
                    <w:tl2br w:val="nil"/>
                    <w:tr2bl w:val="nil"/>
                  </w:tcBorders>
                  <w:tcMar>
                    <w:top w:w="15" w:type="dxa"/>
                    <w:left w:w="15" w:type="dxa"/>
                    <w:bottom w:w="0" w:type="dxa"/>
                    <w:right w:w="15" w:type="dxa"/>
                  </w:tcMar>
                  <w:vAlign w:val="center"/>
                </w:tcPr>
                <w:p w14:paraId="1BECFBA5">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程控隔膜压滤机</w:t>
                  </w:r>
                </w:p>
              </w:tc>
              <w:tc>
                <w:tcPr>
                  <w:tcW w:w="964" w:type="pct"/>
                  <w:tcBorders>
                    <w:tl2br w:val="nil"/>
                    <w:tr2bl w:val="nil"/>
                  </w:tcBorders>
                  <w:tcMar>
                    <w:top w:w="15" w:type="dxa"/>
                    <w:left w:w="15" w:type="dxa"/>
                    <w:bottom w:w="0" w:type="dxa"/>
                    <w:right w:w="15" w:type="dxa"/>
                  </w:tcMar>
                  <w:vAlign w:val="center"/>
                </w:tcPr>
                <w:p w14:paraId="3B1A548F">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XMZG180/1250-U</w:t>
                  </w:r>
                </w:p>
              </w:tc>
              <w:tc>
                <w:tcPr>
                  <w:tcW w:w="495" w:type="pct"/>
                  <w:tcBorders>
                    <w:tl2br w:val="nil"/>
                    <w:tr2bl w:val="nil"/>
                  </w:tcBorders>
                  <w:vAlign w:val="center"/>
                </w:tcPr>
                <w:p w14:paraId="4CEA685A">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w:t>
                  </w:r>
                </w:p>
              </w:tc>
              <w:tc>
                <w:tcPr>
                  <w:tcW w:w="425" w:type="pct"/>
                  <w:tcBorders>
                    <w:tl2br w:val="nil"/>
                    <w:tr2bl w:val="nil"/>
                  </w:tcBorders>
                  <w:vAlign w:val="center"/>
                </w:tcPr>
                <w:p w14:paraId="28E720CB">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361" w:type="pct"/>
                  <w:tcBorders>
                    <w:tl2br w:val="nil"/>
                    <w:tr2bl w:val="nil"/>
                  </w:tcBorders>
                  <w:vAlign w:val="center"/>
                </w:tcPr>
                <w:p w14:paraId="5728DF35">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298" w:type="pct"/>
                  <w:tcBorders>
                    <w:tl2br w:val="nil"/>
                    <w:tr2bl w:val="nil"/>
                  </w:tcBorders>
                  <w:tcMar>
                    <w:top w:w="15" w:type="dxa"/>
                    <w:left w:w="15" w:type="dxa"/>
                    <w:bottom w:w="0" w:type="dxa"/>
                    <w:right w:w="15" w:type="dxa"/>
                  </w:tcMar>
                  <w:vAlign w:val="center"/>
                </w:tcPr>
                <w:p w14:paraId="63D1DDF5">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废弃泥浆固液分离</w:t>
                  </w:r>
                </w:p>
              </w:tc>
            </w:tr>
            <w:tr w14:paraId="187D1E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01D36F1E">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028" w:type="pct"/>
                  <w:tcBorders>
                    <w:tl2br w:val="nil"/>
                    <w:tr2bl w:val="nil"/>
                  </w:tcBorders>
                  <w:tcMar>
                    <w:top w:w="15" w:type="dxa"/>
                    <w:left w:w="15" w:type="dxa"/>
                    <w:bottom w:w="0" w:type="dxa"/>
                    <w:right w:w="15" w:type="dxa"/>
                  </w:tcMar>
                  <w:vAlign w:val="center"/>
                </w:tcPr>
                <w:p w14:paraId="2113F1C9">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一号收集罐</w:t>
                  </w:r>
                </w:p>
              </w:tc>
              <w:tc>
                <w:tcPr>
                  <w:tcW w:w="964" w:type="pct"/>
                  <w:tcBorders>
                    <w:tl2br w:val="nil"/>
                    <w:tr2bl w:val="nil"/>
                  </w:tcBorders>
                  <w:tcMar>
                    <w:top w:w="15" w:type="dxa"/>
                    <w:left w:w="15" w:type="dxa"/>
                    <w:bottom w:w="0" w:type="dxa"/>
                    <w:right w:w="15" w:type="dxa"/>
                  </w:tcMar>
                  <w:vAlign w:val="center"/>
                </w:tcPr>
                <w:p w14:paraId="1E0FCC94">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95" w:type="pct"/>
                  <w:tcBorders>
                    <w:tl2br w:val="nil"/>
                    <w:tr2bl w:val="nil"/>
                  </w:tcBorders>
                  <w:vAlign w:val="center"/>
                </w:tcPr>
                <w:p w14:paraId="079AA080">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425" w:type="pct"/>
                  <w:tcBorders>
                    <w:tl2br w:val="nil"/>
                    <w:tr2bl w:val="nil"/>
                  </w:tcBorders>
                  <w:vAlign w:val="center"/>
                </w:tcPr>
                <w:p w14:paraId="3789856F">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361" w:type="pct"/>
                  <w:tcBorders>
                    <w:tl2br w:val="nil"/>
                    <w:tr2bl w:val="nil"/>
                  </w:tcBorders>
                  <w:vAlign w:val="center"/>
                </w:tcPr>
                <w:p w14:paraId="349C79C1">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tcBorders>
                    <w:tl2br w:val="nil"/>
                    <w:tr2bl w:val="nil"/>
                  </w:tcBorders>
                  <w:tcMar>
                    <w:top w:w="15" w:type="dxa"/>
                    <w:left w:w="15" w:type="dxa"/>
                    <w:bottom w:w="0" w:type="dxa"/>
                    <w:right w:w="15" w:type="dxa"/>
                  </w:tcMar>
                  <w:vAlign w:val="center"/>
                </w:tcPr>
                <w:p w14:paraId="61DBAF3D">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废弃泥浆收集</w:t>
                  </w:r>
                </w:p>
              </w:tc>
            </w:tr>
            <w:tr w14:paraId="688CE9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16EA0420">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028" w:type="pct"/>
                  <w:tcBorders>
                    <w:tl2br w:val="nil"/>
                    <w:tr2bl w:val="nil"/>
                  </w:tcBorders>
                  <w:tcMar>
                    <w:top w:w="15" w:type="dxa"/>
                    <w:left w:w="15" w:type="dxa"/>
                    <w:bottom w:w="0" w:type="dxa"/>
                    <w:right w:w="15" w:type="dxa"/>
                  </w:tcMar>
                  <w:vAlign w:val="center"/>
                </w:tcPr>
                <w:p w14:paraId="600BA864">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岩屑</w:t>
                  </w:r>
                  <w:r>
                    <w:rPr>
                      <w:rFonts w:hint="default" w:ascii="Times New Roman" w:hAnsi="Times New Roman" w:eastAsia="宋体" w:cs="Times New Roman"/>
                      <w:color w:val="auto"/>
                      <w:sz w:val="21"/>
                      <w:szCs w:val="21"/>
                    </w:rPr>
                    <w:t>收集罐</w:t>
                  </w:r>
                </w:p>
              </w:tc>
              <w:tc>
                <w:tcPr>
                  <w:tcW w:w="964" w:type="pct"/>
                  <w:tcBorders>
                    <w:tl2br w:val="nil"/>
                    <w:tr2bl w:val="nil"/>
                  </w:tcBorders>
                  <w:tcMar>
                    <w:top w:w="15" w:type="dxa"/>
                    <w:left w:w="15" w:type="dxa"/>
                    <w:bottom w:w="0" w:type="dxa"/>
                    <w:right w:w="15" w:type="dxa"/>
                  </w:tcMar>
                  <w:vAlign w:val="center"/>
                </w:tcPr>
                <w:p w14:paraId="56C0AEFA">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95" w:type="pct"/>
                  <w:tcBorders>
                    <w:tl2br w:val="nil"/>
                    <w:tr2bl w:val="nil"/>
                  </w:tcBorders>
                  <w:vAlign w:val="center"/>
                </w:tcPr>
                <w:p w14:paraId="236F7AC7">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425" w:type="pct"/>
                  <w:tcBorders>
                    <w:tl2br w:val="nil"/>
                    <w:tr2bl w:val="nil"/>
                  </w:tcBorders>
                  <w:vAlign w:val="center"/>
                </w:tcPr>
                <w:p w14:paraId="235BD53A">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361" w:type="pct"/>
                  <w:tcBorders>
                    <w:tl2br w:val="nil"/>
                    <w:tr2bl w:val="nil"/>
                  </w:tcBorders>
                  <w:vAlign w:val="center"/>
                </w:tcPr>
                <w:p w14:paraId="008035C2">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tcBorders>
                    <w:tl2br w:val="nil"/>
                    <w:tr2bl w:val="nil"/>
                  </w:tcBorders>
                  <w:tcMar>
                    <w:top w:w="15" w:type="dxa"/>
                    <w:left w:w="15" w:type="dxa"/>
                    <w:bottom w:w="0" w:type="dxa"/>
                    <w:right w:w="15" w:type="dxa"/>
                  </w:tcMar>
                  <w:vAlign w:val="center"/>
                </w:tcPr>
                <w:p w14:paraId="6BDBA76E">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岩屑收集</w:t>
                  </w:r>
                </w:p>
              </w:tc>
            </w:tr>
            <w:tr w14:paraId="01D5C4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59A883CF">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028" w:type="pct"/>
                  <w:tcBorders>
                    <w:tl2br w:val="nil"/>
                    <w:tr2bl w:val="nil"/>
                  </w:tcBorders>
                  <w:tcMar>
                    <w:top w:w="15" w:type="dxa"/>
                    <w:left w:w="15" w:type="dxa"/>
                    <w:bottom w:w="0" w:type="dxa"/>
                    <w:right w:w="15" w:type="dxa"/>
                  </w:tcMar>
                  <w:vAlign w:val="center"/>
                </w:tcPr>
                <w:p w14:paraId="48B00F34">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加药罐</w:t>
                  </w:r>
                </w:p>
              </w:tc>
              <w:tc>
                <w:tcPr>
                  <w:tcW w:w="964" w:type="pct"/>
                  <w:tcBorders>
                    <w:tl2br w:val="nil"/>
                    <w:tr2bl w:val="nil"/>
                  </w:tcBorders>
                  <w:tcMar>
                    <w:top w:w="15" w:type="dxa"/>
                    <w:left w:w="15" w:type="dxa"/>
                    <w:bottom w:w="0" w:type="dxa"/>
                    <w:right w:w="15" w:type="dxa"/>
                  </w:tcMar>
                  <w:vAlign w:val="center"/>
                </w:tcPr>
                <w:p w14:paraId="4EDF3AD1">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95" w:type="pct"/>
                  <w:tcBorders>
                    <w:tl2br w:val="nil"/>
                    <w:tr2bl w:val="nil"/>
                  </w:tcBorders>
                  <w:vAlign w:val="center"/>
                </w:tcPr>
                <w:p w14:paraId="296BB1DC">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425" w:type="pct"/>
                  <w:tcBorders>
                    <w:tl2br w:val="nil"/>
                    <w:tr2bl w:val="nil"/>
                  </w:tcBorders>
                  <w:vAlign w:val="center"/>
                </w:tcPr>
                <w:p w14:paraId="39E340FB">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361" w:type="pct"/>
                  <w:tcBorders>
                    <w:tl2br w:val="nil"/>
                    <w:tr2bl w:val="nil"/>
                  </w:tcBorders>
                  <w:vAlign w:val="center"/>
                </w:tcPr>
                <w:p w14:paraId="2BAD0CC2">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tcBorders>
                    <w:tl2br w:val="nil"/>
                    <w:tr2bl w:val="nil"/>
                  </w:tcBorders>
                  <w:tcMar>
                    <w:top w:w="15" w:type="dxa"/>
                    <w:left w:w="15" w:type="dxa"/>
                    <w:bottom w:w="0" w:type="dxa"/>
                    <w:right w:w="15" w:type="dxa"/>
                  </w:tcMar>
                  <w:vAlign w:val="center"/>
                </w:tcPr>
                <w:p w14:paraId="19162DAB">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废弃泥浆加药</w:t>
                  </w:r>
                </w:p>
              </w:tc>
            </w:tr>
            <w:tr w14:paraId="3576EA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57521C30">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028" w:type="pct"/>
                  <w:tcBorders>
                    <w:tl2br w:val="nil"/>
                    <w:tr2bl w:val="nil"/>
                  </w:tcBorders>
                  <w:tcMar>
                    <w:top w:w="15" w:type="dxa"/>
                    <w:left w:w="15" w:type="dxa"/>
                    <w:bottom w:w="0" w:type="dxa"/>
                    <w:right w:w="15" w:type="dxa"/>
                  </w:tcMar>
                  <w:vAlign w:val="center"/>
                </w:tcPr>
                <w:p w14:paraId="461E4D17">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搅拌罐</w:t>
                  </w:r>
                </w:p>
              </w:tc>
              <w:tc>
                <w:tcPr>
                  <w:tcW w:w="964" w:type="pct"/>
                  <w:tcBorders>
                    <w:tl2br w:val="nil"/>
                    <w:tr2bl w:val="nil"/>
                  </w:tcBorders>
                  <w:tcMar>
                    <w:top w:w="15" w:type="dxa"/>
                    <w:left w:w="15" w:type="dxa"/>
                    <w:bottom w:w="0" w:type="dxa"/>
                    <w:right w:w="15" w:type="dxa"/>
                  </w:tcMar>
                  <w:vAlign w:val="center"/>
                </w:tcPr>
                <w:p w14:paraId="65B3F6D8">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95" w:type="pct"/>
                  <w:tcBorders>
                    <w:tl2br w:val="nil"/>
                    <w:tr2bl w:val="nil"/>
                  </w:tcBorders>
                  <w:vAlign w:val="center"/>
                </w:tcPr>
                <w:p w14:paraId="155D54E5">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425" w:type="pct"/>
                  <w:tcBorders>
                    <w:tl2br w:val="nil"/>
                    <w:tr2bl w:val="nil"/>
                  </w:tcBorders>
                  <w:vAlign w:val="center"/>
                </w:tcPr>
                <w:p w14:paraId="4BCD73BE">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361" w:type="pct"/>
                  <w:tcBorders>
                    <w:tl2br w:val="nil"/>
                    <w:tr2bl w:val="nil"/>
                  </w:tcBorders>
                  <w:vAlign w:val="center"/>
                </w:tcPr>
                <w:p w14:paraId="7CB1B579">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tcBorders>
                    <w:tl2br w:val="nil"/>
                    <w:tr2bl w:val="nil"/>
                  </w:tcBorders>
                  <w:tcMar>
                    <w:top w:w="15" w:type="dxa"/>
                    <w:left w:w="15" w:type="dxa"/>
                    <w:bottom w:w="0" w:type="dxa"/>
                    <w:right w:w="15" w:type="dxa"/>
                  </w:tcMar>
                  <w:vAlign w:val="center"/>
                </w:tcPr>
                <w:p w14:paraId="1D3DD8CA">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废弃泥浆加药后反应</w:t>
                  </w:r>
                </w:p>
              </w:tc>
            </w:tr>
            <w:tr w14:paraId="5BAA13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3763BCE3">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028" w:type="pct"/>
                  <w:tcBorders>
                    <w:tl2br w:val="nil"/>
                    <w:tr2bl w:val="nil"/>
                  </w:tcBorders>
                  <w:tcMar>
                    <w:top w:w="15" w:type="dxa"/>
                    <w:left w:w="15" w:type="dxa"/>
                    <w:bottom w:w="0" w:type="dxa"/>
                    <w:right w:w="15" w:type="dxa"/>
                  </w:tcMar>
                  <w:vAlign w:val="center"/>
                </w:tcPr>
                <w:p w14:paraId="45A71C6D">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水罐</w:t>
                  </w:r>
                </w:p>
              </w:tc>
              <w:tc>
                <w:tcPr>
                  <w:tcW w:w="964" w:type="pct"/>
                  <w:tcBorders>
                    <w:tl2br w:val="nil"/>
                    <w:tr2bl w:val="nil"/>
                  </w:tcBorders>
                  <w:tcMar>
                    <w:top w:w="15" w:type="dxa"/>
                    <w:left w:w="15" w:type="dxa"/>
                    <w:bottom w:w="0" w:type="dxa"/>
                    <w:right w:w="15" w:type="dxa"/>
                  </w:tcMar>
                  <w:vAlign w:val="center"/>
                </w:tcPr>
                <w:p w14:paraId="309C0840">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95" w:type="pct"/>
                  <w:tcBorders>
                    <w:tl2br w:val="nil"/>
                    <w:tr2bl w:val="nil"/>
                  </w:tcBorders>
                  <w:vAlign w:val="center"/>
                </w:tcPr>
                <w:p w14:paraId="5A85E231">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425" w:type="pct"/>
                  <w:tcBorders>
                    <w:tl2br w:val="nil"/>
                    <w:tr2bl w:val="nil"/>
                  </w:tcBorders>
                  <w:vAlign w:val="center"/>
                </w:tcPr>
                <w:p w14:paraId="65AAB699">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361" w:type="pct"/>
                  <w:tcBorders>
                    <w:tl2br w:val="nil"/>
                    <w:tr2bl w:val="nil"/>
                  </w:tcBorders>
                  <w:vAlign w:val="center"/>
                </w:tcPr>
                <w:p w14:paraId="34B22A8C">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tcBorders>
                    <w:tl2br w:val="nil"/>
                    <w:tr2bl w:val="nil"/>
                  </w:tcBorders>
                  <w:tcMar>
                    <w:top w:w="15" w:type="dxa"/>
                    <w:left w:w="15" w:type="dxa"/>
                    <w:bottom w:w="0" w:type="dxa"/>
                    <w:right w:w="15" w:type="dxa"/>
                  </w:tcMar>
                  <w:vAlign w:val="center"/>
                </w:tcPr>
                <w:p w14:paraId="2A644A52">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水收集</w:t>
                  </w:r>
                </w:p>
              </w:tc>
            </w:tr>
            <w:tr w14:paraId="36FFFC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000" w:type="pct"/>
                  <w:gridSpan w:val="7"/>
                  <w:tcBorders>
                    <w:tl2br w:val="nil"/>
                    <w:tr2bl w:val="nil"/>
                  </w:tcBorders>
                  <w:tcMar>
                    <w:top w:w="15" w:type="dxa"/>
                    <w:left w:w="15" w:type="dxa"/>
                    <w:bottom w:w="0" w:type="dxa"/>
                    <w:right w:w="15" w:type="dxa"/>
                  </w:tcMar>
                  <w:vAlign w:val="center"/>
                </w:tcPr>
                <w:p w14:paraId="679AC419">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三、完井</w:t>
                  </w:r>
                </w:p>
              </w:tc>
            </w:tr>
            <w:tr w14:paraId="03A548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02DE14FA">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028" w:type="pct"/>
                  <w:tcBorders>
                    <w:tl2br w:val="nil"/>
                    <w:tr2bl w:val="nil"/>
                  </w:tcBorders>
                  <w:tcMar>
                    <w:top w:w="15" w:type="dxa"/>
                    <w:left w:w="15" w:type="dxa"/>
                    <w:bottom w:w="0" w:type="dxa"/>
                    <w:right w:w="15" w:type="dxa"/>
                  </w:tcMar>
                  <w:vAlign w:val="center"/>
                </w:tcPr>
                <w:p w14:paraId="6EC18A9B">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修井机</w:t>
                  </w:r>
                </w:p>
              </w:tc>
              <w:tc>
                <w:tcPr>
                  <w:tcW w:w="964" w:type="pct"/>
                  <w:tcBorders>
                    <w:tl2br w:val="nil"/>
                    <w:tr2bl w:val="nil"/>
                  </w:tcBorders>
                  <w:tcMar>
                    <w:top w:w="15" w:type="dxa"/>
                    <w:left w:w="15" w:type="dxa"/>
                    <w:bottom w:w="0" w:type="dxa"/>
                    <w:right w:w="15" w:type="dxa"/>
                  </w:tcMar>
                  <w:vAlign w:val="center"/>
                </w:tcPr>
                <w:p w14:paraId="6562A04E">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XJ350</w:t>
                  </w:r>
                </w:p>
              </w:tc>
              <w:tc>
                <w:tcPr>
                  <w:tcW w:w="495" w:type="pct"/>
                  <w:tcBorders>
                    <w:tl2br w:val="nil"/>
                    <w:tr2bl w:val="nil"/>
                  </w:tcBorders>
                  <w:vAlign w:val="center"/>
                </w:tcPr>
                <w:p w14:paraId="234F4E7D">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600</w:t>
                  </w:r>
                </w:p>
              </w:tc>
              <w:tc>
                <w:tcPr>
                  <w:tcW w:w="425" w:type="pct"/>
                  <w:tcBorders>
                    <w:tl2br w:val="nil"/>
                    <w:tr2bl w:val="nil"/>
                  </w:tcBorders>
                  <w:vAlign w:val="center"/>
                </w:tcPr>
                <w:p w14:paraId="27EC1DCA">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KN</w:t>
                  </w:r>
                </w:p>
              </w:tc>
              <w:tc>
                <w:tcPr>
                  <w:tcW w:w="361" w:type="pct"/>
                  <w:tcBorders>
                    <w:tl2br w:val="nil"/>
                    <w:tr2bl w:val="nil"/>
                  </w:tcBorders>
                  <w:vAlign w:val="center"/>
                </w:tcPr>
                <w:p w14:paraId="526F831F">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tcBorders>
                    <w:tl2br w:val="nil"/>
                    <w:tr2bl w:val="nil"/>
                  </w:tcBorders>
                  <w:tcMar>
                    <w:top w:w="15" w:type="dxa"/>
                    <w:left w:w="15" w:type="dxa"/>
                    <w:bottom w:w="0" w:type="dxa"/>
                    <w:right w:w="15" w:type="dxa"/>
                  </w:tcMar>
                  <w:vAlign w:val="center"/>
                </w:tcPr>
                <w:p w14:paraId="591F7C0B">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起下油管等</w:t>
                  </w:r>
                </w:p>
              </w:tc>
            </w:tr>
            <w:tr w14:paraId="60DF81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2300504B">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028" w:type="pct"/>
                  <w:tcBorders>
                    <w:tl2br w:val="nil"/>
                    <w:tr2bl w:val="nil"/>
                  </w:tcBorders>
                  <w:tcMar>
                    <w:top w:w="15" w:type="dxa"/>
                    <w:left w:w="15" w:type="dxa"/>
                    <w:bottom w:w="0" w:type="dxa"/>
                    <w:right w:w="15" w:type="dxa"/>
                  </w:tcMar>
                  <w:vAlign w:val="center"/>
                </w:tcPr>
                <w:p w14:paraId="0ADA9388">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通井机</w:t>
                  </w:r>
                </w:p>
              </w:tc>
              <w:tc>
                <w:tcPr>
                  <w:tcW w:w="964" w:type="pct"/>
                  <w:tcBorders>
                    <w:tl2br w:val="nil"/>
                    <w:tr2bl w:val="nil"/>
                  </w:tcBorders>
                  <w:tcMar>
                    <w:top w:w="15" w:type="dxa"/>
                    <w:left w:w="15" w:type="dxa"/>
                    <w:bottom w:w="0" w:type="dxa"/>
                    <w:right w:w="15" w:type="dxa"/>
                  </w:tcMar>
                  <w:vAlign w:val="center"/>
                </w:tcPr>
                <w:p w14:paraId="0874972D">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XT-12</w:t>
                  </w:r>
                </w:p>
              </w:tc>
              <w:tc>
                <w:tcPr>
                  <w:tcW w:w="495" w:type="pct"/>
                  <w:tcBorders>
                    <w:tl2br w:val="nil"/>
                    <w:tr2bl w:val="nil"/>
                  </w:tcBorders>
                  <w:vAlign w:val="center"/>
                </w:tcPr>
                <w:p w14:paraId="7E500F48">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3000</w:t>
                  </w:r>
                </w:p>
              </w:tc>
              <w:tc>
                <w:tcPr>
                  <w:tcW w:w="425" w:type="pct"/>
                  <w:tcBorders>
                    <w:tl2br w:val="nil"/>
                    <w:tr2bl w:val="nil"/>
                  </w:tcBorders>
                  <w:vAlign w:val="center"/>
                </w:tcPr>
                <w:p w14:paraId="77E505E3">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p>
              </w:tc>
              <w:tc>
                <w:tcPr>
                  <w:tcW w:w="361" w:type="pct"/>
                  <w:tcBorders>
                    <w:tl2br w:val="nil"/>
                    <w:tr2bl w:val="nil"/>
                  </w:tcBorders>
                  <w:vAlign w:val="center"/>
                </w:tcPr>
                <w:p w14:paraId="03B86C5B">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tcBorders>
                    <w:tl2br w:val="nil"/>
                    <w:tr2bl w:val="nil"/>
                  </w:tcBorders>
                  <w:tcMar>
                    <w:top w:w="15" w:type="dxa"/>
                    <w:left w:w="15" w:type="dxa"/>
                    <w:bottom w:w="0" w:type="dxa"/>
                    <w:right w:w="15" w:type="dxa"/>
                  </w:tcMar>
                  <w:vAlign w:val="center"/>
                </w:tcPr>
                <w:p w14:paraId="3068929E">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抽汲</w:t>
                  </w:r>
                </w:p>
              </w:tc>
            </w:tr>
            <w:tr w14:paraId="7F6BC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558C4104">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028" w:type="pct"/>
                  <w:tcBorders>
                    <w:tl2br w:val="nil"/>
                    <w:tr2bl w:val="nil"/>
                  </w:tcBorders>
                  <w:tcMar>
                    <w:top w:w="15" w:type="dxa"/>
                    <w:left w:w="15" w:type="dxa"/>
                    <w:bottom w:w="0" w:type="dxa"/>
                    <w:right w:w="15" w:type="dxa"/>
                  </w:tcMar>
                  <w:vAlign w:val="center"/>
                </w:tcPr>
                <w:p w14:paraId="431B86E9">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压裂车</w:t>
                  </w:r>
                </w:p>
              </w:tc>
              <w:tc>
                <w:tcPr>
                  <w:tcW w:w="964" w:type="pct"/>
                  <w:tcBorders>
                    <w:tl2br w:val="nil"/>
                    <w:tr2bl w:val="nil"/>
                  </w:tcBorders>
                  <w:tcMar>
                    <w:top w:w="15" w:type="dxa"/>
                    <w:left w:w="15" w:type="dxa"/>
                    <w:bottom w:w="0" w:type="dxa"/>
                    <w:right w:w="15" w:type="dxa"/>
                  </w:tcMar>
                  <w:vAlign w:val="center"/>
                </w:tcPr>
                <w:p w14:paraId="0B60A030">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YLC105-1490</w:t>
                  </w:r>
                </w:p>
              </w:tc>
              <w:tc>
                <w:tcPr>
                  <w:tcW w:w="495" w:type="pct"/>
                  <w:tcBorders>
                    <w:tl2br w:val="nil"/>
                    <w:tr2bl w:val="nil"/>
                  </w:tcBorders>
                  <w:vAlign w:val="center"/>
                </w:tcPr>
                <w:p w14:paraId="3C7BF08D">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w:t>
                  </w:r>
                </w:p>
              </w:tc>
              <w:tc>
                <w:tcPr>
                  <w:tcW w:w="425" w:type="pct"/>
                  <w:tcBorders>
                    <w:tl2br w:val="nil"/>
                    <w:tr2bl w:val="nil"/>
                  </w:tcBorders>
                  <w:vAlign w:val="center"/>
                </w:tcPr>
                <w:p w14:paraId="5CBCD625">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MPa</w:t>
                  </w:r>
                </w:p>
              </w:tc>
              <w:tc>
                <w:tcPr>
                  <w:tcW w:w="361" w:type="pct"/>
                  <w:tcBorders>
                    <w:tl2br w:val="nil"/>
                    <w:tr2bl w:val="nil"/>
                  </w:tcBorders>
                  <w:vAlign w:val="center"/>
                </w:tcPr>
                <w:p w14:paraId="14B1EF2E">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298" w:type="pct"/>
                  <w:vMerge w:val="restart"/>
                  <w:tcBorders>
                    <w:tl2br w:val="nil"/>
                    <w:tr2bl w:val="nil"/>
                  </w:tcBorders>
                  <w:tcMar>
                    <w:top w:w="15" w:type="dxa"/>
                    <w:left w:w="15" w:type="dxa"/>
                    <w:bottom w:w="0" w:type="dxa"/>
                    <w:right w:w="15" w:type="dxa"/>
                  </w:tcMar>
                  <w:vAlign w:val="center"/>
                </w:tcPr>
                <w:p w14:paraId="2354580F">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压裂车组</w:t>
                  </w:r>
                </w:p>
              </w:tc>
            </w:tr>
            <w:tr w14:paraId="2BF8B8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58AEAB54">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028" w:type="pct"/>
                  <w:tcBorders>
                    <w:tl2br w:val="nil"/>
                    <w:tr2bl w:val="nil"/>
                  </w:tcBorders>
                  <w:tcMar>
                    <w:top w:w="15" w:type="dxa"/>
                    <w:left w:w="15" w:type="dxa"/>
                    <w:bottom w:w="0" w:type="dxa"/>
                    <w:right w:w="15" w:type="dxa"/>
                  </w:tcMar>
                  <w:vAlign w:val="center"/>
                </w:tcPr>
                <w:p w14:paraId="3A0107FD">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混砂车</w:t>
                  </w:r>
                </w:p>
              </w:tc>
              <w:tc>
                <w:tcPr>
                  <w:tcW w:w="964" w:type="pct"/>
                  <w:tcBorders>
                    <w:tl2br w:val="nil"/>
                    <w:tr2bl w:val="nil"/>
                  </w:tcBorders>
                  <w:tcMar>
                    <w:top w:w="15" w:type="dxa"/>
                    <w:left w:w="15" w:type="dxa"/>
                    <w:bottom w:w="0" w:type="dxa"/>
                    <w:right w:w="15" w:type="dxa"/>
                  </w:tcMar>
                  <w:vAlign w:val="center"/>
                </w:tcPr>
                <w:p w14:paraId="4B45D891">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HSC360</w:t>
                  </w:r>
                </w:p>
              </w:tc>
              <w:tc>
                <w:tcPr>
                  <w:tcW w:w="495" w:type="pct"/>
                  <w:tcBorders>
                    <w:tl2br w:val="nil"/>
                    <w:tr2bl w:val="nil"/>
                  </w:tcBorders>
                  <w:vAlign w:val="center"/>
                </w:tcPr>
                <w:p w14:paraId="5012577C">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425" w:type="pct"/>
                  <w:tcBorders>
                    <w:tl2br w:val="nil"/>
                    <w:tr2bl w:val="nil"/>
                  </w:tcBorders>
                  <w:vAlign w:val="center"/>
                </w:tcPr>
                <w:p w14:paraId="758E9DA4">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361" w:type="pct"/>
                  <w:tcBorders>
                    <w:tl2br w:val="nil"/>
                    <w:tr2bl w:val="nil"/>
                  </w:tcBorders>
                  <w:vAlign w:val="center"/>
                </w:tcPr>
                <w:p w14:paraId="24218E54">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vMerge w:val="continue"/>
                  <w:tcBorders>
                    <w:tl2br w:val="nil"/>
                    <w:tr2bl w:val="nil"/>
                  </w:tcBorders>
                  <w:tcMar>
                    <w:top w:w="15" w:type="dxa"/>
                    <w:left w:w="15" w:type="dxa"/>
                    <w:bottom w:w="0" w:type="dxa"/>
                    <w:right w:w="15" w:type="dxa"/>
                  </w:tcMar>
                  <w:vAlign w:val="center"/>
                </w:tcPr>
                <w:p w14:paraId="16834DE6">
                  <w:pPr>
                    <w:pStyle w:val="17"/>
                    <w:jc w:val="center"/>
                    <w:rPr>
                      <w:rFonts w:hint="default" w:ascii="Times New Roman" w:hAnsi="Times New Roman" w:eastAsia="宋体" w:cs="Times New Roman"/>
                      <w:color w:val="auto"/>
                      <w:sz w:val="21"/>
                      <w:szCs w:val="21"/>
                    </w:rPr>
                  </w:pPr>
                </w:p>
              </w:tc>
            </w:tr>
            <w:tr w14:paraId="206A9B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002799C2">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028" w:type="pct"/>
                  <w:tcBorders>
                    <w:tl2br w:val="nil"/>
                    <w:tr2bl w:val="nil"/>
                  </w:tcBorders>
                  <w:tcMar>
                    <w:top w:w="15" w:type="dxa"/>
                    <w:left w:w="15" w:type="dxa"/>
                    <w:bottom w:w="0" w:type="dxa"/>
                    <w:right w:w="15" w:type="dxa"/>
                  </w:tcMar>
                  <w:vAlign w:val="center"/>
                </w:tcPr>
                <w:p w14:paraId="1FA6FF15">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仪表车</w:t>
                  </w:r>
                </w:p>
              </w:tc>
              <w:tc>
                <w:tcPr>
                  <w:tcW w:w="964" w:type="pct"/>
                  <w:tcBorders>
                    <w:tl2br w:val="nil"/>
                    <w:tr2bl w:val="nil"/>
                  </w:tcBorders>
                  <w:tcMar>
                    <w:top w:w="15" w:type="dxa"/>
                    <w:left w:w="15" w:type="dxa"/>
                    <w:bottom w:w="0" w:type="dxa"/>
                    <w:right w:w="15" w:type="dxa"/>
                  </w:tcMar>
                  <w:vAlign w:val="center"/>
                </w:tcPr>
                <w:p w14:paraId="5486EB2D">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95" w:type="pct"/>
                  <w:tcBorders>
                    <w:tl2br w:val="nil"/>
                    <w:tr2bl w:val="nil"/>
                  </w:tcBorders>
                  <w:vAlign w:val="center"/>
                </w:tcPr>
                <w:p w14:paraId="23F882BC">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25" w:type="pct"/>
                  <w:tcBorders>
                    <w:tl2br w:val="nil"/>
                    <w:tr2bl w:val="nil"/>
                  </w:tcBorders>
                  <w:vAlign w:val="center"/>
                </w:tcPr>
                <w:p w14:paraId="56389D33">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61" w:type="pct"/>
                  <w:tcBorders>
                    <w:tl2br w:val="nil"/>
                    <w:tr2bl w:val="nil"/>
                  </w:tcBorders>
                  <w:vAlign w:val="center"/>
                </w:tcPr>
                <w:p w14:paraId="1D9D0361">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vMerge w:val="continue"/>
                  <w:tcBorders>
                    <w:tl2br w:val="nil"/>
                    <w:tr2bl w:val="nil"/>
                  </w:tcBorders>
                  <w:tcMar>
                    <w:top w:w="15" w:type="dxa"/>
                    <w:left w:w="15" w:type="dxa"/>
                    <w:bottom w:w="0" w:type="dxa"/>
                    <w:right w:w="15" w:type="dxa"/>
                  </w:tcMar>
                  <w:vAlign w:val="center"/>
                </w:tcPr>
                <w:p w14:paraId="5358933C">
                  <w:pPr>
                    <w:pStyle w:val="17"/>
                    <w:jc w:val="center"/>
                    <w:rPr>
                      <w:rFonts w:hint="default" w:ascii="Times New Roman" w:hAnsi="Times New Roman" w:eastAsia="宋体" w:cs="Times New Roman"/>
                      <w:color w:val="auto"/>
                      <w:sz w:val="21"/>
                      <w:szCs w:val="21"/>
                    </w:rPr>
                  </w:pPr>
                </w:p>
              </w:tc>
            </w:tr>
            <w:tr w14:paraId="4B13AC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2A73E260">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028" w:type="pct"/>
                  <w:tcBorders>
                    <w:tl2br w:val="nil"/>
                    <w:tr2bl w:val="nil"/>
                  </w:tcBorders>
                  <w:tcMar>
                    <w:top w:w="15" w:type="dxa"/>
                    <w:left w:w="15" w:type="dxa"/>
                    <w:bottom w:w="0" w:type="dxa"/>
                    <w:right w:w="15" w:type="dxa"/>
                  </w:tcMar>
                  <w:vAlign w:val="center"/>
                </w:tcPr>
                <w:p w14:paraId="60D7455B">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管汇车</w:t>
                  </w:r>
                </w:p>
              </w:tc>
              <w:tc>
                <w:tcPr>
                  <w:tcW w:w="964" w:type="pct"/>
                  <w:tcBorders>
                    <w:tl2br w:val="nil"/>
                    <w:tr2bl w:val="nil"/>
                  </w:tcBorders>
                  <w:tcMar>
                    <w:top w:w="15" w:type="dxa"/>
                    <w:left w:w="15" w:type="dxa"/>
                    <w:bottom w:w="0" w:type="dxa"/>
                    <w:right w:w="15" w:type="dxa"/>
                  </w:tcMar>
                  <w:vAlign w:val="center"/>
                </w:tcPr>
                <w:p w14:paraId="1931450B">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GHC105</w:t>
                  </w:r>
                </w:p>
              </w:tc>
              <w:tc>
                <w:tcPr>
                  <w:tcW w:w="495" w:type="pct"/>
                  <w:tcBorders>
                    <w:tl2br w:val="nil"/>
                    <w:tr2bl w:val="nil"/>
                  </w:tcBorders>
                  <w:vAlign w:val="center"/>
                </w:tcPr>
                <w:p w14:paraId="623D2DDE">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25" w:type="pct"/>
                  <w:tcBorders>
                    <w:tl2br w:val="nil"/>
                    <w:tr2bl w:val="nil"/>
                  </w:tcBorders>
                  <w:vAlign w:val="center"/>
                </w:tcPr>
                <w:p w14:paraId="66F1BF3A">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61" w:type="pct"/>
                  <w:tcBorders>
                    <w:tl2br w:val="nil"/>
                    <w:tr2bl w:val="nil"/>
                  </w:tcBorders>
                  <w:vAlign w:val="center"/>
                </w:tcPr>
                <w:p w14:paraId="507FD318">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vMerge w:val="continue"/>
                  <w:tcBorders>
                    <w:tl2br w:val="nil"/>
                    <w:tr2bl w:val="nil"/>
                  </w:tcBorders>
                  <w:tcMar>
                    <w:top w:w="15" w:type="dxa"/>
                    <w:left w:w="15" w:type="dxa"/>
                    <w:bottom w:w="0" w:type="dxa"/>
                    <w:right w:w="15" w:type="dxa"/>
                  </w:tcMar>
                  <w:vAlign w:val="center"/>
                </w:tcPr>
                <w:p w14:paraId="26F2B5BF">
                  <w:pPr>
                    <w:pStyle w:val="17"/>
                    <w:jc w:val="center"/>
                    <w:rPr>
                      <w:rFonts w:hint="default" w:ascii="Times New Roman" w:hAnsi="Times New Roman" w:eastAsia="宋体" w:cs="Times New Roman"/>
                      <w:color w:val="auto"/>
                      <w:sz w:val="21"/>
                      <w:szCs w:val="21"/>
                    </w:rPr>
                  </w:pPr>
                </w:p>
              </w:tc>
            </w:tr>
            <w:tr w14:paraId="4AE974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1A5B786D">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028" w:type="pct"/>
                  <w:tcBorders>
                    <w:tl2br w:val="nil"/>
                    <w:tr2bl w:val="nil"/>
                  </w:tcBorders>
                  <w:tcMar>
                    <w:top w:w="15" w:type="dxa"/>
                    <w:left w:w="15" w:type="dxa"/>
                    <w:bottom w:w="0" w:type="dxa"/>
                    <w:right w:w="15" w:type="dxa"/>
                  </w:tcMar>
                  <w:vAlign w:val="center"/>
                </w:tcPr>
                <w:p w14:paraId="5B3ECFDB">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水泥车</w:t>
                  </w:r>
                </w:p>
              </w:tc>
              <w:tc>
                <w:tcPr>
                  <w:tcW w:w="964" w:type="pct"/>
                  <w:tcBorders>
                    <w:tl2br w:val="nil"/>
                    <w:tr2bl w:val="nil"/>
                  </w:tcBorders>
                  <w:tcMar>
                    <w:top w:w="15" w:type="dxa"/>
                    <w:left w:w="15" w:type="dxa"/>
                    <w:bottom w:w="0" w:type="dxa"/>
                    <w:right w:w="15" w:type="dxa"/>
                  </w:tcMar>
                  <w:vAlign w:val="center"/>
                </w:tcPr>
                <w:p w14:paraId="26C4AB68">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YLC70-450</w:t>
                  </w:r>
                </w:p>
              </w:tc>
              <w:tc>
                <w:tcPr>
                  <w:tcW w:w="495" w:type="pct"/>
                  <w:tcBorders>
                    <w:tl2br w:val="nil"/>
                    <w:tr2bl w:val="nil"/>
                  </w:tcBorders>
                  <w:vAlign w:val="center"/>
                </w:tcPr>
                <w:p w14:paraId="391F2933">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425" w:type="pct"/>
                  <w:tcBorders>
                    <w:tl2br w:val="nil"/>
                    <w:tr2bl w:val="nil"/>
                  </w:tcBorders>
                  <w:vAlign w:val="center"/>
                </w:tcPr>
                <w:p w14:paraId="59291EC2">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MPa</w:t>
                  </w:r>
                </w:p>
              </w:tc>
              <w:tc>
                <w:tcPr>
                  <w:tcW w:w="361" w:type="pct"/>
                  <w:tcBorders>
                    <w:tl2br w:val="nil"/>
                    <w:tr2bl w:val="nil"/>
                  </w:tcBorders>
                  <w:vAlign w:val="center"/>
                </w:tcPr>
                <w:p w14:paraId="00B9FA7B">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tcBorders>
                    <w:tl2br w:val="nil"/>
                    <w:tr2bl w:val="nil"/>
                  </w:tcBorders>
                  <w:tcMar>
                    <w:top w:w="15" w:type="dxa"/>
                    <w:left w:w="15" w:type="dxa"/>
                    <w:bottom w:w="0" w:type="dxa"/>
                    <w:right w:w="15" w:type="dxa"/>
                  </w:tcMar>
                  <w:vAlign w:val="center"/>
                </w:tcPr>
                <w:p w14:paraId="04B10CC4">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05D845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07877C18">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028" w:type="pct"/>
                  <w:tcBorders>
                    <w:tl2br w:val="nil"/>
                    <w:tr2bl w:val="nil"/>
                  </w:tcBorders>
                  <w:tcMar>
                    <w:top w:w="15" w:type="dxa"/>
                    <w:left w:w="15" w:type="dxa"/>
                    <w:bottom w:w="0" w:type="dxa"/>
                    <w:right w:w="15" w:type="dxa"/>
                  </w:tcMar>
                  <w:vAlign w:val="center"/>
                </w:tcPr>
                <w:p w14:paraId="7FE1EDEC">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水罐车</w:t>
                  </w:r>
                </w:p>
              </w:tc>
              <w:tc>
                <w:tcPr>
                  <w:tcW w:w="964" w:type="pct"/>
                  <w:tcBorders>
                    <w:tl2br w:val="nil"/>
                    <w:tr2bl w:val="nil"/>
                  </w:tcBorders>
                  <w:tcMar>
                    <w:top w:w="15" w:type="dxa"/>
                    <w:left w:w="15" w:type="dxa"/>
                    <w:bottom w:w="0" w:type="dxa"/>
                    <w:right w:w="15" w:type="dxa"/>
                  </w:tcMar>
                  <w:vAlign w:val="center"/>
                </w:tcPr>
                <w:p w14:paraId="7131F752">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95" w:type="pct"/>
                  <w:tcBorders>
                    <w:tl2br w:val="nil"/>
                    <w:tr2bl w:val="nil"/>
                  </w:tcBorders>
                  <w:vAlign w:val="center"/>
                </w:tcPr>
                <w:p w14:paraId="365C9487">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425" w:type="pct"/>
                  <w:tcBorders>
                    <w:tl2br w:val="nil"/>
                    <w:tr2bl w:val="nil"/>
                  </w:tcBorders>
                  <w:vAlign w:val="center"/>
                </w:tcPr>
                <w:p w14:paraId="1D99C885">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361" w:type="pct"/>
                  <w:tcBorders>
                    <w:tl2br w:val="nil"/>
                    <w:tr2bl w:val="nil"/>
                  </w:tcBorders>
                  <w:vAlign w:val="center"/>
                </w:tcPr>
                <w:p w14:paraId="7EC099A6">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298" w:type="pct"/>
                  <w:tcBorders>
                    <w:tl2br w:val="nil"/>
                    <w:tr2bl w:val="nil"/>
                  </w:tcBorders>
                  <w:tcMar>
                    <w:top w:w="15" w:type="dxa"/>
                    <w:left w:w="15" w:type="dxa"/>
                    <w:bottom w:w="0" w:type="dxa"/>
                    <w:right w:w="15" w:type="dxa"/>
                  </w:tcMar>
                  <w:vAlign w:val="center"/>
                </w:tcPr>
                <w:p w14:paraId="00FF3638">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7CEC97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15856B86">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028" w:type="pct"/>
                  <w:tcBorders>
                    <w:tl2br w:val="nil"/>
                    <w:tr2bl w:val="nil"/>
                  </w:tcBorders>
                  <w:tcMar>
                    <w:top w:w="15" w:type="dxa"/>
                    <w:left w:w="15" w:type="dxa"/>
                    <w:bottom w:w="0" w:type="dxa"/>
                    <w:right w:w="15" w:type="dxa"/>
                  </w:tcMar>
                  <w:vAlign w:val="center"/>
                </w:tcPr>
                <w:p w14:paraId="70F7E432">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双闸板防喷器</w:t>
                  </w:r>
                </w:p>
              </w:tc>
              <w:tc>
                <w:tcPr>
                  <w:tcW w:w="964" w:type="pct"/>
                  <w:tcBorders>
                    <w:tl2br w:val="nil"/>
                    <w:tr2bl w:val="nil"/>
                  </w:tcBorders>
                  <w:tcMar>
                    <w:top w:w="15" w:type="dxa"/>
                    <w:left w:w="15" w:type="dxa"/>
                    <w:bottom w:w="0" w:type="dxa"/>
                    <w:right w:w="15" w:type="dxa"/>
                  </w:tcMar>
                  <w:vAlign w:val="center"/>
                </w:tcPr>
                <w:p w14:paraId="571A15B0">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2FZ18-35</w:t>
                  </w:r>
                </w:p>
              </w:tc>
              <w:tc>
                <w:tcPr>
                  <w:tcW w:w="495" w:type="pct"/>
                  <w:tcBorders>
                    <w:tl2br w:val="nil"/>
                    <w:tr2bl w:val="nil"/>
                  </w:tcBorders>
                  <w:vAlign w:val="center"/>
                </w:tcPr>
                <w:p w14:paraId="42B8DE7F">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425" w:type="pct"/>
                  <w:tcBorders>
                    <w:tl2br w:val="nil"/>
                    <w:tr2bl w:val="nil"/>
                  </w:tcBorders>
                  <w:vAlign w:val="center"/>
                </w:tcPr>
                <w:p w14:paraId="20DEE00B">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MPa</w:t>
                  </w:r>
                </w:p>
              </w:tc>
              <w:tc>
                <w:tcPr>
                  <w:tcW w:w="361" w:type="pct"/>
                  <w:tcBorders>
                    <w:tl2br w:val="nil"/>
                    <w:tr2bl w:val="nil"/>
                  </w:tcBorders>
                  <w:vAlign w:val="center"/>
                </w:tcPr>
                <w:p w14:paraId="5E626299">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vMerge w:val="restart"/>
                  <w:tcBorders>
                    <w:tl2br w:val="nil"/>
                    <w:tr2bl w:val="nil"/>
                  </w:tcBorders>
                  <w:tcMar>
                    <w:top w:w="15" w:type="dxa"/>
                    <w:left w:w="15" w:type="dxa"/>
                    <w:bottom w:w="0" w:type="dxa"/>
                    <w:right w:w="15" w:type="dxa"/>
                  </w:tcMar>
                  <w:vAlign w:val="center"/>
                </w:tcPr>
                <w:p w14:paraId="7D692BE4">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井控系统，防止井喷</w:t>
                  </w:r>
                </w:p>
              </w:tc>
            </w:tr>
            <w:tr w14:paraId="027680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604BA682">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028" w:type="pct"/>
                  <w:tcBorders>
                    <w:tl2br w:val="nil"/>
                    <w:tr2bl w:val="nil"/>
                  </w:tcBorders>
                  <w:tcMar>
                    <w:top w:w="15" w:type="dxa"/>
                    <w:left w:w="15" w:type="dxa"/>
                    <w:bottom w:w="0" w:type="dxa"/>
                    <w:right w:w="15" w:type="dxa"/>
                  </w:tcMar>
                  <w:vAlign w:val="center"/>
                </w:tcPr>
                <w:p w14:paraId="7EC64E8D">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控制系统</w:t>
                  </w:r>
                </w:p>
              </w:tc>
              <w:tc>
                <w:tcPr>
                  <w:tcW w:w="964" w:type="pct"/>
                  <w:tcBorders>
                    <w:tl2br w:val="nil"/>
                    <w:tr2bl w:val="nil"/>
                  </w:tcBorders>
                  <w:tcMar>
                    <w:top w:w="15" w:type="dxa"/>
                    <w:left w:w="15" w:type="dxa"/>
                    <w:bottom w:w="0" w:type="dxa"/>
                    <w:right w:w="15" w:type="dxa"/>
                  </w:tcMar>
                  <w:vAlign w:val="center"/>
                </w:tcPr>
                <w:p w14:paraId="5F5CAC9A">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FK-125</w:t>
                  </w:r>
                </w:p>
              </w:tc>
              <w:tc>
                <w:tcPr>
                  <w:tcW w:w="495" w:type="pct"/>
                  <w:tcBorders>
                    <w:tl2br w:val="nil"/>
                    <w:tr2bl w:val="nil"/>
                  </w:tcBorders>
                  <w:vAlign w:val="center"/>
                </w:tcPr>
                <w:p w14:paraId="6E1DD305">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425" w:type="pct"/>
                  <w:tcBorders>
                    <w:tl2br w:val="nil"/>
                    <w:tr2bl w:val="nil"/>
                  </w:tcBorders>
                  <w:vAlign w:val="center"/>
                </w:tcPr>
                <w:p w14:paraId="659D0388">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MPa</w:t>
                  </w:r>
                </w:p>
              </w:tc>
              <w:tc>
                <w:tcPr>
                  <w:tcW w:w="361" w:type="pct"/>
                  <w:tcBorders>
                    <w:tl2br w:val="nil"/>
                    <w:tr2bl w:val="nil"/>
                  </w:tcBorders>
                  <w:vAlign w:val="center"/>
                </w:tcPr>
                <w:p w14:paraId="694C887D">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vMerge w:val="continue"/>
                  <w:tcBorders>
                    <w:tl2br w:val="nil"/>
                    <w:tr2bl w:val="nil"/>
                  </w:tcBorders>
                  <w:tcMar>
                    <w:top w:w="15" w:type="dxa"/>
                    <w:left w:w="15" w:type="dxa"/>
                    <w:bottom w:w="0" w:type="dxa"/>
                    <w:right w:w="15" w:type="dxa"/>
                  </w:tcMar>
                  <w:vAlign w:val="center"/>
                </w:tcPr>
                <w:p w14:paraId="7B50CF5F">
                  <w:pPr>
                    <w:pStyle w:val="17"/>
                    <w:jc w:val="center"/>
                    <w:rPr>
                      <w:rFonts w:hint="default" w:ascii="Times New Roman" w:hAnsi="Times New Roman" w:eastAsia="宋体" w:cs="Times New Roman"/>
                      <w:color w:val="auto"/>
                      <w:sz w:val="21"/>
                      <w:szCs w:val="21"/>
                    </w:rPr>
                  </w:pPr>
                </w:p>
              </w:tc>
            </w:tr>
            <w:tr w14:paraId="3A84C8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4F0F63EA">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028" w:type="pct"/>
                  <w:tcBorders>
                    <w:tl2br w:val="nil"/>
                    <w:tr2bl w:val="nil"/>
                  </w:tcBorders>
                  <w:tcMar>
                    <w:top w:w="15" w:type="dxa"/>
                    <w:left w:w="15" w:type="dxa"/>
                    <w:bottom w:w="0" w:type="dxa"/>
                    <w:right w:w="15" w:type="dxa"/>
                  </w:tcMar>
                  <w:vAlign w:val="center"/>
                </w:tcPr>
                <w:p w14:paraId="0181FCF1">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节流管汇</w:t>
                  </w:r>
                </w:p>
              </w:tc>
              <w:tc>
                <w:tcPr>
                  <w:tcW w:w="964" w:type="pct"/>
                  <w:tcBorders>
                    <w:tl2br w:val="nil"/>
                    <w:tr2bl w:val="nil"/>
                  </w:tcBorders>
                  <w:tcMar>
                    <w:top w:w="15" w:type="dxa"/>
                    <w:left w:w="15" w:type="dxa"/>
                    <w:bottom w:w="0" w:type="dxa"/>
                    <w:right w:w="15" w:type="dxa"/>
                  </w:tcMar>
                  <w:vAlign w:val="center"/>
                </w:tcPr>
                <w:p w14:paraId="48E98E1B">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JG35</w:t>
                  </w:r>
                </w:p>
              </w:tc>
              <w:tc>
                <w:tcPr>
                  <w:tcW w:w="495" w:type="pct"/>
                  <w:tcBorders>
                    <w:tl2br w:val="nil"/>
                    <w:tr2bl w:val="nil"/>
                  </w:tcBorders>
                  <w:vAlign w:val="center"/>
                </w:tcPr>
                <w:p w14:paraId="15898C4E">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425" w:type="pct"/>
                  <w:tcBorders>
                    <w:tl2br w:val="nil"/>
                    <w:tr2bl w:val="nil"/>
                  </w:tcBorders>
                  <w:vAlign w:val="center"/>
                </w:tcPr>
                <w:p w14:paraId="16EEAE6B">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MPa</w:t>
                  </w:r>
                </w:p>
              </w:tc>
              <w:tc>
                <w:tcPr>
                  <w:tcW w:w="361" w:type="pct"/>
                  <w:tcBorders>
                    <w:tl2br w:val="nil"/>
                    <w:tr2bl w:val="nil"/>
                  </w:tcBorders>
                  <w:vAlign w:val="center"/>
                </w:tcPr>
                <w:p w14:paraId="0EA25AF4">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vMerge w:val="continue"/>
                  <w:tcBorders>
                    <w:tl2br w:val="nil"/>
                    <w:tr2bl w:val="nil"/>
                  </w:tcBorders>
                  <w:tcMar>
                    <w:top w:w="15" w:type="dxa"/>
                    <w:left w:w="15" w:type="dxa"/>
                    <w:bottom w:w="0" w:type="dxa"/>
                    <w:right w:w="15" w:type="dxa"/>
                  </w:tcMar>
                  <w:vAlign w:val="center"/>
                </w:tcPr>
                <w:p w14:paraId="73DF0087">
                  <w:pPr>
                    <w:pStyle w:val="17"/>
                    <w:jc w:val="center"/>
                    <w:rPr>
                      <w:rFonts w:hint="default" w:ascii="Times New Roman" w:hAnsi="Times New Roman" w:eastAsia="宋体" w:cs="Times New Roman"/>
                      <w:color w:val="auto"/>
                      <w:sz w:val="21"/>
                      <w:szCs w:val="21"/>
                    </w:rPr>
                  </w:pPr>
                </w:p>
              </w:tc>
            </w:tr>
            <w:tr w14:paraId="659C42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432CB065">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028" w:type="pct"/>
                  <w:tcBorders>
                    <w:tl2br w:val="nil"/>
                    <w:tr2bl w:val="nil"/>
                  </w:tcBorders>
                  <w:tcMar>
                    <w:top w:w="15" w:type="dxa"/>
                    <w:left w:w="15" w:type="dxa"/>
                    <w:bottom w:w="0" w:type="dxa"/>
                    <w:right w:w="15" w:type="dxa"/>
                  </w:tcMar>
                  <w:vAlign w:val="center"/>
                </w:tcPr>
                <w:p w14:paraId="207993C4">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压井管汇</w:t>
                  </w:r>
                </w:p>
              </w:tc>
              <w:tc>
                <w:tcPr>
                  <w:tcW w:w="964" w:type="pct"/>
                  <w:tcBorders>
                    <w:tl2br w:val="nil"/>
                    <w:tr2bl w:val="nil"/>
                  </w:tcBorders>
                  <w:tcMar>
                    <w:top w:w="15" w:type="dxa"/>
                    <w:left w:w="15" w:type="dxa"/>
                    <w:bottom w:w="0" w:type="dxa"/>
                    <w:right w:w="15" w:type="dxa"/>
                  </w:tcMar>
                  <w:vAlign w:val="center"/>
                </w:tcPr>
                <w:p w14:paraId="41B57396">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YG35</w:t>
                  </w:r>
                </w:p>
              </w:tc>
              <w:tc>
                <w:tcPr>
                  <w:tcW w:w="495" w:type="pct"/>
                  <w:tcBorders>
                    <w:tl2br w:val="nil"/>
                    <w:tr2bl w:val="nil"/>
                  </w:tcBorders>
                  <w:vAlign w:val="center"/>
                </w:tcPr>
                <w:p w14:paraId="4D519E26">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425" w:type="pct"/>
                  <w:tcBorders>
                    <w:tl2br w:val="nil"/>
                    <w:tr2bl w:val="nil"/>
                  </w:tcBorders>
                  <w:vAlign w:val="center"/>
                </w:tcPr>
                <w:p w14:paraId="7C16DE3B">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MPa</w:t>
                  </w:r>
                </w:p>
              </w:tc>
              <w:tc>
                <w:tcPr>
                  <w:tcW w:w="361" w:type="pct"/>
                  <w:tcBorders>
                    <w:tl2br w:val="nil"/>
                    <w:tr2bl w:val="nil"/>
                  </w:tcBorders>
                  <w:vAlign w:val="center"/>
                </w:tcPr>
                <w:p w14:paraId="1AA8427A">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vMerge w:val="continue"/>
                  <w:tcBorders>
                    <w:tl2br w:val="nil"/>
                    <w:tr2bl w:val="nil"/>
                  </w:tcBorders>
                  <w:tcMar>
                    <w:top w:w="15" w:type="dxa"/>
                    <w:left w:w="15" w:type="dxa"/>
                    <w:bottom w:w="0" w:type="dxa"/>
                    <w:right w:w="15" w:type="dxa"/>
                  </w:tcMar>
                  <w:vAlign w:val="center"/>
                </w:tcPr>
                <w:p w14:paraId="04E06DFE">
                  <w:pPr>
                    <w:pStyle w:val="17"/>
                    <w:jc w:val="center"/>
                    <w:rPr>
                      <w:rFonts w:hint="default" w:ascii="Times New Roman" w:hAnsi="Times New Roman" w:eastAsia="宋体" w:cs="Times New Roman"/>
                      <w:color w:val="auto"/>
                      <w:sz w:val="21"/>
                      <w:szCs w:val="21"/>
                    </w:rPr>
                  </w:pPr>
                </w:p>
              </w:tc>
            </w:tr>
            <w:tr w14:paraId="21E86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5AA798BC">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028" w:type="pct"/>
                  <w:tcBorders>
                    <w:tl2br w:val="nil"/>
                    <w:tr2bl w:val="nil"/>
                  </w:tcBorders>
                  <w:tcMar>
                    <w:top w:w="15" w:type="dxa"/>
                    <w:left w:w="15" w:type="dxa"/>
                    <w:bottom w:w="0" w:type="dxa"/>
                    <w:right w:w="15" w:type="dxa"/>
                  </w:tcMar>
                  <w:vAlign w:val="center"/>
                </w:tcPr>
                <w:p w14:paraId="0041FB87">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油水计量罐</w:t>
                  </w:r>
                </w:p>
              </w:tc>
              <w:tc>
                <w:tcPr>
                  <w:tcW w:w="964" w:type="pct"/>
                  <w:tcBorders>
                    <w:tl2br w:val="nil"/>
                    <w:tr2bl w:val="nil"/>
                  </w:tcBorders>
                  <w:tcMar>
                    <w:top w:w="15" w:type="dxa"/>
                    <w:left w:w="15" w:type="dxa"/>
                    <w:bottom w:w="0" w:type="dxa"/>
                    <w:right w:w="15" w:type="dxa"/>
                  </w:tcMar>
                  <w:vAlign w:val="center"/>
                </w:tcPr>
                <w:p w14:paraId="19DBED78">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95" w:type="pct"/>
                  <w:tcBorders>
                    <w:tl2br w:val="nil"/>
                    <w:tr2bl w:val="nil"/>
                  </w:tcBorders>
                  <w:vAlign w:val="center"/>
                </w:tcPr>
                <w:p w14:paraId="7A2F5CAA">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425" w:type="pct"/>
                  <w:tcBorders>
                    <w:tl2br w:val="nil"/>
                    <w:tr2bl w:val="nil"/>
                  </w:tcBorders>
                  <w:vAlign w:val="center"/>
                </w:tcPr>
                <w:p w14:paraId="1BBD42BA">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361" w:type="pct"/>
                  <w:tcBorders>
                    <w:tl2br w:val="nil"/>
                    <w:tr2bl w:val="nil"/>
                  </w:tcBorders>
                  <w:vAlign w:val="center"/>
                </w:tcPr>
                <w:p w14:paraId="113793F6">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298" w:type="pct"/>
                  <w:tcBorders>
                    <w:tl2br w:val="nil"/>
                    <w:tr2bl w:val="nil"/>
                  </w:tcBorders>
                  <w:tcMar>
                    <w:top w:w="15" w:type="dxa"/>
                    <w:left w:w="15" w:type="dxa"/>
                    <w:bottom w:w="0" w:type="dxa"/>
                    <w:right w:w="15" w:type="dxa"/>
                  </w:tcMar>
                  <w:vAlign w:val="center"/>
                </w:tcPr>
                <w:p w14:paraId="05D08327">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408534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443360A0">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028" w:type="pct"/>
                  <w:tcBorders>
                    <w:tl2br w:val="nil"/>
                    <w:tr2bl w:val="nil"/>
                  </w:tcBorders>
                  <w:tcMar>
                    <w:top w:w="15" w:type="dxa"/>
                    <w:left w:w="15" w:type="dxa"/>
                    <w:bottom w:w="0" w:type="dxa"/>
                    <w:right w:w="15" w:type="dxa"/>
                  </w:tcMar>
                  <w:vAlign w:val="center"/>
                </w:tcPr>
                <w:p w14:paraId="34474E35">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油水计量小罐</w:t>
                  </w:r>
                </w:p>
              </w:tc>
              <w:tc>
                <w:tcPr>
                  <w:tcW w:w="964" w:type="pct"/>
                  <w:tcBorders>
                    <w:tl2br w:val="nil"/>
                    <w:tr2bl w:val="nil"/>
                  </w:tcBorders>
                  <w:tcMar>
                    <w:top w:w="15" w:type="dxa"/>
                    <w:left w:w="15" w:type="dxa"/>
                    <w:bottom w:w="0" w:type="dxa"/>
                    <w:right w:w="15" w:type="dxa"/>
                  </w:tcMar>
                  <w:vAlign w:val="center"/>
                </w:tcPr>
                <w:p w14:paraId="5A535359">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95" w:type="pct"/>
                  <w:tcBorders>
                    <w:tl2br w:val="nil"/>
                    <w:tr2bl w:val="nil"/>
                  </w:tcBorders>
                  <w:vAlign w:val="center"/>
                </w:tcPr>
                <w:p w14:paraId="2FE217EC">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425" w:type="pct"/>
                  <w:tcBorders>
                    <w:tl2br w:val="nil"/>
                    <w:tr2bl w:val="nil"/>
                  </w:tcBorders>
                  <w:vAlign w:val="center"/>
                </w:tcPr>
                <w:p w14:paraId="7C2CF09C">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361" w:type="pct"/>
                  <w:tcBorders>
                    <w:tl2br w:val="nil"/>
                    <w:tr2bl w:val="nil"/>
                  </w:tcBorders>
                  <w:vAlign w:val="center"/>
                </w:tcPr>
                <w:p w14:paraId="18B3EAFA">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tcBorders>
                    <w:tl2br w:val="nil"/>
                    <w:tr2bl w:val="nil"/>
                  </w:tcBorders>
                  <w:tcMar>
                    <w:top w:w="15" w:type="dxa"/>
                    <w:left w:w="15" w:type="dxa"/>
                    <w:bottom w:w="0" w:type="dxa"/>
                    <w:right w:w="15" w:type="dxa"/>
                  </w:tcMar>
                  <w:vAlign w:val="center"/>
                </w:tcPr>
                <w:p w14:paraId="56F8ECFB">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2C3158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378956DD">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028" w:type="pct"/>
                  <w:tcBorders>
                    <w:tl2br w:val="nil"/>
                    <w:tr2bl w:val="nil"/>
                  </w:tcBorders>
                  <w:tcMar>
                    <w:top w:w="15" w:type="dxa"/>
                    <w:left w:w="15" w:type="dxa"/>
                    <w:bottom w:w="0" w:type="dxa"/>
                    <w:right w:w="15" w:type="dxa"/>
                  </w:tcMar>
                  <w:vAlign w:val="center"/>
                </w:tcPr>
                <w:p w14:paraId="165601A2">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储液罐</w:t>
                  </w:r>
                </w:p>
              </w:tc>
              <w:tc>
                <w:tcPr>
                  <w:tcW w:w="964" w:type="pct"/>
                  <w:tcBorders>
                    <w:tl2br w:val="nil"/>
                    <w:tr2bl w:val="nil"/>
                  </w:tcBorders>
                  <w:tcMar>
                    <w:top w:w="15" w:type="dxa"/>
                    <w:left w:w="15" w:type="dxa"/>
                    <w:bottom w:w="0" w:type="dxa"/>
                    <w:right w:w="15" w:type="dxa"/>
                  </w:tcMar>
                  <w:vAlign w:val="center"/>
                </w:tcPr>
                <w:p w14:paraId="3E2F4771">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95" w:type="pct"/>
                  <w:tcBorders>
                    <w:tl2br w:val="nil"/>
                    <w:tr2bl w:val="nil"/>
                  </w:tcBorders>
                  <w:vAlign w:val="center"/>
                </w:tcPr>
                <w:p w14:paraId="0A4069B5">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425" w:type="pct"/>
                  <w:tcBorders>
                    <w:tl2br w:val="nil"/>
                    <w:tr2bl w:val="nil"/>
                  </w:tcBorders>
                  <w:vAlign w:val="center"/>
                </w:tcPr>
                <w:p w14:paraId="62060966">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361" w:type="pct"/>
                  <w:tcBorders>
                    <w:tl2br w:val="nil"/>
                    <w:tr2bl w:val="nil"/>
                  </w:tcBorders>
                  <w:vAlign w:val="center"/>
                </w:tcPr>
                <w:p w14:paraId="4925806A">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tcBorders>
                    <w:tl2br w:val="nil"/>
                    <w:tr2bl w:val="nil"/>
                  </w:tcBorders>
                  <w:tcMar>
                    <w:top w:w="15" w:type="dxa"/>
                    <w:left w:w="15" w:type="dxa"/>
                    <w:bottom w:w="0" w:type="dxa"/>
                    <w:right w:w="15" w:type="dxa"/>
                  </w:tcMar>
                  <w:vAlign w:val="center"/>
                </w:tcPr>
                <w:p w14:paraId="7D111180">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20D694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5B72A588">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1028" w:type="pct"/>
                  <w:tcBorders>
                    <w:tl2br w:val="nil"/>
                    <w:tr2bl w:val="nil"/>
                  </w:tcBorders>
                  <w:tcMar>
                    <w:top w:w="15" w:type="dxa"/>
                    <w:left w:w="15" w:type="dxa"/>
                    <w:bottom w:w="0" w:type="dxa"/>
                    <w:right w:w="15" w:type="dxa"/>
                  </w:tcMar>
                  <w:vAlign w:val="center"/>
                </w:tcPr>
                <w:p w14:paraId="73BEAFDE">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压裂液立罐</w:t>
                  </w:r>
                </w:p>
              </w:tc>
              <w:tc>
                <w:tcPr>
                  <w:tcW w:w="964" w:type="pct"/>
                  <w:tcBorders>
                    <w:tl2br w:val="nil"/>
                    <w:tr2bl w:val="nil"/>
                  </w:tcBorders>
                  <w:tcMar>
                    <w:top w:w="15" w:type="dxa"/>
                    <w:left w:w="15" w:type="dxa"/>
                    <w:bottom w:w="0" w:type="dxa"/>
                    <w:right w:w="15" w:type="dxa"/>
                  </w:tcMar>
                  <w:vAlign w:val="center"/>
                </w:tcPr>
                <w:p w14:paraId="0FCF9EB8">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95" w:type="pct"/>
                  <w:tcBorders>
                    <w:tl2br w:val="nil"/>
                    <w:tr2bl w:val="nil"/>
                  </w:tcBorders>
                  <w:vAlign w:val="center"/>
                </w:tcPr>
                <w:p w14:paraId="057DAA92">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425" w:type="pct"/>
                  <w:tcBorders>
                    <w:tl2br w:val="nil"/>
                    <w:tr2bl w:val="nil"/>
                  </w:tcBorders>
                  <w:vAlign w:val="center"/>
                </w:tcPr>
                <w:p w14:paraId="7B67C950">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361" w:type="pct"/>
                  <w:tcBorders>
                    <w:tl2br w:val="nil"/>
                    <w:tr2bl w:val="nil"/>
                  </w:tcBorders>
                  <w:vAlign w:val="center"/>
                </w:tcPr>
                <w:p w14:paraId="6622D7C1">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tcBorders>
                    <w:tl2br w:val="nil"/>
                    <w:tr2bl w:val="nil"/>
                  </w:tcBorders>
                  <w:tcMar>
                    <w:top w:w="15" w:type="dxa"/>
                    <w:left w:w="15" w:type="dxa"/>
                    <w:bottom w:w="0" w:type="dxa"/>
                    <w:right w:w="15" w:type="dxa"/>
                  </w:tcMar>
                  <w:vAlign w:val="center"/>
                </w:tcPr>
                <w:p w14:paraId="574EB33E">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4BD482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43C86840">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1028" w:type="pct"/>
                  <w:tcBorders>
                    <w:tl2br w:val="nil"/>
                    <w:tr2bl w:val="nil"/>
                  </w:tcBorders>
                  <w:tcMar>
                    <w:top w:w="15" w:type="dxa"/>
                    <w:left w:w="15" w:type="dxa"/>
                    <w:bottom w:w="0" w:type="dxa"/>
                    <w:right w:w="15" w:type="dxa"/>
                  </w:tcMar>
                  <w:vAlign w:val="center"/>
                </w:tcPr>
                <w:p w14:paraId="78F919A5">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发电机</w:t>
                  </w:r>
                </w:p>
              </w:tc>
              <w:tc>
                <w:tcPr>
                  <w:tcW w:w="964" w:type="pct"/>
                  <w:tcBorders>
                    <w:tl2br w:val="nil"/>
                    <w:tr2bl w:val="nil"/>
                  </w:tcBorders>
                  <w:tcMar>
                    <w:top w:w="15" w:type="dxa"/>
                    <w:left w:w="15" w:type="dxa"/>
                    <w:bottom w:w="0" w:type="dxa"/>
                    <w:right w:w="15" w:type="dxa"/>
                  </w:tcMar>
                  <w:vAlign w:val="center"/>
                </w:tcPr>
                <w:p w14:paraId="19F493F3">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95" w:type="pct"/>
                  <w:tcBorders>
                    <w:tl2br w:val="nil"/>
                    <w:tr2bl w:val="nil"/>
                  </w:tcBorders>
                  <w:vAlign w:val="center"/>
                </w:tcPr>
                <w:p w14:paraId="58D2D881">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425" w:type="pct"/>
                  <w:tcBorders>
                    <w:tl2br w:val="nil"/>
                    <w:tr2bl w:val="nil"/>
                  </w:tcBorders>
                  <w:vAlign w:val="center"/>
                </w:tcPr>
                <w:p w14:paraId="7FB6D259">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KW</w:t>
                  </w:r>
                </w:p>
              </w:tc>
              <w:tc>
                <w:tcPr>
                  <w:tcW w:w="361" w:type="pct"/>
                  <w:tcBorders>
                    <w:tl2br w:val="nil"/>
                    <w:tr2bl w:val="nil"/>
                  </w:tcBorders>
                  <w:vAlign w:val="center"/>
                </w:tcPr>
                <w:p w14:paraId="7AEC2BA0">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8" w:type="pct"/>
                  <w:tcBorders>
                    <w:tl2br w:val="nil"/>
                    <w:tr2bl w:val="nil"/>
                  </w:tcBorders>
                  <w:tcMar>
                    <w:top w:w="15" w:type="dxa"/>
                    <w:left w:w="15" w:type="dxa"/>
                    <w:bottom w:w="0" w:type="dxa"/>
                    <w:right w:w="15" w:type="dxa"/>
                  </w:tcMar>
                  <w:vAlign w:val="center"/>
                </w:tcPr>
                <w:p w14:paraId="5B22DA9F">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临时用电</w:t>
                  </w:r>
                </w:p>
              </w:tc>
            </w:tr>
            <w:tr w14:paraId="6B190E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000" w:type="pct"/>
                  <w:gridSpan w:val="7"/>
                  <w:tcBorders>
                    <w:tl2br w:val="nil"/>
                    <w:tr2bl w:val="nil"/>
                  </w:tcBorders>
                  <w:tcMar>
                    <w:top w:w="15" w:type="dxa"/>
                    <w:left w:w="15" w:type="dxa"/>
                    <w:bottom w:w="0" w:type="dxa"/>
                    <w:right w:w="15" w:type="dxa"/>
                  </w:tcMar>
                  <w:vAlign w:val="center"/>
                </w:tcPr>
                <w:p w14:paraId="72B25D6C">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四、测井设备</w:t>
                  </w:r>
                </w:p>
              </w:tc>
            </w:tr>
            <w:tr w14:paraId="5030D8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190E597B">
                  <w:pPr>
                    <w:pStyle w:val="17"/>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028" w:type="pct"/>
                  <w:tcBorders>
                    <w:tl2br w:val="nil"/>
                    <w:tr2bl w:val="nil"/>
                  </w:tcBorders>
                  <w:tcMar>
                    <w:top w:w="15" w:type="dxa"/>
                    <w:left w:w="15" w:type="dxa"/>
                    <w:bottom w:w="0" w:type="dxa"/>
                    <w:right w:w="15" w:type="dxa"/>
                  </w:tcMar>
                  <w:vAlign w:val="center"/>
                </w:tcPr>
                <w:p w14:paraId="5C49B35C">
                  <w:pPr>
                    <w:pStyle w:val="17"/>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成像测井系统</w:t>
                  </w:r>
                </w:p>
              </w:tc>
              <w:tc>
                <w:tcPr>
                  <w:tcW w:w="964" w:type="pct"/>
                  <w:tcBorders>
                    <w:tl2br w:val="nil"/>
                    <w:tr2bl w:val="nil"/>
                  </w:tcBorders>
                  <w:tcMar>
                    <w:top w:w="15" w:type="dxa"/>
                    <w:left w:w="15" w:type="dxa"/>
                    <w:bottom w:w="0" w:type="dxa"/>
                    <w:right w:w="15" w:type="dxa"/>
                  </w:tcMar>
                  <w:vAlign w:val="center"/>
                </w:tcPr>
                <w:p w14:paraId="3516A5F9">
                  <w:pPr>
                    <w:pStyle w:val="17"/>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Eclips5700</w:t>
                  </w:r>
                </w:p>
              </w:tc>
              <w:tc>
                <w:tcPr>
                  <w:tcW w:w="495" w:type="pct"/>
                  <w:tcBorders>
                    <w:tl2br w:val="nil"/>
                    <w:tr2bl w:val="nil"/>
                  </w:tcBorders>
                  <w:vAlign w:val="center"/>
                </w:tcPr>
                <w:p w14:paraId="5B6E3C9B">
                  <w:pPr>
                    <w:pStyle w:val="17"/>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25" w:type="pct"/>
                  <w:tcBorders>
                    <w:tl2br w:val="nil"/>
                    <w:tr2bl w:val="nil"/>
                  </w:tcBorders>
                  <w:vAlign w:val="center"/>
                </w:tcPr>
                <w:p w14:paraId="5A9CD289">
                  <w:pPr>
                    <w:pStyle w:val="17"/>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61" w:type="pct"/>
                  <w:tcBorders>
                    <w:tl2br w:val="nil"/>
                    <w:tr2bl w:val="nil"/>
                  </w:tcBorders>
                  <w:vAlign w:val="center"/>
                </w:tcPr>
                <w:p w14:paraId="3AE66D9B">
                  <w:pPr>
                    <w:pStyle w:val="17"/>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p>
              </w:tc>
              <w:tc>
                <w:tcPr>
                  <w:tcW w:w="1298" w:type="pct"/>
                  <w:tcBorders>
                    <w:tl2br w:val="nil"/>
                    <w:tr2bl w:val="nil"/>
                  </w:tcBorders>
                  <w:tcMar>
                    <w:top w:w="15" w:type="dxa"/>
                    <w:left w:w="15" w:type="dxa"/>
                    <w:bottom w:w="0" w:type="dxa"/>
                    <w:right w:w="15" w:type="dxa"/>
                  </w:tcMar>
                  <w:vAlign w:val="center"/>
                </w:tcPr>
                <w:p w14:paraId="7F4C106F">
                  <w:pPr>
                    <w:pStyle w:val="17"/>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8DFE1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000" w:type="pct"/>
                  <w:gridSpan w:val="7"/>
                  <w:tcBorders>
                    <w:tl2br w:val="nil"/>
                    <w:tr2bl w:val="nil"/>
                  </w:tcBorders>
                  <w:tcMar>
                    <w:top w:w="15" w:type="dxa"/>
                    <w:left w:w="15" w:type="dxa"/>
                    <w:bottom w:w="0" w:type="dxa"/>
                    <w:right w:w="15" w:type="dxa"/>
                  </w:tcMar>
                  <w:vAlign w:val="center"/>
                </w:tcPr>
                <w:p w14:paraId="51B86AB9">
                  <w:pPr>
                    <w:pStyle w:val="5"/>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五、录井设备</w:t>
                  </w:r>
                </w:p>
              </w:tc>
            </w:tr>
            <w:tr w14:paraId="405E67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6DC60F4A">
                  <w:pPr>
                    <w:pStyle w:val="17"/>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p>
              </w:tc>
              <w:tc>
                <w:tcPr>
                  <w:tcW w:w="1028" w:type="pct"/>
                  <w:tcBorders>
                    <w:tl2br w:val="nil"/>
                    <w:tr2bl w:val="nil"/>
                  </w:tcBorders>
                  <w:tcMar>
                    <w:top w:w="15" w:type="dxa"/>
                    <w:left w:w="15" w:type="dxa"/>
                    <w:bottom w:w="0" w:type="dxa"/>
                    <w:right w:w="15" w:type="dxa"/>
                  </w:tcMar>
                  <w:vAlign w:val="center"/>
                </w:tcPr>
                <w:p w14:paraId="587B83EA">
                  <w:pPr>
                    <w:pStyle w:val="17"/>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综合录井仪</w:t>
                  </w:r>
                </w:p>
              </w:tc>
              <w:tc>
                <w:tcPr>
                  <w:tcW w:w="964" w:type="pct"/>
                  <w:tcBorders>
                    <w:tl2br w:val="nil"/>
                    <w:tr2bl w:val="nil"/>
                  </w:tcBorders>
                  <w:tcMar>
                    <w:top w:w="15" w:type="dxa"/>
                    <w:left w:w="15" w:type="dxa"/>
                    <w:bottom w:w="0" w:type="dxa"/>
                    <w:right w:w="15" w:type="dxa"/>
                  </w:tcMar>
                  <w:vAlign w:val="center"/>
                </w:tcPr>
                <w:p w14:paraId="476C5F77">
                  <w:pPr>
                    <w:pStyle w:val="17"/>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95" w:type="pct"/>
                  <w:tcBorders>
                    <w:tl2br w:val="nil"/>
                    <w:tr2bl w:val="nil"/>
                  </w:tcBorders>
                  <w:vAlign w:val="center"/>
                </w:tcPr>
                <w:p w14:paraId="5E2E2E4D">
                  <w:pPr>
                    <w:pStyle w:val="17"/>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25" w:type="pct"/>
                  <w:tcBorders>
                    <w:tl2br w:val="nil"/>
                    <w:tr2bl w:val="nil"/>
                  </w:tcBorders>
                  <w:vAlign w:val="center"/>
                </w:tcPr>
                <w:p w14:paraId="464CF55E">
                  <w:pPr>
                    <w:pStyle w:val="17"/>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61" w:type="pct"/>
                  <w:tcBorders>
                    <w:tl2br w:val="nil"/>
                    <w:tr2bl w:val="nil"/>
                  </w:tcBorders>
                  <w:vAlign w:val="center"/>
                </w:tcPr>
                <w:p w14:paraId="677D9EEB">
                  <w:pPr>
                    <w:pStyle w:val="17"/>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p>
              </w:tc>
              <w:tc>
                <w:tcPr>
                  <w:tcW w:w="1298" w:type="pct"/>
                  <w:tcBorders>
                    <w:tl2br w:val="nil"/>
                    <w:tr2bl w:val="nil"/>
                  </w:tcBorders>
                  <w:tcMar>
                    <w:top w:w="15" w:type="dxa"/>
                    <w:left w:w="15" w:type="dxa"/>
                    <w:bottom w:w="0" w:type="dxa"/>
                    <w:right w:w="15" w:type="dxa"/>
                  </w:tcMar>
                  <w:vAlign w:val="center"/>
                </w:tcPr>
                <w:p w14:paraId="255ED50F">
                  <w:pPr>
                    <w:pStyle w:val="17"/>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18608F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000" w:type="pct"/>
                  <w:gridSpan w:val="7"/>
                  <w:tcBorders>
                    <w:tl2br w:val="nil"/>
                    <w:tr2bl w:val="nil"/>
                  </w:tcBorders>
                  <w:tcMar>
                    <w:top w:w="15" w:type="dxa"/>
                    <w:left w:w="15" w:type="dxa"/>
                    <w:bottom w:w="0" w:type="dxa"/>
                    <w:right w:w="15" w:type="dxa"/>
                  </w:tcMar>
                  <w:vAlign w:val="center"/>
                </w:tcPr>
                <w:p w14:paraId="00025221">
                  <w:pPr>
                    <w:pStyle w:val="17"/>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六、试气设备</w:t>
                  </w:r>
                </w:p>
              </w:tc>
            </w:tr>
            <w:tr w14:paraId="356782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088448D1">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p>
              </w:tc>
              <w:tc>
                <w:tcPr>
                  <w:tcW w:w="1028" w:type="pct"/>
                  <w:tcBorders>
                    <w:tl2br w:val="nil"/>
                    <w:tr2bl w:val="nil"/>
                  </w:tcBorders>
                  <w:tcMar>
                    <w:top w:w="15" w:type="dxa"/>
                    <w:left w:w="15" w:type="dxa"/>
                    <w:bottom w:w="0" w:type="dxa"/>
                    <w:right w:w="15" w:type="dxa"/>
                  </w:tcMar>
                  <w:vAlign w:val="center"/>
                </w:tcPr>
                <w:p w14:paraId="49841505">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临界速度流量计</w:t>
                  </w:r>
                </w:p>
              </w:tc>
              <w:tc>
                <w:tcPr>
                  <w:tcW w:w="964" w:type="pct"/>
                  <w:tcBorders>
                    <w:tl2br w:val="nil"/>
                    <w:tr2bl w:val="nil"/>
                  </w:tcBorders>
                  <w:tcMar>
                    <w:top w:w="15" w:type="dxa"/>
                    <w:left w:w="15" w:type="dxa"/>
                    <w:bottom w:w="0" w:type="dxa"/>
                    <w:right w:w="15" w:type="dxa"/>
                  </w:tcMar>
                  <w:vAlign w:val="center"/>
                </w:tcPr>
                <w:p w14:paraId="16D0FD1C">
                  <w:pPr>
                    <w:pStyle w:val="17"/>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w:t>
                  </w:r>
                </w:p>
              </w:tc>
              <w:tc>
                <w:tcPr>
                  <w:tcW w:w="495" w:type="pct"/>
                  <w:tcBorders>
                    <w:tl2br w:val="nil"/>
                    <w:tr2bl w:val="nil"/>
                  </w:tcBorders>
                  <w:vAlign w:val="center"/>
                </w:tcPr>
                <w:p w14:paraId="447CB0A4">
                  <w:pPr>
                    <w:pStyle w:val="17"/>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25" w:type="pct"/>
                  <w:tcBorders>
                    <w:tl2br w:val="nil"/>
                    <w:tr2bl w:val="nil"/>
                  </w:tcBorders>
                  <w:vAlign w:val="center"/>
                </w:tcPr>
                <w:p w14:paraId="162E68DD">
                  <w:pPr>
                    <w:pStyle w:val="17"/>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61" w:type="pct"/>
                  <w:tcBorders>
                    <w:tl2br w:val="nil"/>
                    <w:tr2bl w:val="nil"/>
                  </w:tcBorders>
                  <w:vAlign w:val="center"/>
                </w:tcPr>
                <w:p w14:paraId="3E9F54F3">
                  <w:pPr>
                    <w:pStyle w:val="17"/>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298" w:type="pct"/>
                  <w:vMerge w:val="restart"/>
                  <w:tcBorders>
                    <w:tl2br w:val="nil"/>
                    <w:tr2bl w:val="nil"/>
                  </w:tcBorders>
                  <w:tcMar>
                    <w:top w:w="15" w:type="dxa"/>
                    <w:left w:w="15" w:type="dxa"/>
                    <w:bottom w:w="0" w:type="dxa"/>
                    <w:right w:w="15" w:type="dxa"/>
                  </w:tcMar>
                  <w:vAlign w:val="center"/>
                </w:tcPr>
                <w:p w14:paraId="2CB7F33E">
                  <w:pPr>
                    <w:pStyle w:val="17"/>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对井下油层进行测试</w:t>
                  </w:r>
                </w:p>
              </w:tc>
            </w:tr>
            <w:tr w14:paraId="684FF2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3DE50AE8">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w:t>
                  </w:r>
                </w:p>
              </w:tc>
              <w:tc>
                <w:tcPr>
                  <w:tcW w:w="1028" w:type="pct"/>
                  <w:tcBorders>
                    <w:tl2br w:val="nil"/>
                    <w:tr2bl w:val="nil"/>
                  </w:tcBorders>
                  <w:tcMar>
                    <w:top w:w="15" w:type="dxa"/>
                    <w:left w:w="15" w:type="dxa"/>
                    <w:bottom w:w="0" w:type="dxa"/>
                    <w:right w:w="15" w:type="dxa"/>
                  </w:tcMar>
                  <w:vAlign w:val="center"/>
                </w:tcPr>
                <w:p w14:paraId="262175A1">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垫圈流量计</w:t>
                  </w:r>
                </w:p>
              </w:tc>
              <w:tc>
                <w:tcPr>
                  <w:tcW w:w="964" w:type="pct"/>
                  <w:tcBorders>
                    <w:tl2br w:val="nil"/>
                    <w:tr2bl w:val="nil"/>
                  </w:tcBorders>
                  <w:tcMar>
                    <w:top w:w="15" w:type="dxa"/>
                    <w:left w:w="15" w:type="dxa"/>
                    <w:bottom w:w="0" w:type="dxa"/>
                    <w:right w:w="15" w:type="dxa"/>
                  </w:tcMar>
                  <w:vAlign w:val="center"/>
                </w:tcPr>
                <w:p w14:paraId="2F241C2A">
                  <w:pPr>
                    <w:pStyle w:val="17"/>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95" w:type="pct"/>
                  <w:tcBorders>
                    <w:tl2br w:val="nil"/>
                    <w:tr2bl w:val="nil"/>
                  </w:tcBorders>
                  <w:vAlign w:val="center"/>
                </w:tcPr>
                <w:p w14:paraId="0D3D71D4">
                  <w:pPr>
                    <w:pStyle w:val="17"/>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25" w:type="pct"/>
                  <w:tcBorders>
                    <w:tl2br w:val="nil"/>
                    <w:tr2bl w:val="nil"/>
                  </w:tcBorders>
                  <w:vAlign w:val="center"/>
                </w:tcPr>
                <w:p w14:paraId="17FA695E">
                  <w:pPr>
                    <w:pStyle w:val="17"/>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61" w:type="pct"/>
                  <w:tcBorders>
                    <w:tl2br w:val="nil"/>
                    <w:tr2bl w:val="nil"/>
                  </w:tcBorders>
                  <w:vAlign w:val="center"/>
                </w:tcPr>
                <w:p w14:paraId="6FDFE558">
                  <w:pPr>
                    <w:pStyle w:val="17"/>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298" w:type="pct"/>
                  <w:vMerge w:val="continue"/>
                  <w:tcBorders>
                    <w:tl2br w:val="nil"/>
                    <w:tr2bl w:val="nil"/>
                  </w:tcBorders>
                  <w:tcMar>
                    <w:top w:w="15" w:type="dxa"/>
                    <w:left w:w="15" w:type="dxa"/>
                    <w:bottom w:w="0" w:type="dxa"/>
                    <w:right w:w="15" w:type="dxa"/>
                  </w:tcMar>
                  <w:vAlign w:val="center"/>
                </w:tcPr>
                <w:p w14:paraId="5A1D58F6">
                  <w:pPr>
                    <w:pStyle w:val="17"/>
                    <w:jc w:val="center"/>
                    <w:rPr>
                      <w:rFonts w:hint="default" w:ascii="Times New Roman" w:hAnsi="Times New Roman" w:eastAsia="宋体" w:cs="Times New Roman"/>
                      <w:color w:val="auto"/>
                      <w:sz w:val="21"/>
                      <w:szCs w:val="21"/>
                    </w:rPr>
                  </w:pPr>
                </w:p>
              </w:tc>
            </w:tr>
            <w:tr w14:paraId="7D6D36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0F87540E">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w:t>
                  </w:r>
                </w:p>
              </w:tc>
              <w:tc>
                <w:tcPr>
                  <w:tcW w:w="1028" w:type="pct"/>
                  <w:tcBorders>
                    <w:tl2br w:val="nil"/>
                    <w:tr2bl w:val="nil"/>
                  </w:tcBorders>
                  <w:tcMar>
                    <w:top w:w="15" w:type="dxa"/>
                    <w:left w:w="15" w:type="dxa"/>
                    <w:bottom w:w="0" w:type="dxa"/>
                    <w:right w:w="15" w:type="dxa"/>
                  </w:tcMar>
                  <w:vAlign w:val="center"/>
                </w:tcPr>
                <w:p w14:paraId="7161A243">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压差计</w:t>
                  </w:r>
                </w:p>
              </w:tc>
              <w:tc>
                <w:tcPr>
                  <w:tcW w:w="964" w:type="pct"/>
                  <w:tcBorders>
                    <w:tl2br w:val="nil"/>
                    <w:tr2bl w:val="nil"/>
                  </w:tcBorders>
                  <w:tcMar>
                    <w:top w:w="15" w:type="dxa"/>
                    <w:left w:w="15" w:type="dxa"/>
                    <w:bottom w:w="0" w:type="dxa"/>
                    <w:right w:w="15" w:type="dxa"/>
                  </w:tcMar>
                  <w:vAlign w:val="center"/>
                </w:tcPr>
                <w:p w14:paraId="6DA0AF40">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1000mm</w:t>
                  </w:r>
                </w:p>
              </w:tc>
              <w:tc>
                <w:tcPr>
                  <w:tcW w:w="495" w:type="pct"/>
                  <w:tcBorders>
                    <w:tl2br w:val="nil"/>
                    <w:tr2bl w:val="nil"/>
                  </w:tcBorders>
                  <w:vAlign w:val="center"/>
                </w:tcPr>
                <w:p w14:paraId="772B3869">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425" w:type="pct"/>
                  <w:tcBorders>
                    <w:tl2br w:val="nil"/>
                    <w:tr2bl w:val="nil"/>
                  </w:tcBorders>
                  <w:vAlign w:val="center"/>
                </w:tcPr>
                <w:p w14:paraId="710C412F">
                  <w:pPr>
                    <w:pStyle w:val="17"/>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Mm</w:t>
                  </w:r>
                </w:p>
              </w:tc>
              <w:tc>
                <w:tcPr>
                  <w:tcW w:w="361" w:type="pct"/>
                  <w:tcBorders>
                    <w:tl2br w:val="nil"/>
                    <w:tr2bl w:val="nil"/>
                  </w:tcBorders>
                  <w:vAlign w:val="center"/>
                </w:tcPr>
                <w:p w14:paraId="292337F9">
                  <w:pPr>
                    <w:pStyle w:val="17"/>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1298" w:type="pct"/>
                  <w:vMerge w:val="continue"/>
                  <w:tcBorders>
                    <w:tl2br w:val="nil"/>
                    <w:tr2bl w:val="nil"/>
                  </w:tcBorders>
                  <w:tcMar>
                    <w:top w:w="15" w:type="dxa"/>
                    <w:left w:w="15" w:type="dxa"/>
                    <w:bottom w:w="0" w:type="dxa"/>
                    <w:right w:w="15" w:type="dxa"/>
                  </w:tcMar>
                  <w:vAlign w:val="center"/>
                </w:tcPr>
                <w:p w14:paraId="358068FC">
                  <w:pPr>
                    <w:pStyle w:val="17"/>
                    <w:jc w:val="center"/>
                    <w:rPr>
                      <w:rFonts w:hint="default" w:ascii="Times New Roman" w:hAnsi="Times New Roman" w:eastAsia="宋体" w:cs="Times New Roman"/>
                      <w:color w:val="auto"/>
                      <w:sz w:val="21"/>
                      <w:szCs w:val="21"/>
                    </w:rPr>
                  </w:pPr>
                </w:p>
              </w:tc>
            </w:tr>
            <w:tr w14:paraId="0CF696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258E7FF1">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w:t>
                  </w:r>
                </w:p>
              </w:tc>
              <w:tc>
                <w:tcPr>
                  <w:tcW w:w="1028" w:type="pct"/>
                  <w:tcBorders>
                    <w:tl2br w:val="nil"/>
                    <w:tr2bl w:val="nil"/>
                  </w:tcBorders>
                  <w:tcMar>
                    <w:top w:w="15" w:type="dxa"/>
                    <w:left w:w="15" w:type="dxa"/>
                    <w:bottom w:w="0" w:type="dxa"/>
                    <w:right w:w="15" w:type="dxa"/>
                  </w:tcMar>
                  <w:vAlign w:val="center"/>
                </w:tcPr>
                <w:p w14:paraId="61ACD166">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压力表</w:t>
                  </w:r>
                </w:p>
              </w:tc>
              <w:tc>
                <w:tcPr>
                  <w:tcW w:w="964" w:type="pct"/>
                  <w:tcBorders>
                    <w:tl2br w:val="nil"/>
                    <w:tr2bl w:val="nil"/>
                  </w:tcBorders>
                  <w:tcMar>
                    <w:top w:w="15" w:type="dxa"/>
                    <w:left w:w="15" w:type="dxa"/>
                    <w:bottom w:w="0" w:type="dxa"/>
                    <w:right w:w="15" w:type="dxa"/>
                  </w:tcMar>
                  <w:vAlign w:val="center"/>
                </w:tcPr>
                <w:p w14:paraId="0E2BCEE2">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Y-100</w:t>
                  </w:r>
                </w:p>
              </w:tc>
              <w:tc>
                <w:tcPr>
                  <w:tcW w:w="495" w:type="pct"/>
                  <w:tcBorders>
                    <w:tl2br w:val="nil"/>
                    <w:tr2bl w:val="nil"/>
                  </w:tcBorders>
                  <w:vAlign w:val="center"/>
                </w:tcPr>
                <w:p w14:paraId="78A2C220">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1.6-6</w:t>
                  </w:r>
                </w:p>
              </w:tc>
              <w:tc>
                <w:tcPr>
                  <w:tcW w:w="425" w:type="pct"/>
                  <w:tcBorders>
                    <w:tl2br w:val="nil"/>
                    <w:tr2bl w:val="nil"/>
                  </w:tcBorders>
                  <w:vAlign w:val="center"/>
                </w:tcPr>
                <w:p w14:paraId="738AAE7E">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MPa</w:t>
                  </w:r>
                </w:p>
              </w:tc>
              <w:tc>
                <w:tcPr>
                  <w:tcW w:w="361" w:type="pct"/>
                  <w:tcBorders>
                    <w:tl2br w:val="nil"/>
                    <w:tr2bl w:val="nil"/>
                  </w:tcBorders>
                  <w:vAlign w:val="center"/>
                </w:tcPr>
                <w:p w14:paraId="754C39B4">
                  <w:pPr>
                    <w:pStyle w:val="17"/>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1298" w:type="pct"/>
                  <w:vMerge w:val="continue"/>
                  <w:tcBorders>
                    <w:tl2br w:val="nil"/>
                    <w:tr2bl w:val="nil"/>
                  </w:tcBorders>
                  <w:tcMar>
                    <w:top w:w="15" w:type="dxa"/>
                    <w:left w:w="15" w:type="dxa"/>
                    <w:bottom w:w="0" w:type="dxa"/>
                    <w:right w:w="15" w:type="dxa"/>
                  </w:tcMar>
                  <w:vAlign w:val="center"/>
                </w:tcPr>
                <w:p w14:paraId="4B1AC1DE">
                  <w:pPr>
                    <w:pStyle w:val="17"/>
                    <w:jc w:val="center"/>
                    <w:rPr>
                      <w:rFonts w:hint="default" w:ascii="Times New Roman" w:hAnsi="Times New Roman" w:eastAsia="宋体" w:cs="Times New Roman"/>
                      <w:color w:val="auto"/>
                      <w:sz w:val="21"/>
                      <w:szCs w:val="21"/>
                    </w:rPr>
                  </w:pPr>
                </w:p>
              </w:tc>
            </w:tr>
            <w:tr w14:paraId="129608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5F4FD48F">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w:t>
                  </w:r>
                </w:p>
              </w:tc>
              <w:tc>
                <w:tcPr>
                  <w:tcW w:w="1028" w:type="pct"/>
                  <w:tcBorders>
                    <w:tl2br w:val="nil"/>
                    <w:tr2bl w:val="nil"/>
                  </w:tcBorders>
                  <w:tcMar>
                    <w:top w:w="15" w:type="dxa"/>
                    <w:left w:w="15" w:type="dxa"/>
                    <w:bottom w:w="0" w:type="dxa"/>
                    <w:right w:w="15" w:type="dxa"/>
                  </w:tcMar>
                  <w:vAlign w:val="center"/>
                </w:tcPr>
                <w:p w14:paraId="12881CB4">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温度计</w:t>
                  </w:r>
                </w:p>
              </w:tc>
              <w:tc>
                <w:tcPr>
                  <w:tcW w:w="964" w:type="pct"/>
                  <w:tcBorders>
                    <w:tl2br w:val="nil"/>
                    <w:tr2bl w:val="nil"/>
                  </w:tcBorders>
                  <w:tcMar>
                    <w:top w:w="15" w:type="dxa"/>
                    <w:left w:w="15" w:type="dxa"/>
                    <w:bottom w:w="0" w:type="dxa"/>
                    <w:right w:w="15" w:type="dxa"/>
                  </w:tcMar>
                  <w:vAlign w:val="center"/>
                </w:tcPr>
                <w:p w14:paraId="484755F3">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-30~50℃</w:t>
                  </w:r>
                </w:p>
              </w:tc>
              <w:tc>
                <w:tcPr>
                  <w:tcW w:w="495" w:type="pct"/>
                  <w:tcBorders>
                    <w:tl2br w:val="nil"/>
                    <w:tr2bl w:val="nil"/>
                  </w:tcBorders>
                  <w:vAlign w:val="center"/>
                </w:tcPr>
                <w:p w14:paraId="51CDBE14">
                  <w:pPr>
                    <w:pStyle w:val="17"/>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25" w:type="pct"/>
                  <w:tcBorders>
                    <w:tl2br w:val="nil"/>
                    <w:tr2bl w:val="nil"/>
                  </w:tcBorders>
                  <w:vAlign w:val="center"/>
                </w:tcPr>
                <w:p w14:paraId="04F9DFD3">
                  <w:pPr>
                    <w:pStyle w:val="17"/>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61" w:type="pct"/>
                  <w:tcBorders>
                    <w:tl2br w:val="nil"/>
                    <w:tr2bl w:val="nil"/>
                  </w:tcBorders>
                  <w:vAlign w:val="center"/>
                </w:tcPr>
                <w:p w14:paraId="11E96B46">
                  <w:pPr>
                    <w:pStyle w:val="17"/>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1298" w:type="pct"/>
                  <w:vMerge w:val="continue"/>
                  <w:tcBorders>
                    <w:tl2br w:val="nil"/>
                    <w:tr2bl w:val="nil"/>
                  </w:tcBorders>
                  <w:tcMar>
                    <w:top w:w="15" w:type="dxa"/>
                    <w:left w:w="15" w:type="dxa"/>
                    <w:bottom w:w="0" w:type="dxa"/>
                    <w:right w:w="15" w:type="dxa"/>
                  </w:tcMar>
                  <w:vAlign w:val="center"/>
                </w:tcPr>
                <w:p w14:paraId="28517E0C">
                  <w:pPr>
                    <w:pStyle w:val="17"/>
                    <w:jc w:val="center"/>
                    <w:rPr>
                      <w:rFonts w:hint="default" w:ascii="Times New Roman" w:hAnsi="Times New Roman" w:eastAsia="宋体" w:cs="Times New Roman"/>
                      <w:color w:val="auto"/>
                      <w:sz w:val="21"/>
                      <w:szCs w:val="21"/>
                    </w:rPr>
                  </w:pPr>
                </w:p>
              </w:tc>
            </w:tr>
            <w:tr w14:paraId="141106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7736ACBB">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w:t>
                  </w:r>
                </w:p>
              </w:tc>
              <w:tc>
                <w:tcPr>
                  <w:tcW w:w="1028" w:type="pct"/>
                  <w:tcBorders>
                    <w:tl2br w:val="nil"/>
                    <w:tr2bl w:val="nil"/>
                  </w:tcBorders>
                  <w:tcMar>
                    <w:top w:w="15" w:type="dxa"/>
                    <w:left w:w="15" w:type="dxa"/>
                    <w:bottom w:w="0" w:type="dxa"/>
                    <w:right w:w="15" w:type="dxa"/>
                  </w:tcMar>
                  <w:vAlign w:val="center"/>
                </w:tcPr>
                <w:p w14:paraId="66C10B75">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电子压力计</w:t>
                  </w:r>
                </w:p>
              </w:tc>
              <w:tc>
                <w:tcPr>
                  <w:tcW w:w="964" w:type="pct"/>
                  <w:tcBorders>
                    <w:tl2br w:val="nil"/>
                    <w:tr2bl w:val="nil"/>
                  </w:tcBorders>
                  <w:tcMar>
                    <w:top w:w="15" w:type="dxa"/>
                    <w:left w:w="15" w:type="dxa"/>
                    <w:bottom w:w="0" w:type="dxa"/>
                    <w:right w:w="15" w:type="dxa"/>
                  </w:tcMar>
                  <w:vAlign w:val="center"/>
                </w:tcPr>
                <w:p w14:paraId="056400D8">
                  <w:pPr>
                    <w:pStyle w:val="17"/>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95" w:type="pct"/>
                  <w:tcBorders>
                    <w:tl2br w:val="nil"/>
                    <w:tr2bl w:val="nil"/>
                  </w:tcBorders>
                  <w:vAlign w:val="center"/>
                </w:tcPr>
                <w:p w14:paraId="05F4FA29">
                  <w:pPr>
                    <w:pStyle w:val="17"/>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25" w:type="pct"/>
                  <w:tcBorders>
                    <w:tl2br w:val="nil"/>
                    <w:tr2bl w:val="nil"/>
                  </w:tcBorders>
                  <w:vAlign w:val="center"/>
                </w:tcPr>
                <w:p w14:paraId="33E58A36">
                  <w:pPr>
                    <w:pStyle w:val="17"/>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61" w:type="pct"/>
                  <w:tcBorders>
                    <w:tl2br w:val="nil"/>
                    <w:tr2bl w:val="nil"/>
                  </w:tcBorders>
                  <w:vAlign w:val="center"/>
                </w:tcPr>
                <w:p w14:paraId="5636F820">
                  <w:pPr>
                    <w:pStyle w:val="17"/>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298" w:type="pct"/>
                  <w:vMerge w:val="continue"/>
                  <w:tcBorders>
                    <w:tl2br w:val="nil"/>
                    <w:tr2bl w:val="nil"/>
                  </w:tcBorders>
                  <w:tcMar>
                    <w:top w:w="15" w:type="dxa"/>
                    <w:left w:w="15" w:type="dxa"/>
                    <w:bottom w:w="0" w:type="dxa"/>
                    <w:right w:w="15" w:type="dxa"/>
                  </w:tcMar>
                  <w:vAlign w:val="center"/>
                </w:tcPr>
                <w:p w14:paraId="37630DC5">
                  <w:pPr>
                    <w:pStyle w:val="17"/>
                    <w:jc w:val="center"/>
                    <w:rPr>
                      <w:rFonts w:hint="default" w:ascii="Times New Roman" w:hAnsi="Times New Roman" w:eastAsia="宋体" w:cs="Times New Roman"/>
                      <w:color w:val="auto"/>
                      <w:sz w:val="21"/>
                      <w:szCs w:val="21"/>
                    </w:rPr>
                  </w:pPr>
                </w:p>
              </w:tc>
            </w:tr>
            <w:tr w14:paraId="1FB69A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3272D6D0">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7</w:t>
                  </w:r>
                </w:p>
              </w:tc>
              <w:tc>
                <w:tcPr>
                  <w:tcW w:w="1028" w:type="pct"/>
                  <w:tcBorders>
                    <w:tl2br w:val="nil"/>
                    <w:tr2bl w:val="nil"/>
                  </w:tcBorders>
                  <w:tcMar>
                    <w:top w:w="15" w:type="dxa"/>
                    <w:left w:w="15" w:type="dxa"/>
                    <w:bottom w:w="0" w:type="dxa"/>
                    <w:right w:w="15" w:type="dxa"/>
                  </w:tcMar>
                  <w:vAlign w:val="center"/>
                </w:tcPr>
                <w:p w14:paraId="0B34BEDD">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拉力器</w:t>
                  </w:r>
                </w:p>
              </w:tc>
              <w:tc>
                <w:tcPr>
                  <w:tcW w:w="964" w:type="pct"/>
                  <w:tcBorders>
                    <w:tl2br w:val="nil"/>
                    <w:tr2bl w:val="nil"/>
                  </w:tcBorders>
                  <w:tcMar>
                    <w:top w:w="15" w:type="dxa"/>
                    <w:left w:w="15" w:type="dxa"/>
                    <w:bottom w:w="0" w:type="dxa"/>
                    <w:right w:w="15" w:type="dxa"/>
                  </w:tcMar>
                  <w:vAlign w:val="center"/>
                </w:tcPr>
                <w:p w14:paraId="41D66365">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120kN</w:t>
                  </w:r>
                </w:p>
              </w:tc>
              <w:tc>
                <w:tcPr>
                  <w:tcW w:w="495" w:type="pct"/>
                  <w:tcBorders>
                    <w:tl2br w:val="nil"/>
                    <w:tr2bl w:val="nil"/>
                  </w:tcBorders>
                  <w:vAlign w:val="center"/>
                </w:tcPr>
                <w:p w14:paraId="3A9585B2">
                  <w:pPr>
                    <w:pStyle w:val="17"/>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25" w:type="pct"/>
                  <w:tcBorders>
                    <w:tl2br w:val="nil"/>
                    <w:tr2bl w:val="nil"/>
                  </w:tcBorders>
                  <w:vAlign w:val="center"/>
                </w:tcPr>
                <w:p w14:paraId="323A2EBC">
                  <w:pPr>
                    <w:pStyle w:val="17"/>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61" w:type="pct"/>
                  <w:tcBorders>
                    <w:tl2br w:val="nil"/>
                    <w:tr2bl w:val="nil"/>
                  </w:tcBorders>
                  <w:vAlign w:val="center"/>
                </w:tcPr>
                <w:p w14:paraId="381308B1">
                  <w:pPr>
                    <w:pStyle w:val="17"/>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298" w:type="pct"/>
                  <w:vMerge w:val="continue"/>
                  <w:tcBorders>
                    <w:tl2br w:val="nil"/>
                    <w:tr2bl w:val="nil"/>
                  </w:tcBorders>
                  <w:tcMar>
                    <w:top w:w="15" w:type="dxa"/>
                    <w:left w:w="15" w:type="dxa"/>
                    <w:bottom w:w="0" w:type="dxa"/>
                    <w:right w:w="15" w:type="dxa"/>
                  </w:tcMar>
                  <w:vAlign w:val="center"/>
                </w:tcPr>
                <w:p w14:paraId="1200D8D7">
                  <w:pPr>
                    <w:pStyle w:val="17"/>
                    <w:jc w:val="center"/>
                    <w:rPr>
                      <w:rFonts w:hint="default" w:ascii="Times New Roman" w:hAnsi="Times New Roman" w:eastAsia="宋体" w:cs="Times New Roman"/>
                      <w:color w:val="auto"/>
                      <w:sz w:val="21"/>
                      <w:szCs w:val="21"/>
                    </w:rPr>
                  </w:pPr>
                </w:p>
              </w:tc>
            </w:tr>
            <w:tr w14:paraId="0B34C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615D8970">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w:t>
                  </w:r>
                </w:p>
              </w:tc>
              <w:tc>
                <w:tcPr>
                  <w:tcW w:w="1028" w:type="pct"/>
                  <w:tcBorders>
                    <w:tl2br w:val="nil"/>
                    <w:tr2bl w:val="nil"/>
                  </w:tcBorders>
                  <w:tcMar>
                    <w:top w:w="15" w:type="dxa"/>
                    <w:left w:w="15" w:type="dxa"/>
                    <w:bottom w:w="0" w:type="dxa"/>
                    <w:right w:w="15" w:type="dxa"/>
                  </w:tcMar>
                  <w:vAlign w:val="center"/>
                </w:tcPr>
                <w:p w14:paraId="648BE6F7">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粘度计</w:t>
                  </w:r>
                </w:p>
              </w:tc>
              <w:tc>
                <w:tcPr>
                  <w:tcW w:w="964" w:type="pct"/>
                  <w:tcBorders>
                    <w:tl2br w:val="nil"/>
                    <w:tr2bl w:val="nil"/>
                  </w:tcBorders>
                  <w:tcMar>
                    <w:top w:w="15" w:type="dxa"/>
                    <w:left w:w="15" w:type="dxa"/>
                    <w:bottom w:w="0" w:type="dxa"/>
                    <w:right w:w="15" w:type="dxa"/>
                  </w:tcMar>
                  <w:vAlign w:val="center"/>
                </w:tcPr>
                <w:p w14:paraId="1D68C1B0">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Fann35</w:t>
                  </w:r>
                </w:p>
              </w:tc>
              <w:tc>
                <w:tcPr>
                  <w:tcW w:w="495" w:type="pct"/>
                  <w:tcBorders>
                    <w:tl2br w:val="nil"/>
                    <w:tr2bl w:val="nil"/>
                  </w:tcBorders>
                  <w:vAlign w:val="center"/>
                </w:tcPr>
                <w:p w14:paraId="64748AB9">
                  <w:pPr>
                    <w:pStyle w:val="17"/>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25" w:type="pct"/>
                  <w:tcBorders>
                    <w:tl2br w:val="nil"/>
                    <w:tr2bl w:val="nil"/>
                  </w:tcBorders>
                  <w:vAlign w:val="center"/>
                </w:tcPr>
                <w:p w14:paraId="4E8A571A">
                  <w:pPr>
                    <w:pStyle w:val="17"/>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61" w:type="pct"/>
                  <w:tcBorders>
                    <w:tl2br w:val="nil"/>
                    <w:tr2bl w:val="nil"/>
                  </w:tcBorders>
                  <w:vAlign w:val="center"/>
                </w:tcPr>
                <w:p w14:paraId="5A64A335">
                  <w:pPr>
                    <w:pStyle w:val="17"/>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298" w:type="pct"/>
                  <w:vMerge w:val="continue"/>
                  <w:tcBorders>
                    <w:tl2br w:val="nil"/>
                    <w:tr2bl w:val="nil"/>
                  </w:tcBorders>
                  <w:tcMar>
                    <w:top w:w="15" w:type="dxa"/>
                    <w:left w:w="15" w:type="dxa"/>
                    <w:bottom w:w="0" w:type="dxa"/>
                    <w:right w:w="15" w:type="dxa"/>
                  </w:tcMar>
                  <w:vAlign w:val="center"/>
                </w:tcPr>
                <w:p w14:paraId="6975A70B">
                  <w:pPr>
                    <w:pStyle w:val="17"/>
                    <w:jc w:val="center"/>
                    <w:rPr>
                      <w:rFonts w:hint="default" w:ascii="Times New Roman" w:hAnsi="Times New Roman" w:eastAsia="宋体" w:cs="Times New Roman"/>
                      <w:color w:val="auto"/>
                      <w:sz w:val="21"/>
                      <w:szCs w:val="21"/>
                    </w:rPr>
                  </w:pPr>
                </w:p>
              </w:tc>
            </w:tr>
            <w:tr w14:paraId="58C5A9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2E995EDA">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9</w:t>
                  </w:r>
                </w:p>
              </w:tc>
              <w:tc>
                <w:tcPr>
                  <w:tcW w:w="1028" w:type="pct"/>
                  <w:tcBorders>
                    <w:tl2br w:val="nil"/>
                    <w:tr2bl w:val="nil"/>
                  </w:tcBorders>
                  <w:tcMar>
                    <w:top w:w="15" w:type="dxa"/>
                    <w:left w:w="15" w:type="dxa"/>
                    <w:bottom w:w="0" w:type="dxa"/>
                    <w:right w:w="15" w:type="dxa"/>
                  </w:tcMar>
                  <w:vAlign w:val="center"/>
                </w:tcPr>
                <w:p w14:paraId="6E7F71D6">
                  <w:pPr>
                    <w:pStyle w:val="17"/>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秒表</w:t>
                  </w:r>
                </w:p>
              </w:tc>
              <w:tc>
                <w:tcPr>
                  <w:tcW w:w="964" w:type="pct"/>
                  <w:tcBorders>
                    <w:tl2br w:val="nil"/>
                    <w:tr2bl w:val="nil"/>
                  </w:tcBorders>
                  <w:tcMar>
                    <w:top w:w="15" w:type="dxa"/>
                    <w:left w:w="15" w:type="dxa"/>
                    <w:bottom w:w="0" w:type="dxa"/>
                    <w:right w:w="15" w:type="dxa"/>
                  </w:tcMar>
                  <w:vAlign w:val="center"/>
                </w:tcPr>
                <w:p w14:paraId="37748A58">
                  <w:pPr>
                    <w:pStyle w:val="17"/>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95" w:type="pct"/>
                  <w:tcBorders>
                    <w:tl2br w:val="nil"/>
                    <w:tr2bl w:val="nil"/>
                  </w:tcBorders>
                  <w:vAlign w:val="center"/>
                </w:tcPr>
                <w:p w14:paraId="01E07127">
                  <w:pPr>
                    <w:pStyle w:val="17"/>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25" w:type="pct"/>
                  <w:tcBorders>
                    <w:tl2br w:val="nil"/>
                    <w:tr2bl w:val="nil"/>
                  </w:tcBorders>
                  <w:vAlign w:val="center"/>
                </w:tcPr>
                <w:p w14:paraId="3B49D85D">
                  <w:pPr>
                    <w:pStyle w:val="17"/>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61" w:type="pct"/>
                  <w:tcBorders>
                    <w:tl2br w:val="nil"/>
                    <w:tr2bl w:val="nil"/>
                  </w:tcBorders>
                  <w:vAlign w:val="center"/>
                </w:tcPr>
                <w:p w14:paraId="1059B21E">
                  <w:pPr>
                    <w:pStyle w:val="17"/>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298" w:type="pct"/>
                  <w:vMerge w:val="continue"/>
                  <w:tcBorders>
                    <w:tl2br w:val="nil"/>
                    <w:tr2bl w:val="nil"/>
                  </w:tcBorders>
                  <w:tcMar>
                    <w:top w:w="15" w:type="dxa"/>
                    <w:left w:w="15" w:type="dxa"/>
                    <w:bottom w:w="0" w:type="dxa"/>
                    <w:right w:w="15" w:type="dxa"/>
                  </w:tcMar>
                  <w:vAlign w:val="center"/>
                </w:tcPr>
                <w:p w14:paraId="5BC156BB">
                  <w:pPr>
                    <w:pStyle w:val="17"/>
                    <w:jc w:val="center"/>
                    <w:rPr>
                      <w:rFonts w:hint="default" w:ascii="Times New Roman" w:hAnsi="Times New Roman" w:eastAsia="宋体" w:cs="Times New Roman"/>
                      <w:color w:val="auto"/>
                      <w:sz w:val="21"/>
                      <w:szCs w:val="21"/>
                    </w:rPr>
                  </w:pPr>
                </w:p>
              </w:tc>
            </w:tr>
            <w:tr w14:paraId="2324B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178DEFB0">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10</w:t>
                  </w:r>
                </w:p>
              </w:tc>
              <w:tc>
                <w:tcPr>
                  <w:tcW w:w="1028" w:type="pct"/>
                  <w:tcBorders>
                    <w:tl2br w:val="nil"/>
                    <w:tr2bl w:val="nil"/>
                  </w:tcBorders>
                  <w:tcMar>
                    <w:top w:w="15" w:type="dxa"/>
                    <w:left w:w="15" w:type="dxa"/>
                    <w:bottom w:w="0" w:type="dxa"/>
                    <w:right w:w="15" w:type="dxa"/>
                  </w:tcMar>
                  <w:vAlign w:val="center"/>
                </w:tcPr>
                <w:p w14:paraId="38634646">
                  <w:pPr>
                    <w:pStyle w:val="17"/>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量筒</w:t>
                  </w:r>
                </w:p>
              </w:tc>
              <w:tc>
                <w:tcPr>
                  <w:tcW w:w="964" w:type="pct"/>
                  <w:tcBorders>
                    <w:tl2br w:val="nil"/>
                    <w:tr2bl w:val="nil"/>
                  </w:tcBorders>
                  <w:tcMar>
                    <w:top w:w="15" w:type="dxa"/>
                    <w:left w:w="15" w:type="dxa"/>
                    <w:bottom w:w="0" w:type="dxa"/>
                    <w:right w:w="15" w:type="dxa"/>
                  </w:tcMar>
                  <w:vAlign w:val="center"/>
                </w:tcPr>
                <w:p w14:paraId="177DE966">
                  <w:pPr>
                    <w:pStyle w:val="17"/>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95" w:type="pct"/>
                  <w:tcBorders>
                    <w:tl2br w:val="nil"/>
                    <w:tr2bl w:val="nil"/>
                  </w:tcBorders>
                  <w:vAlign w:val="center"/>
                </w:tcPr>
                <w:p w14:paraId="73BFFA2C">
                  <w:pPr>
                    <w:pStyle w:val="17"/>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20mml，10L</w:t>
                  </w:r>
                </w:p>
              </w:tc>
              <w:tc>
                <w:tcPr>
                  <w:tcW w:w="425" w:type="pct"/>
                  <w:tcBorders>
                    <w:tl2br w:val="nil"/>
                    <w:tr2bl w:val="nil"/>
                  </w:tcBorders>
                  <w:vAlign w:val="center"/>
                </w:tcPr>
                <w:p w14:paraId="69B15D0D">
                  <w:pPr>
                    <w:pStyle w:val="17"/>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61" w:type="pct"/>
                  <w:tcBorders>
                    <w:tl2br w:val="nil"/>
                    <w:tr2bl w:val="nil"/>
                  </w:tcBorders>
                  <w:vAlign w:val="center"/>
                </w:tcPr>
                <w:p w14:paraId="4CD1C0BA">
                  <w:pPr>
                    <w:pStyle w:val="17"/>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各2个</w:t>
                  </w:r>
                </w:p>
              </w:tc>
              <w:tc>
                <w:tcPr>
                  <w:tcW w:w="1298" w:type="pct"/>
                  <w:vMerge w:val="continue"/>
                  <w:tcBorders>
                    <w:tl2br w:val="nil"/>
                    <w:tr2bl w:val="nil"/>
                  </w:tcBorders>
                  <w:tcMar>
                    <w:top w:w="15" w:type="dxa"/>
                    <w:left w:w="15" w:type="dxa"/>
                    <w:bottom w:w="0" w:type="dxa"/>
                    <w:right w:w="15" w:type="dxa"/>
                  </w:tcMar>
                  <w:vAlign w:val="center"/>
                </w:tcPr>
                <w:p w14:paraId="17140111">
                  <w:pPr>
                    <w:pStyle w:val="17"/>
                    <w:jc w:val="center"/>
                    <w:rPr>
                      <w:rFonts w:hint="default" w:ascii="Times New Roman" w:hAnsi="Times New Roman" w:eastAsia="宋体" w:cs="Times New Roman"/>
                      <w:color w:val="auto"/>
                      <w:sz w:val="21"/>
                      <w:szCs w:val="21"/>
                    </w:rPr>
                  </w:pPr>
                </w:p>
              </w:tc>
            </w:tr>
            <w:tr w14:paraId="4409CE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6" w:type="pct"/>
                  <w:tcBorders>
                    <w:tl2br w:val="nil"/>
                    <w:tr2bl w:val="nil"/>
                  </w:tcBorders>
                  <w:tcMar>
                    <w:top w:w="15" w:type="dxa"/>
                    <w:left w:w="15" w:type="dxa"/>
                    <w:bottom w:w="0" w:type="dxa"/>
                    <w:right w:w="15" w:type="dxa"/>
                  </w:tcMar>
                  <w:vAlign w:val="center"/>
                </w:tcPr>
                <w:p w14:paraId="1A53C25F">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11</w:t>
                  </w:r>
                </w:p>
              </w:tc>
              <w:tc>
                <w:tcPr>
                  <w:tcW w:w="1028" w:type="pct"/>
                  <w:tcBorders>
                    <w:tl2br w:val="nil"/>
                    <w:tr2bl w:val="nil"/>
                  </w:tcBorders>
                  <w:tcMar>
                    <w:top w:w="15" w:type="dxa"/>
                    <w:left w:w="15" w:type="dxa"/>
                    <w:bottom w:w="0" w:type="dxa"/>
                    <w:right w:w="15" w:type="dxa"/>
                  </w:tcMar>
                  <w:vAlign w:val="center"/>
                </w:tcPr>
                <w:p w14:paraId="0CBF3633">
                  <w:pPr>
                    <w:pStyle w:val="17"/>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密度天平</w:t>
                  </w:r>
                </w:p>
              </w:tc>
              <w:tc>
                <w:tcPr>
                  <w:tcW w:w="964" w:type="pct"/>
                  <w:tcBorders>
                    <w:tl2br w:val="nil"/>
                    <w:tr2bl w:val="nil"/>
                  </w:tcBorders>
                  <w:tcMar>
                    <w:top w:w="15" w:type="dxa"/>
                    <w:left w:w="15" w:type="dxa"/>
                    <w:bottom w:w="0" w:type="dxa"/>
                    <w:right w:w="15" w:type="dxa"/>
                  </w:tcMar>
                  <w:vAlign w:val="center"/>
                </w:tcPr>
                <w:p w14:paraId="3890DB6E">
                  <w:pPr>
                    <w:pStyle w:val="17"/>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95" w:type="pct"/>
                  <w:tcBorders>
                    <w:tl2br w:val="nil"/>
                    <w:tr2bl w:val="nil"/>
                  </w:tcBorders>
                  <w:vAlign w:val="center"/>
                </w:tcPr>
                <w:p w14:paraId="6778CCE2">
                  <w:pPr>
                    <w:pStyle w:val="17"/>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25" w:type="pct"/>
                  <w:tcBorders>
                    <w:tl2br w:val="nil"/>
                    <w:tr2bl w:val="nil"/>
                  </w:tcBorders>
                  <w:vAlign w:val="center"/>
                </w:tcPr>
                <w:p w14:paraId="0D8AE62A">
                  <w:pPr>
                    <w:pStyle w:val="17"/>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61" w:type="pct"/>
                  <w:tcBorders>
                    <w:tl2br w:val="nil"/>
                    <w:tr2bl w:val="nil"/>
                  </w:tcBorders>
                  <w:vAlign w:val="center"/>
                </w:tcPr>
                <w:p w14:paraId="07CA8DBC">
                  <w:pPr>
                    <w:pStyle w:val="17"/>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298" w:type="pct"/>
                  <w:vMerge w:val="continue"/>
                  <w:tcBorders>
                    <w:tl2br w:val="nil"/>
                    <w:tr2bl w:val="nil"/>
                  </w:tcBorders>
                  <w:tcMar>
                    <w:top w:w="15" w:type="dxa"/>
                    <w:left w:w="15" w:type="dxa"/>
                    <w:bottom w:w="0" w:type="dxa"/>
                    <w:right w:w="15" w:type="dxa"/>
                  </w:tcMar>
                  <w:vAlign w:val="center"/>
                </w:tcPr>
                <w:p w14:paraId="77CE38C6">
                  <w:pPr>
                    <w:pStyle w:val="17"/>
                    <w:jc w:val="center"/>
                    <w:rPr>
                      <w:rFonts w:hint="default" w:ascii="Times New Roman" w:hAnsi="Times New Roman" w:eastAsia="宋体" w:cs="Times New Roman"/>
                      <w:color w:val="auto"/>
                      <w:sz w:val="21"/>
                      <w:szCs w:val="21"/>
                    </w:rPr>
                  </w:pPr>
                </w:p>
              </w:tc>
            </w:tr>
            <w:tr w14:paraId="7C5612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000" w:type="pct"/>
                  <w:gridSpan w:val="7"/>
                  <w:tcBorders>
                    <w:tl2br w:val="nil"/>
                    <w:tr2bl w:val="nil"/>
                  </w:tcBorders>
                  <w:tcMar>
                    <w:top w:w="15" w:type="dxa"/>
                    <w:left w:w="15" w:type="dxa"/>
                    <w:bottom w:w="0" w:type="dxa"/>
                    <w:right w:w="15" w:type="dxa"/>
                  </w:tcMar>
                  <w:vAlign w:val="center"/>
                </w:tcPr>
                <w:p w14:paraId="5E62FF3E">
                  <w:pPr>
                    <w:pStyle w:val="17"/>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七、安全检测防护设备</w:t>
                  </w:r>
                </w:p>
              </w:tc>
            </w:tr>
            <w:tr w14:paraId="1DB309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06" w:type="dxa"/>
                  <w:tcBorders>
                    <w:tl2br w:val="nil"/>
                    <w:tr2bl w:val="nil"/>
                  </w:tcBorders>
                  <w:tcMar>
                    <w:top w:w="15" w:type="dxa"/>
                    <w:left w:w="15" w:type="dxa"/>
                    <w:bottom w:w="0" w:type="dxa"/>
                    <w:right w:w="15" w:type="dxa"/>
                  </w:tcMar>
                  <w:vAlign w:val="center"/>
                </w:tcPr>
                <w:p w14:paraId="3837E17F">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p>
              </w:tc>
              <w:tc>
                <w:tcPr>
                  <w:tcW w:w="1028" w:type="pct"/>
                  <w:tcBorders>
                    <w:tl2br w:val="nil"/>
                    <w:tr2bl w:val="nil"/>
                  </w:tcBorders>
                  <w:tcMar>
                    <w:top w:w="15" w:type="dxa"/>
                    <w:left w:w="15" w:type="dxa"/>
                    <w:bottom w:w="0" w:type="dxa"/>
                    <w:right w:w="15" w:type="dxa"/>
                  </w:tcMar>
                  <w:vAlign w:val="center"/>
                </w:tcPr>
                <w:p w14:paraId="1BC38C04">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正压式呼吸器</w:t>
                  </w:r>
                </w:p>
              </w:tc>
              <w:tc>
                <w:tcPr>
                  <w:tcW w:w="964" w:type="pct"/>
                  <w:tcBorders>
                    <w:tl2br w:val="nil"/>
                    <w:tr2bl w:val="nil"/>
                  </w:tcBorders>
                  <w:tcMar>
                    <w:top w:w="15" w:type="dxa"/>
                    <w:left w:w="15" w:type="dxa"/>
                    <w:bottom w:w="0" w:type="dxa"/>
                    <w:right w:w="15" w:type="dxa"/>
                  </w:tcMar>
                  <w:vAlign w:val="center"/>
                </w:tcPr>
                <w:p w14:paraId="5114FC78">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RHZKF6.9/30-1</w:t>
                  </w:r>
                </w:p>
              </w:tc>
              <w:tc>
                <w:tcPr>
                  <w:tcW w:w="495" w:type="pct"/>
                  <w:tcBorders>
                    <w:tl2br w:val="nil"/>
                    <w:tr2bl w:val="nil"/>
                  </w:tcBorders>
                  <w:vAlign w:val="center"/>
                </w:tcPr>
                <w:p w14:paraId="6EA633BF">
                  <w:pPr>
                    <w:pStyle w:val="17"/>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25" w:type="pct"/>
                  <w:tcBorders>
                    <w:tl2br w:val="nil"/>
                    <w:tr2bl w:val="nil"/>
                  </w:tcBorders>
                  <w:vAlign w:val="center"/>
                </w:tcPr>
                <w:p w14:paraId="2CB44BAA">
                  <w:pPr>
                    <w:pStyle w:val="17"/>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61" w:type="pct"/>
                  <w:tcBorders>
                    <w:tl2br w:val="nil"/>
                    <w:tr2bl w:val="nil"/>
                  </w:tcBorders>
                  <w:vAlign w:val="center"/>
                </w:tcPr>
                <w:p w14:paraId="50C03F51">
                  <w:pPr>
                    <w:pStyle w:val="17"/>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1298" w:type="pct"/>
                  <w:vMerge w:val="restart"/>
                  <w:tcBorders>
                    <w:tl2br w:val="nil"/>
                    <w:tr2bl w:val="nil"/>
                  </w:tcBorders>
                  <w:tcMar>
                    <w:top w:w="15" w:type="dxa"/>
                    <w:left w:w="15" w:type="dxa"/>
                    <w:bottom w:w="0" w:type="dxa"/>
                    <w:right w:w="15" w:type="dxa"/>
                  </w:tcMar>
                  <w:vAlign w:val="center"/>
                </w:tcPr>
                <w:p w14:paraId="5AD6AD2D">
                  <w:pPr>
                    <w:pStyle w:val="17"/>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个人防护</w:t>
                  </w:r>
                </w:p>
              </w:tc>
            </w:tr>
            <w:tr w14:paraId="4A91EC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06" w:type="dxa"/>
                  <w:tcBorders>
                    <w:tl2br w:val="nil"/>
                    <w:tr2bl w:val="nil"/>
                  </w:tcBorders>
                  <w:tcMar>
                    <w:top w:w="15" w:type="dxa"/>
                    <w:left w:w="15" w:type="dxa"/>
                    <w:bottom w:w="0" w:type="dxa"/>
                    <w:right w:w="15" w:type="dxa"/>
                  </w:tcMar>
                  <w:vAlign w:val="center"/>
                </w:tcPr>
                <w:p w14:paraId="4073E8CD">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w:t>
                  </w:r>
                </w:p>
              </w:tc>
              <w:tc>
                <w:tcPr>
                  <w:tcW w:w="1028" w:type="pct"/>
                  <w:tcBorders>
                    <w:tl2br w:val="nil"/>
                    <w:tr2bl w:val="nil"/>
                  </w:tcBorders>
                  <w:tcMar>
                    <w:top w:w="15" w:type="dxa"/>
                    <w:left w:w="15" w:type="dxa"/>
                    <w:bottom w:w="0" w:type="dxa"/>
                    <w:right w:w="15" w:type="dxa"/>
                  </w:tcMar>
                  <w:vAlign w:val="center"/>
                </w:tcPr>
                <w:p w14:paraId="067F234C">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防毒面具</w:t>
                  </w:r>
                </w:p>
              </w:tc>
              <w:tc>
                <w:tcPr>
                  <w:tcW w:w="964" w:type="pct"/>
                  <w:tcBorders>
                    <w:tl2br w:val="nil"/>
                    <w:tr2bl w:val="nil"/>
                  </w:tcBorders>
                  <w:tcMar>
                    <w:top w:w="15" w:type="dxa"/>
                    <w:left w:w="15" w:type="dxa"/>
                    <w:bottom w:w="0" w:type="dxa"/>
                    <w:right w:w="15" w:type="dxa"/>
                  </w:tcMar>
                  <w:vAlign w:val="center"/>
                </w:tcPr>
                <w:p w14:paraId="284D9A56">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200LS 型</w:t>
                  </w:r>
                </w:p>
              </w:tc>
              <w:tc>
                <w:tcPr>
                  <w:tcW w:w="495" w:type="pct"/>
                  <w:tcBorders>
                    <w:tl2br w:val="nil"/>
                    <w:tr2bl w:val="nil"/>
                  </w:tcBorders>
                  <w:vAlign w:val="center"/>
                </w:tcPr>
                <w:p w14:paraId="6A9C9D8C">
                  <w:pPr>
                    <w:pStyle w:val="17"/>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425" w:type="pct"/>
                  <w:tcBorders>
                    <w:tl2br w:val="nil"/>
                    <w:tr2bl w:val="nil"/>
                  </w:tcBorders>
                  <w:vAlign w:val="center"/>
                </w:tcPr>
                <w:p w14:paraId="67D195B7">
                  <w:pPr>
                    <w:pStyle w:val="17"/>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361" w:type="pct"/>
                  <w:tcBorders>
                    <w:tl2br w:val="nil"/>
                    <w:tr2bl w:val="nil"/>
                  </w:tcBorders>
                  <w:vAlign w:val="center"/>
                </w:tcPr>
                <w:p w14:paraId="67F566F4">
                  <w:pPr>
                    <w:pStyle w:val="17"/>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各8套</w:t>
                  </w:r>
                </w:p>
              </w:tc>
              <w:tc>
                <w:tcPr>
                  <w:tcW w:w="1298" w:type="pct"/>
                  <w:vMerge w:val="continue"/>
                  <w:tcBorders>
                    <w:tl2br w:val="nil"/>
                    <w:tr2bl w:val="nil"/>
                  </w:tcBorders>
                  <w:tcMar>
                    <w:top w:w="15" w:type="dxa"/>
                    <w:left w:w="15" w:type="dxa"/>
                    <w:bottom w:w="0" w:type="dxa"/>
                    <w:right w:w="15" w:type="dxa"/>
                  </w:tcMar>
                  <w:vAlign w:val="center"/>
                </w:tcPr>
                <w:p w14:paraId="44E560A6">
                  <w:pPr>
                    <w:pStyle w:val="17"/>
                    <w:jc w:val="center"/>
                    <w:rPr>
                      <w:rFonts w:hint="default" w:ascii="Times New Roman" w:hAnsi="Times New Roman" w:eastAsia="宋体" w:cs="Times New Roman"/>
                      <w:color w:val="auto"/>
                      <w:sz w:val="21"/>
                      <w:szCs w:val="21"/>
                    </w:rPr>
                  </w:pPr>
                </w:p>
              </w:tc>
            </w:tr>
            <w:tr w14:paraId="2875D6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06" w:type="dxa"/>
                  <w:tcBorders>
                    <w:tl2br w:val="nil"/>
                    <w:tr2bl w:val="nil"/>
                  </w:tcBorders>
                  <w:tcMar>
                    <w:top w:w="15" w:type="dxa"/>
                    <w:left w:w="15" w:type="dxa"/>
                    <w:bottom w:w="0" w:type="dxa"/>
                    <w:right w:w="15" w:type="dxa"/>
                  </w:tcMar>
                  <w:vAlign w:val="center"/>
                </w:tcPr>
                <w:p w14:paraId="710FFC66">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w:t>
                  </w:r>
                </w:p>
              </w:tc>
              <w:tc>
                <w:tcPr>
                  <w:tcW w:w="1028" w:type="pct"/>
                  <w:tcBorders>
                    <w:tl2br w:val="nil"/>
                    <w:tr2bl w:val="nil"/>
                  </w:tcBorders>
                  <w:tcMar>
                    <w:top w:w="15" w:type="dxa"/>
                    <w:left w:w="15" w:type="dxa"/>
                    <w:bottom w:w="0" w:type="dxa"/>
                    <w:right w:w="15" w:type="dxa"/>
                  </w:tcMar>
                  <w:vAlign w:val="center"/>
                </w:tcPr>
                <w:p w14:paraId="682923D4">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充气机</w:t>
                  </w:r>
                </w:p>
              </w:tc>
              <w:tc>
                <w:tcPr>
                  <w:tcW w:w="964" w:type="pct"/>
                  <w:tcBorders>
                    <w:tl2br w:val="nil"/>
                    <w:tr2bl w:val="nil"/>
                  </w:tcBorders>
                  <w:tcMar>
                    <w:top w:w="15" w:type="dxa"/>
                    <w:left w:w="15" w:type="dxa"/>
                    <w:bottom w:w="0" w:type="dxa"/>
                    <w:right w:w="15" w:type="dxa"/>
                  </w:tcMar>
                  <w:vAlign w:val="center"/>
                </w:tcPr>
                <w:p w14:paraId="3A742F92">
                  <w:pPr>
                    <w:pStyle w:val="17"/>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95" w:type="pct"/>
                  <w:tcBorders>
                    <w:tl2br w:val="nil"/>
                    <w:tr2bl w:val="nil"/>
                  </w:tcBorders>
                  <w:vAlign w:val="center"/>
                </w:tcPr>
                <w:p w14:paraId="1326B1E8">
                  <w:pPr>
                    <w:pStyle w:val="17"/>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425" w:type="pct"/>
                  <w:tcBorders>
                    <w:tl2br w:val="nil"/>
                    <w:tr2bl w:val="nil"/>
                  </w:tcBorders>
                  <w:vAlign w:val="center"/>
                </w:tcPr>
                <w:p w14:paraId="36F1D9E5">
                  <w:pPr>
                    <w:pStyle w:val="17"/>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361" w:type="pct"/>
                  <w:tcBorders>
                    <w:tl2br w:val="nil"/>
                    <w:tr2bl w:val="nil"/>
                  </w:tcBorders>
                  <w:vAlign w:val="center"/>
                </w:tcPr>
                <w:p w14:paraId="13DCD3E9">
                  <w:pPr>
                    <w:pStyle w:val="17"/>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298" w:type="pct"/>
                  <w:vMerge w:val="continue"/>
                  <w:tcBorders>
                    <w:tl2br w:val="nil"/>
                    <w:tr2bl w:val="nil"/>
                  </w:tcBorders>
                  <w:tcMar>
                    <w:top w:w="15" w:type="dxa"/>
                    <w:left w:w="15" w:type="dxa"/>
                    <w:bottom w:w="0" w:type="dxa"/>
                    <w:right w:w="15" w:type="dxa"/>
                  </w:tcMar>
                  <w:vAlign w:val="center"/>
                </w:tcPr>
                <w:p w14:paraId="788F679E">
                  <w:pPr>
                    <w:pStyle w:val="17"/>
                    <w:jc w:val="center"/>
                    <w:rPr>
                      <w:rFonts w:hint="default" w:ascii="Times New Roman" w:hAnsi="Times New Roman" w:eastAsia="宋体" w:cs="Times New Roman"/>
                      <w:color w:val="auto"/>
                      <w:sz w:val="21"/>
                      <w:szCs w:val="21"/>
                    </w:rPr>
                  </w:pPr>
                </w:p>
              </w:tc>
            </w:tr>
            <w:tr w14:paraId="706C15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06" w:type="dxa"/>
                  <w:tcBorders>
                    <w:tl2br w:val="nil"/>
                    <w:tr2bl w:val="nil"/>
                  </w:tcBorders>
                  <w:tcMar>
                    <w:top w:w="15" w:type="dxa"/>
                    <w:left w:w="15" w:type="dxa"/>
                    <w:bottom w:w="0" w:type="dxa"/>
                    <w:right w:w="15" w:type="dxa"/>
                  </w:tcMar>
                  <w:vAlign w:val="center"/>
                </w:tcPr>
                <w:p w14:paraId="529369E8">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w:t>
                  </w:r>
                </w:p>
              </w:tc>
              <w:tc>
                <w:tcPr>
                  <w:tcW w:w="1028" w:type="pct"/>
                  <w:tcBorders>
                    <w:tl2br w:val="nil"/>
                    <w:tr2bl w:val="nil"/>
                  </w:tcBorders>
                  <w:tcMar>
                    <w:top w:w="15" w:type="dxa"/>
                    <w:left w:w="15" w:type="dxa"/>
                    <w:bottom w:w="0" w:type="dxa"/>
                    <w:right w:w="15" w:type="dxa"/>
                  </w:tcMar>
                  <w:vAlign w:val="center"/>
                </w:tcPr>
                <w:p w14:paraId="15FC8217">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可燃气体检测仪</w:t>
                  </w:r>
                </w:p>
              </w:tc>
              <w:tc>
                <w:tcPr>
                  <w:tcW w:w="964" w:type="pct"/>
                  <w:tcBorders>
                    <w:tl2br w:val="nil"/>
                    <w:tr2bl w:val="nil"/>
                  </w:tcBorders>
                  <w:tcMar>
                    <w:top w:w="15" w:type="dxa"/>
                    <w:left w:w="15" w:type="dxa"/>
                    <w:bottom w:w="0" w:type="dxa"/>
                    <w:right w:w="15" w:type="dxa"/>
                  </w:tcMar>
                  <w:vAlign w:val="center"/>
                </w:tcPr>
                <w:p w14:paraId="2025CBC7">
                  <w:pPr>
                    <w:pStyle w:val="17"/>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95" w:type="pct"/>
                  <w:tcBorders>
                    <w:tl2br w:val="nil"/>
                    <w:tr2bl w:val="nil"/>
                  </w:tcBorders>
                  <w:vAlign w:val="center"/>
                </w:tcPr>
                <w:p w14:paraId="759A5FCC">
                  <w:pPr>
                    <w:pStyle w:val="17"/>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425" w:type="pct"/>
                  <w:tcBorders>
                    <w:tl2br w:val="nil"/>
                    <w:tr2bl w:val="nil"/>
                  </w:tcBorders>
                  <w:vAlign w:val="center"/>
                </w:tcPr>
                <w:p w14:paraId="33C78AC5">
                  <w:pPr>
                    <w:pStyle w:val="17"/>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361" w:type="pct"/>
                  <w:tcBorders>
                    <w:tl2br w:val="nil"/>
                    <w:tr2bl w:val="nil"/>
                  </w:tcBorders>
                  <w:vAlign w:val="center"/>
                </w:tcPr>
                <w:p w14:paraId="4CBA4990">
                  <w:pPr>
                    <w:pStyle w:val="17"/>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1298" w:type="pct"/>
                  <w:vMerge w:val="continue"/>
                  <w:tcBorders>
                    <w:tl2br w:val="nil"/>
                    <w:tr2bl w:val="nil"/>
                  </w:tcBorders>
                  <w:tcMar>
                    <w:top w:w="15" w:type="dxa"/>
                    <w:left w:w="15" w:type="dxa"/>
                    <w:bottom w:w="0" w:type="dxa"/>
                    <w:right w:w="15" w:type="dxa"/>
                  </w:tcMar>
                  <w:vAlign w:val="center"/>
                </w:tcPr>
                <w:p w14:paraId="00DEA858">
                  <w:pPr>
                    <w:pStyle w:val="17"/>
                    <w:jc w:val="center"/>
                    <w:rPr>
                      <w:rFonts w:hint="default" w:ascii="Times New Roman" w:hAnsi="Times New Roman" w:eastAsia="宋体" w:cs="Times New Roman"/>
                      <w:color w:val="auto"/>
                      <w:sz w:val="21"/>
                      <w:szCs w:val="21"/>
                    </w:rPr>
                  </w:pPr>
                </w:p>
              </w:tc>
            </w:tr>
            <w:tr w14:paraId="306676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06" w:type="dxa"/>
                  <w:tcBorders>
                    <w:tl2br w:val="nil"/>
                    <w:tr2bl w:val="nil"/>
                  </w:tcBorders>
                  <w:tcMar>
                    <w:top w:w="15" w:type="dxa"/>
                    <w:left w:w="15" w:type="dxa"/>
                    <w:bottom w:w="0" w:type="dxa"/>
                    <w:right w:w="15" w:type="dxa"/>
                  </w:tcMar>
                  <w:vAlign w:val="center"/>
                </w:tcPr>
                <w:p w14:paraId="0B5C3CCF">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w:t>
                  </w:r>
                </w:p>
              </w:tc>
              <w:tc>
                <w:tcPr>
                  <w:tcW w:w="1028" w:type="pct"/>
                  <w:tcBorders>
                    <w:tl2br w:val="nil"/>
                    <w:tr2bl w:val="nil"/>
                  </w:tcBorders>
                  <w:tcMar>
                    <w:top w:w="15" w:type="dxa"/>
                    <w:left w:w="15" w:type="dxa"/>
                    <w:bottom w:w="0" w:type="dxa"/>
                    <w:right w:w="15" w:type="dxa"/>
                  </w:tcMar>
                  <w:vAlign w:val="center"/>
                </w:tcPr>
                <w:p w14:paraId="5D77B4B7">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四合一检测</w:t>
                  </w:r>
                </w:p>
              </w:tc>
              <w:tc>
                <w:tcPr>
                  <w:tcW w:w="964" w:type="pct"/>
                  <w:tcBorders>
                    <w:tl2br w:val="nil"/>
                    <w:tr2bl w:val="nil"/>
                  </w:tcBorders>
                  <w:tcMar>
                    <w:top w:w="15" w:type="dxa"/>
                    <w:left w:w="15" w:type="dxa"/>
                    <w:bottom w:w="0" w:type="dxa"/>
                    <w:right w:w="15" w:type="dxa"/>
                  </w:tcMar>
                  <w:vAlign w:val="center"/>
                </w:tcPr>
                <w:p w14:paraId="3B5DC8D1">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MSA 四合一</w:t>
                  </w:r>
                </w:p>
              </w:tc>
              <w:tc>
                <w:tcPr>
                  <w:tcW w:w="495" w:type="pct"/>
                  <w:tcBorders>
                    <w:tl2br w:val="nil"/>
                    <w:tr2bl w:val="nil"/>
                  </w:tcBorders>
                  <w:vAlign w:val="center"/>
                </w:tcPr>
                <w:p w14:paraId="095A5408">
                  <w:pPr>
                    <w:pStyle w:val="17"/>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425" w:type="pct"/>
                  <w:tcBorders>
                    <w:tl2br w:val="nil"/>
                    <w:tr2bl w:val="nil"/>
                  </w:tcBorders>
                  <w:vAlign w:val="center"/>
                </w:tcPr>
                <w:p w14:paraId="1246C549">
                  <w:pPr>
                    <w:pStyle w:val="17"/>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361" w:type="pct"/>
                  <w:tcBorders>
                    <w:tl2br w:val="nil"/>
                    <w:tr2bl w:val="nil"/>
                  </w:tcBorders>
                  <w:vAlign w:val="center"/>
                </w:tcPr>
                <w:p w14:paraId="439C46AA">
                  <w:pPr>
                    <w:pStyle w:val="17"/>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298" w:type="pct"/>
                  <w:vMerge w:val="continue"/>
                  <w:tcBorders>
                    <w:tl2br w:val="nil"/>
                    <w:tr2bl w:val="nil"/>
                  </w:tcBorders>
                  <w:tcMar>
                    <w:top w:w="15" w:type="dxa"/>
                    <w:left w:w="15" w:type="dxa"/>
                    <w:bottom w:w="0" w:type="dxa"/>
                    <w:right w:w="15" w:type="dxa"/>
                  </w:tcMar>
                  <w:vAlign w:val="center"/>
                </w:tcPr>
                <w:p w14:paraId="0BD376AC">
                  <w:pPr>
                    <w:pStyle w:val="17"/>
                    <w:jc w:val="center"/>
                    <w:rPr>
                      <w:rFonts w:hint="default" w:ascii="Times New Roman" w:hAnsi="Times New Roman" w:eastAsia="宋体" w:cs="Times New Roman"/>
                      <w:color w:val="auto"/>
                      <w:sz w:val="21"/>
                      <w:szCs w:val="21"/>
                    </w:rPr>
                  </w:pPr>
                </w:p>
              </w:tc>
            </w:tr>
            <w:tr w14:paraId="0C0019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06" w:type="dxa"/>
                  <w:tcBorders>
                    <w:tl2br w:val="nil"/>
                    <w:tr2bl w:val="nil"/>
                  </w:tcBorders>
                  <w:tcMar>
                    <w:top w:w="15" w:type="dxa"/>
                    <w:left w:w="15" w:type="dxa"/>
                    <w:bottom w:w="0" w:type="dxa"/>
                    <w:right w:w="15" w:type="dxa"/>
                  </w:tcMar>
                  <w:vAlign w:val="center"/>
                </w:tcPr>
                <w:p w14:paraId="1E728A72">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w:t>
                  </w:r>
                </w:p>
              </w:tc>
              <w:tc>
                <w:tcPr>
                  <w:tcW w:w="1028" w:type="pct"/>
                  <w:tcBorders>
                    <w:tl2br w:val="nil"/>
                    <w:tr2bl w:val="nil"/>
                  </w:tcBorders>
                  <w:tcMar>
                    <w:top w:w="15" w:type="dxa"/>
                    <w:left w:w="15" w:type="dxa"/>
                    <w:bottom w:w="0" w:type="dxa"/>
                    <w:right w:w="15" w:type="dxa"/>
                  </w:tcMar>
                  <w:vAlign w:val="center"/>
                </w:tcPr>
                <w:p w14:paraId="2DEF391F">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差速防坠器</w:t>
                  </w:r>
                </w:p>
              </w:tc>
              <w:tc>
                <w:tcPr>
                  <w:tcW w:w="964" w:type="pct"/>
                  <w:tcBorders>
                    <w:tl2br w:val="nil"/>
                    <w:tr2bl w:val="nil"/>
                  </w:tcBorders>
                  <w:tcMar>
                    <w:top w:w="15" w:type="dxa"/>
                    <w:left w:w="15" w:type="dxa"/>
                    <w:bottom w:w="0" w:type="dxa"/>
                    <w:right w:w="15" w:type="dxa"/>
                  </w:tcMar>
                  <w:vAlign w:val="center"/>
                </w:tcPr>
                <w:p w14:paraId="3384E2DB">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TS35-00</w:t>
                  </w:r>
                </w:p>
              </w:tc>
              <w:tc>
                <w:tcPr>
                  <w:tcW w:w="495" w:type="pct"/>
                  <w:tcBorders>
                    <w:tl2br w:val="nil"/>
                    <w:tr2bl w:val="nil"/>
                  </w:tcBorders>
                  <w:vAlign w:val="center"/>
                </w:tcPr>
                <w:p w14:paraId="1AF25286">
                  <w:pPr>
                    <w:pStyle w:val="17"/>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425" w:type="pct"/>
                  <w:tcBorders>
                    <w:tl2br w:val="nil"/>
                    <w:tr2bl w:val="nil"/>
                  </w:tcBorders>
                  <w:vAlign w:val="center"/>
                </w:tcPr>
                <w:p w14:paraId="3F5717BB">
                  <w:pPr>
                    <w:pStyle w:val="17"/>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361" w:type="pct"/>
                  <w:tcBorders>
                    <w:tl2br w:val="nil"/>
                    <w:tr2bl w:val="nil"/>
                  </w:tcBorders>
                  <w:vAlign w:val="center"/>
                </w:tcPr>
                <w:p w14:paraId="2F46C1CF">
                  <w:pPr>
                    <w:pStyle w:val="17"/>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298" w:type="pct"/>
                  <w:vMerge w:val="continue"/>
                  <w:tcBorders>
                    <w:tl2br w:val="nil"/>
                    <w:tr2bl w:val="nil"/>
                  </w:tcBorders>
                  <w:tcMar>
                    <w:top w:w="15" w:type="dxa"/>
                    <w:left w:w="15" w:type="dxa"/>
                    <w:bottom w:w="0" w:type="dxa"/>
                    <w:right w:w="15" w:type="dxa"/>
                  </w:tcMar>
                  <w:vAlign w:val="center"/>
                </w:tcPr>
                <w:p w14:paraId="13A385B0">
                  <w:pPr>
                    <w:pStyle w:val="17"/>
                    <w:jc w:val="center"/>
                    <w:rPr>
                      <w:rFonts w:hint="default" w:ascii="Times New Roman" w:hAnsi="Times New Roman" w:eastAsia="宋体" w:cs="Times New Roman"/>
                      <w:color w:val="auto"/>
                      <w:sz w:val="21"/>
                      <w:szCs w:val="21"/>
                    </w:rPr>
                  </w:pPr>
                </w:p>
              </w:tc>
            </w:tr>
            <w:tr w14:paraId="67BDB7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06" w:type="dxa"/>
                  <w:tcBorders>
                    <w:tl2br w:val="nil"/>
                    <w:tr2bl w:val="nil"/>
                  </w:tcBorders>
                  <w:tcMar>
                    <w:top w:w="15" w:type="dxa"/>
                    <w:left w:w="15" w:type="dxa"/>
                    <w:bottom w:w="0" w:type="dxa"/>
                    <w:right w:w="15" w:type="dxa"/>
                  </w:tcMar>
                  <w:vAlign w:val="center"/>
                </w:tcPr>
                <w:p w14:paraId="15CF767F">
                  <w:pPr>
                    <w:pStyle w:val="17"/>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1028" w:type="pct"/>
                  <w:tcBorders>
                    <w:tl2br w:val="nil"/>
                    <w:tr2bl w:val="nil"/>
                  </w:tcBorders>
                  <w:tcMar>
                    <w:top w:w="15" w:type="dxa"/>
                    <w:left w:w="15" w:type="dxa"/>
                    <w:bottom w:w="0" w:type="dxa"/>
                    <w:right w:w="15" w:type="dxa"/>
                  </w:tcMar>
                  <w:vAlign w:val="center"/>
                </w:tcPr>
                <w:p w14:paraId="5CD12103">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安全逃跑器</w:t>
                  </w:r>
                </w:p>
              </w:tc>
              <w:tc>
                <w:tcPr>
                  <w:tcW w:w="964" w:type="pct"/>
                  <w:tcBorders>
                    <w:tl2br w:val="nil"/>
                    <w:tr2bl w:val="nil"/>
                  </w:tcBorders>
                  <w:tcMar>
                    <w:top w:w="15" w:type="dxa"/>
                    <w:left w:w="15" w:type="dxa"/>
                    <w:bottom w:w="0" w:type="dxa"/>
                    <w:right w:w="15" w:type="dxa"/>
                  </w:tcMar>
                  <w:vAlign w:val="center"/>
                </w:tcPr>
                <w:p w14:paraId="2A1572A7">
                  <w:pPr>
                    <w:pStyle w:val="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FZL80</w:t>
                  </w:r>
                </w:p>
              </w:tc>
              <w:tc>
                <w:tcPr>
                  <w:tcW w:w="495" w:type="pct"/>
                  <w:tcBorders>
                    <w:tl2br w:val="nil"/>
                    <w:tr2bl w:val="nil"/>
                  </w:tcBorders>
                  <w:vAlign w:val="center"/>
                </w:tcPr>
                <w:p w14:paraId="7D48CDA9">
                  <w:pPr>
                    <w:pStyle w:val="17"/>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425" w:type="pct"/>
                  <w:tcBorders>
                    <w:tl2br w:val="nil"/>
                    <w:tr2bl w:val="nil"/>
                  </w:tcBorders>
                  <w:vAlign w:val="center"/>
                </w:tcPr>
                <w:p w14:paraId="1F44652B">
                  <w:pPr>
                    <w:pStyle w:val="17"/>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361" w:type="pct"/>
                  <w:tcBorders>
                    <w:tl2br w:val="nil"/>
                    <w:tr2bl w:val="nil"/>
                  </w:tcBorders>
                  <w:vAlign w:val="center"/>
                </w:tcPr>
                <w:p w14:paraId="48EB8F33">
                  <w:pPr>
                    <w:pStyle w:val="17"/>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298" w:type="pct"/>
                  <w:vMerge w:val="continue"/>
                  <w:tcBorders>
                    <w:tl2br w:val="nil"/>
                    <w:tr2bl w:val="nil"/>
                  </w:tcBorders>
                  <w:tcMar>
                    <w:top w:w="15" w:type="dxa"/>
                    <w:left w:w="15" w:type="dxa"/>
                    <w:bottom w:w="0" w:type="dxa"/>
                    <w:right w:w="15" w:type="dxa"/>
                  </w:tcMar>
                  <w:vAlign w:val="center"/>
                </w:tcPr>
                <w:p w14:paraId="759EA87A">
                  <w:pPr>
                    <w:pStyle w:val="17"/>
                    <w:jc w:val="center"/>
                    <w:rPr>
                      <w:rFonts w:hint="default" w:ascii="Times New Roman" w:hAnsi="Times New Roman" w:eastAsia="宋体" w:cs="Times New Roman"/>
                      <w:color w:val="auto"/>
                      <w:sz w:val="21"/>
                      <w:szCs w:val="21"/>
                    </w:rPr>
                  </w:pPr>
                </w:p>
              </w:tc>
            </w:tr>
            <w:tr w14:paraId="433C73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06" w:type="dxa"/>
                  <w:tcBorders>
                    <w:tl2br w:val="nil"/>
                    <w:tr2bl w:val="nil"/>
                  </w:tcBorders>
                  <w:tcMar>
                    <w:top w:w="15" w:type="dxa"/>
                    <w:left w:w="15" w:type="dxa"/>
                    <w:bottom w:w="0" w:type="dxa"/>
                    <w:right w:w="15" w:type="dxa"/>
                  </w:tcMar>
                  <w:vAlign w:val="center"/>
                </w:tcPr>
                <w:p w14:paraId="79134BDE">
                  <w:pPr>
                    <w:pStyle w:val="17"/>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1028" w:type="pct"/>
                  <w:tcBorders>
                    <w:tl2br w:val="nil"/>
                    <w:tr2bl w:val="nil"/>
                  </w:tcBorders>
                  <w:tcMar>
                    <w:top w:w="15" w:type="dxa"/>
                    <w:left w:w="15" w:type="dxa"/>
                    <w:bottom w:w="0" w:type="dxa"/>
                    <w:right w:w="15" w:type="dxa"/>
                  </w:tcMar>
                  <w:vAlign w:val="center"/>
                </w:tcPr>
                <w:p w14:paraId="2F98997B">
                  <w:pPr>
                    <w:pStyle w:val="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安全逃跑器</w:t>
                  </w:r>
                </w:p>
              </w:tc>
              <w:tc>
                <w:tcPr>
                  <w:tcW w:w="964" w:type="pct"/>
                  <w:tcBorders>
                    <w:tl2br w:val="nil"/>
                    <w:tr2bl w:val="nil"/>
                  </w:tcBorders>
                  <w:tcMar>
                    <w:top w:w="15" w:type="dxa"/>
                    <w:left w:w="15" w:type="dxa"/>
                    <w:bottom w:w="0" w:type="dxa"/>
                    <w:right w:w="15" w:type="dxa"/>
                  </w:tcMar>
                  <w:vAlign w:val="center"/>
                </w:tcPr>
                <w:p w14:paraId="73C277B7">
                  <w:pPr>
                    <w:pStyle w:val="17"/>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95" w:type="pct"/>
                  <w:tcBorders>
                    <w:tl2br w:val="nil"/>
                    <w:tr2bl w:val="nil"/>
                  </w:tcBorders>
                  <w:vAlign w:val="center"/>
                </w:tcPr>
                <w:p w14:paraId="161EA8A4">
                  <w:pPr>
                    <w:pStyle w:val="17"/>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425" w:type="pct"/>
                  <w:tcBorders>
                    <w:tl2br w:val="nil"/>
                    <w:tr2bl w:val="nil"/>
                  </w:tcBorders>
                  <w:vAlign w:val="center"/>
                </w:tcPr>
                <w:p w14:paraId="34BB174A">
                  <w:pPr>
                    <w:pStyle w:val="17"/>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361" w:type="pct"/>
                  <w:tcBorders>
                    <w:tl2br w:val="nil"/>
                    <w:tr2bl w:val="nil"/>
                  </w:tcBorders>
                  <w:vAlign w:val="center"/>
                </w:tcPr>
                <w:p w14:paraId="5961DBB0">
                  <w:pPr>
                    <w:pStyle w:val="17"/>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1298" w:type="pct"/>
                  <w:vMerge w:val="continue"/>
                  <w:tcBorders>
                    <w:tl2br w:val="nil"/>
                    <w:tr2bl w:val="nil"/>
                  </w:tcBorders>
                  <w:tcMar>
                    <w:top w:w="15" w:type="dxa"/>
                    <w:left w:w="15" w:type="dxa"/>
                    <w:bottom w:w="0" w:type="dxa"/>
                    <w:right w:w="15" w:type="dxa"/>
                  </w:tcMar>
                  <w:vAlign w:val="center"/>
                </w:tcPr>
                <w:p w14:paraId="2F6E2AC5">
                  <w:pPr>
                    <w:pStyle w:val="17"/>
                    <w:jc w:val="center"/>
                    <w:rPr>
                      <w:rFonts w:hint="default" w:ascii="Times New Roman" w:hAnsi="Times New Roman" w:eastAsia="宋体" w:cs="Times New Roman"/>
                      <w:color w:val="auto"/>
                      <w:sz w:val="21"/>
                      <w:szCs w:val="21"/>
                    </w:rPr>
                  </w:pPr>
                </w:p>
              </w:tc>
            </w:tr>
          </w:tbl>
          <w:p w14:paraId="22C542C3">
            <w:pPr>
              <w:pStyle w:val="2"/>
              <w:ind w:firstLine="482" w:firstLineChars="200"/>
              <w:rPr>
                <w:rFonts w:eastAsia="宋体"/>
                <w:color w:val="auto"/>
                <w:highlight w:val="none"/>
              </w:rPr>
            </w:pPr>
            <w:r>
              <w:rPr>
                <w:rFonts w:hint="eastAsia" w:eastAsia="宋体"/>
                <w:color w:val="auto"/>
                <w:highlight w:val="none"/>
                <w:lang w:val="en-US" w:eastAsia="zh-CN"/>
              </w:rPr>
              <w:t>6</w:t>
            </w:r>
            <w:r>
              <w:rPr>
                <w:rFonts w:hint="eastAsia" w:eastAsia="宋体"/>
                <w:color w:val="auto"/>
                <w:highlight w:val="none"/>
              </w:rPr>
              <w:t>、主要原辅材料及耗能</w:t>
            </w:r>
          </w:p>
          <w:p w14:paraId="5B1C0F7D">
            <w:pPr>
              <w:pStyle w:val="3"/>
              <w:ind w:firstLine="480"/>
              <w:rPr>
                <w:rFonts w:eastAsia="宋体"/>
                <w:color w:val="auto"/>
                <w:highlight w:val="none"/>
              </w:rPr>
            </w:pPr>
            <w:r>
              <w:rPr>
                <w:rFonts w:hint="eastAsia" w:eastAsia="宋体"/>
                <w:color w:val="auto"/>
                <w:highlight w:val="none"/>
              </w:rPr>
              <w:t>本项目钻井液体系见下表。</w:t>
            </w:r>
          </w:p>
          <w:p w14:paraId="11CBD5E6">
            <w:pPr>
              <w:pStyle w:val="16"/>
              <w:rPr>
                <w:rFonts w:eastAsia="宋体"/>
                <w:color w:val="auto"/>
                <w:highlight w:val="none"/>
              </w:rPr>
            </w:pPr>
            <w:r>
              <w:rPr>
                <w:rFonts w:hint="eastAsia" w:eastAsia="宋体"/>
                <w:color w:val="auto"/>
                <w:highlight w:val="none"/>
              </w:rPr>
              <w:t>表2-</w:t>
            </w:r>
            <w:r>
              <w:rPr>
                <w:rFonts w:hint="eastAsia" w:eastAsia="宋体"/>
                <w:color w:val="auto"/>
                <w:highlight w:val="none"/>
                <w:lang w:val="en-US" w:eastAsia="zh-CN"/>
              </w:rPr>
              <w:t>6</w:t>
            </w:r>
            <w:r>
              <w:rPr>
                <w:rFonts w:hint="eastAsia" w:eastAsia="宋体"/>
                <w:color w:val="auto"/>
                <w:highlight w:val="none"/>
              </w:rPr>
              <w:t xml:space="preserve">  钻井液体系</w:t>
            </w:r>
          </w:p>
          <w:tbl>
            <w:tblPr>
              <w:tblStyle w:val="1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38"/>
              <w:gridCol w:w="4629"/>
            </w:tblGrid>
            <w:tr w14:paraId="6BDBE4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81" w:type="pct"/>
                  <w:tcBorders>
                    <w:tl2br w:val="nil"/>
                    <w:tr2bl w:val="nil"/>
                  </w:tcBorders>
                  <w:shd w:val="clear" w:color="auto" w:fill="auto"/>
                  <w:vAlign w:val="center"/>
                </w:tcPr>
                <w:p w14:paraId="4447374B">
                  <w:pPr>
                    <w:pStyle w:val="17"/>
                    <w:rPr>
                      <w:rFonts w:eastAsia="宋体"/>
                      <w:b/>
                      <w:bCs/>
                      <w:color w:val="auto"/>
                      <w:highlight w:val="none"/>
                    </w:rPr>
                  </w:pPr>
                  <w:r>
                    <w:rPr>
                      <w:rFonts w:hint="eastAsia" w:eastAsia="宋体"/>
                      <w:b/>
                      <w:bCs/>
                      <w:color w:val="auto"/>
                      <w:highlight w:val="none"/>
                    </w:rPr>
                    <w:t>开钻次序</w:t>
                  </w:r>
                </w:p>
              </w:tc>
              <w:tc>
                <w:tcPr>
                  <w:tcW w:w="3018" w:type="pct"/>
                  <w:tcBorders>
                    <w:tl2br w:val="nil"/>
                    <w:tr2bl w:val="nil"/>
                  </w:tcBorders>
                  <w:shd w:val="clear" w:color="auto" w:fill="auto"/>
                  <w:vAlign w:val="center"/>
                </w:tcPr>
                <w:p w14:paraId="0054EAE7">
                  <w:pPr>
                    <w:pStyle w:val="17"/>
                    <w:rPr>
                      <w:rFonts w:eastAsia="宋体"/>
                      <w:b/>
                      <w:bCs/>
                      <w:color w:val="auto"/>
                      <w:highlight w:val="none"/>
                    </w:rPr>
                  </w:pPr>
                  <w:r>
                    <w:rPr>
                      <w:rFonts w:hint="eastAsia" w:eastAsia="宋体"/>
                      <w:b/>
                      <w:bCs/>
                      <w:color w:val="auto"/>
                      <w:highlight w:val="none"/>
                    </w:rPr>
                    <w:t>钻井液体系</w:t>
                  </w:r>
                </w:p>
              </w:tc>
            </w:tr>
            <w:tr w14:paraId="37D08F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81" w:type="pct"/>
                  <w:tcBorders>
                    <w:tl2br w:val="nil"/>
                    <w:tr2bl w:val="nil"/>
                  </w:tcBorders>
                  <w:shd w:val="clear" w:color="auto" w:fill="auto"/>
                  <w:vAlign w:val="center"/>
                </w:tcPr>
                <w:p w14:paraId="54478829">
                  <w:pPr>
                    <w:pStyle w:val="17"/>
                    <w:rPr>
                      <w:rFonts w:eastAsia="宋体"/>
                      <w:color w:val="auto"/>
                      <w:highlight w:val="none"/>
                    </w:rPr>
                  </w:pPr>
                  <w:r>
                    <w:rPr>
                      <w:rFonts w:hint="eastAsia" w:eastAsia="宋体"/>
                      <w:color w:val="auto"/>
                      <w:highlight w:val="none"/>
                    </w:rPr>
                    <w:t>一开</w:t>
                  </w:r>
                </w:p>
              </w:tc>
              <w:tc>
                <w:tcPr>
                  <w:tcW w:w="3018" w:type="pct"/>
                  <w:tcBorders>
                    <w:tl2br w:val="nil"/>
                    <w:tr2bl w:val="nil"/>
                  </w:tcBorders>
                  <w:shd w:val="clear" w:color="auto" w:fill="auto"/>
                  <w:vAlign w:val="center"/>
                </w:tcPr>
                <w:p w14:paraId="3D0ED6EC">
                  <w:pPr>
                    <w:pStyle w:val="17"/>
                    <w:rPr>
                      <w:rFonts w:eastAsia="宋体"/>
                      <w:color w:val="auto"/>
                      <w:highlight w:val="none"/>
                    </w:rPr>
                  </w:pPr>
                  <w:r>
                    <w:rPr>
                      <w:rFonts w:hint="eastAsia" w:eastAsia="宋体"/>
                      <w:color w:val="auto"/>
                      <w:highlight w:val="none"/>
                    </w:rPr>
                    <w:t>水基钻井液</w:t>
                  </w:r>
                </w:p>
              </w:tc>
            </w:tr>
            <w:tr w14:paraId="7460A4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81" w:type="pct"/>
                  <w:tcBorders>
                    <w:tl2br w:val="nil"/>
                    <w:tr2bl w:val="nil"/>
                  </w:tcBorders>
                  <w:shd w:val="clear" w:color="auto" w:fill="auto"/>
                  <w:vAlign w:val="center"/>
                </w:tcPr>
                <w:p w14:paraId="7A2E3B27">
                  <w:pPr>
                    <w:pStyle w:val="17"/>
                    <w:rPr>
                      <w:rFonts w:eastAsia="宋体"/>
                      <w:color w:val="auto"/>
                      <w:highlight w:val="none"/>
                    </w:rPr>
                  </w:pPr>
                  <w:r>
                    <w:rPr>
                      <w:rFonts w:hint="eastAsia" w:eastAsia="宋体"/>
                      <w:color w:val="auto"/>
                      <w:highlight w:val="none"/>
                    </w:rPr>
                    <w:t>二开</w:t>
                  </w:r>
                </w:p>
              </w:tc>
              <w:tc>
                <w:tcPr>
                  <w:tcW w:w="3018" w:type="pct"/>
                  <w:tcBorders>
                    <w:tl2br w:val="nil"/>
                    <w:tr2bl w:val="nil"/>
                  </w:tcBorders>
                  <w:shd w:val="clear" w:color="auto" w:fill="auto"/>
                  <w:vAlign w:val="center"/>
                </w:tcPr>
                <w:p w14:paraId="4E385F77">
                  <w:pPr>
                    <w:pStyle w:val="17"/>
                    <w:rPr>
                      <w:rFonts w:eastAsia="宋体"/>
                      <w:color w:val="auto"/>
                      <w:highlight w:val="none"/>
                    </w:rPr>
                  </w:pPr>
                  <w:r>
                    <w:rPr>
                      <w:rFonts w:hint="eastAsia" w:eastAsia="宋体"/>
                      <w:color w:val="auto"/>
                      <w:highlight w:val="none"/>
                    </w:rPr>
                    <w:t>水基钻井液</w:t>
                  </w:r>
                </w:p>
              </w:tc>
            </w:tr>
          </w:tbl>
          <w:p w14:paraId="22A88C5D">
            <w:pPr>
              <w:pStyle w:val="3"/>
              <w:ind w:firstLine="480"/>
              <w:rPr>
                <w:rFonts w:hint="eastAsia" w:eastAsia="宋体"/>
                <w:color w:val="auto"/>
                <w:highlight w:val="none"/>
                <w:lang w:eastAsia="zh-CN"/>
              </w:rPr>
            </w:pPr>
            <w:r>
              <w:rPr>
                <w:rFonts w:hint="eastAsia" w:eastAsia="宋体"/>
                <w:color w:val="auto"/>
                <w:highlight w:val="none"/>
                <w:lang w:val="en-US" w:eastAsia="zh-CN"/>
              </w:rPr>
              <w:t>本项目无专用的射孔液，钻孔液兼做射孔液。</w:t>
            </w:r>
          </w:p>
          <w:p w14:paraId="2C1FFDC6">
            <w:pPr>
              <w:pStyle w:val="3"/>
              <w:ind w:firstLine="480"/>
              <w:rPr>
                <w:rFonts w:hint="eastAsia" w:eastAsia="宋体"/>
                <w:color w:val="auto"/>
                <w:highlight w:val="none"/>
              </w:rPr>
            </w:pPr>
            <w:r>
              <w:rPr>
                <w:rFonts w:hint="eastAsia" w:eastAsia="宋体"/>
                <w:color w:val="auto"/>
                <w:highlight w:val="none"/>
                <w:lang w:eastAsia="zh-CN"/>
              </w:rPr>
              <w:t>单个井场</w:t>
            </w:r>
            <w:r>
              <w:rPr>
                <w:rFonts w:hint="eastAsia" w:eastAsia="宋体"/>
                <w:color w:val="auto"/>
                <w:highlight w:val="none"/>
              </w:rPr>
              <w:t>主要原辅材料及能源消耗见下表。</w:t>
            </w:r>
            <w:r>
              <w:rPr>
                <w:rFonts w:hint="eastAsia" w:eastAsia="宋体"/>
                <w:color w:val="auto"/>
                <w:highlight w:val="none"/>
                <w:lang w:eastAsia="zh-CN"/>
              </w:rPr>
              <w:t>本项目原辅材料中除柴油为罐装外，其他原辅料均为桶装或袋装。原辅材料根据现场施工进度贮存，存储量</w:t>
            </w:r>
            <w:r>
              <w:rPr>
                <w:rFonts w:hint="eastAsia" w:eastAsia="宋体"/>
                <w:color w:val="auto"/>
                <w:highlight w:val="none"/>
                <w:lang w:val="en-US" w:eastAsia="zh-CN"/>
              </w:rPr>
              <w:t>平均</w:t>
            </w:r>
            <w:r>
              <w:rPr>
                <w:rFonts w:hint="eastAsia" w:eastAsia="宋体"/>
                <w:color w:val="auto"/>
                <w:highlight w:val="none"/>
                <w:lang w:eastAsia="zh-CN"/>
              </w:rPr>
              <w:t>约为使用量的</w:t>
            </w:r>
            <w:r>
              <w:rPr>
                <w:rFonts w:hint="eastAsia" w:eastAsia="宋体"/>
                <w:color w:val="auto"/>
                <w:highlight w:val="none"/>
                <w:lang w:val="en-US" w:eastAsia="zh-CN"/>
              </w:rPr>
              <w:t>30%。</w:t>
            </w:r>
          </w:p>
          <w:p w14:paraId="18B09E37">
            <w:pPr>
              <w:pStyle w:val="16"/>
              <w:rPr>
                <w:rFonts w:hint="eastAsia" w:eastAsia="宋体"/>
                <w:color w:val="auto"/>
                <w:lang w:eastAsia="zh-CN"/>
              </w:rPr>
            </w:pPr>
            <w:r>
              <w:rPr>
                <w:rFonts w:hint="eastAsia" w:eastAsia="宋体"/>
                <w:color w:val="auto"/>
              </w:rPr>
              <w:t>表2-</w:t>
            </w:r>
            <w:r>
              <w:rPr>
                <w:rFonts w:hint="eastAsia" w:eastAsia="宋体"/>
                <w:color w:val="auto"/>
                <w:lang w:val="en-US" w:eastAsia="zh-CN"/>
              </w:rPr>
              <w:t>7</w:t>
            </w:r>
            <w:r>
              <w:rPr>
                <w:rFonts w:hint="eastAsia" w:eastAsia="宋体"/>
                <w:color w:val="auto"/>
              </w:rPr>
              <w:t xml:space="preserve">  主要原辅料及能源消耗</w:t>
            </w:r>
          </w:p>
          <w:tbl>
            <w:tblPr>
              <w:tblStyle w:val="1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979"/>
              <w:gridCol w:w="579"/>
              <w:gridCol w:w="1711"/>
              <w:gridCol w:w="1357"/>
              <w:gridCol w:w="1395"/>
              <w:gridCol w:w="1071"/>
            </w:tblGrid>
            <w:tr w14:paraId="3D58C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tcBorders>
                    <w:tl2br w:val="nil"/>
                    <w:tr2bl w:val="nil"/>
                  </w:tcBorders>
                  <w:shd w:val="clear" w:color="auto" w:fill="auto"/>
                  <w:vAlign w:val="center"/>
                </w:tcPr>
                <w:p w14:paraId="3C03D1EE">
                  <w:pPr>
                    <w:pStyle w:val="17"/>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序号</w:t>
                  </w:r>
                </w:p>
              </w:tc>
              <w:tc>
                <w:tcPr>
                  <w:tcW w:w="2130" w:type="pct"/>
                  <w:gridSpan w:val="3"/>
                  <w:tcBorders>
                    <w:tl2br w:val="nil"/>
                    <w:tr2bl w:val="nil"/>
                  </w:tcBorders>
                  <w:shd w:val="clear" w:color="auto" w:fill="auto"/>
                  <w:vAlign w:val="center"/>
                </w:tcPr>
                <w:p w14:paraId="671409A2">
                  <w:pPr>
                    <w:pStyle w:val="17"/>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名称</w:t>
                  </w:r>
                </w:p>
              </w:tc>
              <w:tc>
                <w:tcPr>
                  <w:tcW w:w="884" w:type="pct"/>
                  <w:tcBorders>
                    <w:tl2br w:val="nil"/>
                    <w:tr2bl w:val="nil"/>
                  </w:tcBorders>
                  <w:shd w:val="clear" w:color="auto" w:fill="auto"/>
                  <w:vAlign w:val="center"/>
                </w:tcPr>
                <w:p w14:paraId="2E9FDC58">
                  <w:pPr>
                    <w:pStyle w:val="17"/>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lang w:val="en-US" w:eastAsia="zh-CN"/>
                    </w:rPr>
                    <w:t>全部</w:t>
                  </w:r>
                  <w:r>
                    <w:rPr>
                      <w:rFonts w:hint="eastAsia" w:ascii="Times New Roman" w:hAnsi="Times New Roman" w:eastAsia="宋体" w:cs="宋体"/>
                      <w:b/>
                      <w:bCs/>
                      <w:color w:val="auto"/>
                      <w:sz w:val="21"/>
                      <w:szCs w:val="21"/>
                    </w:rPr>
                    <w:t>消耗量/t</w:t>
                  </w:r>
                </w:p>
              </w:tc>
              <w:tc>
                <w:tcPr>
                  <w:tcW w:w="909" w:type="pct"/>
                  <w:tcBorders>
                    <w:tl2br w:val="nil"/>
                    <w:tr2bl w:val="nil"/>
                  </w:tcBorders>
                  <w:shd w:val="clear" w:color="auto" w:fill="auto"/>
                  <w:vAlign w:val="center"/>
                </w:tcPr>
                <w:p w14:paraId="28C699F1">
                  <w:pPr>
                    <w:pStyle w:val="17"/>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最大存储量/t</w:t>
                  </w:r>
                </w:p>
              </w:tc>
              <w:tc>
                <w:tcPr>
                  <w:tcW w:w="698" w:type="pct"/>
                  <w:tcBorders>
                    <w:tl2br w:val="nil"/>
                    <w:tr2bl w:val="nil"/>
                  </w:tcBorders>
                  <w:shd w:val="clear" w:color="auto" w:fill="auto"/>
                  <w:vAlign w:val="center"/>
                </w:tcPr>
                <w:p w14:paraId="6EF96FDA">
                  <w:pPr>
                    <w:pStyle w:val="17"/>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来源及运输</w:t>
                  </w:r>
                </w:p>
              </w:tc>
            </w:tr>
            <w:tr w14:paraId="5C5E92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tcBorders>
                    <w:tl2br w:val="nil"/>
                    <w:tr2bl w:val="nil"/>
                  </w:tcBorders>
                  <w:shd w:val="clear" w:color="auto" w:fill="auto"/>
                  <w:vAlign w:val="center"/>
                </w:tcPr>
                <w:p w14:paraId="5BDE60BE">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w:t>
                  </w:r>
                </w:p>
              </w:tc>
              <w:tc>
                <w:tcPr>
                  <w:tcW w:w="638" w:type="pct"/>
                  <w:vMerge w:val="restart"/>
                  <w:tcBorders>
                    <w:tl2br w:val="nil"/>
                    <w:tr2bl w:val="nil"/>
                  </w:tcBorders>
                  <w:shd w:val="clear" w:color="auto" w:fill="auto"/>
                  <w:vAlign w:val="center"/>
                </w:tcPr>
                <w:p w14:paraId="2051C984">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水基钻井液</w:t>
                  </w:r>
                </w:p>
              </w:tc>
              <w:tc>
                <w:tcPr>
                  <w:tcW w:w="1492" w:type="pct"/>
                  <w:gridSpan w:val="2"/>
                  <w:tcBorders>
                    <w:tl2br w:val="nil"/>
                    <w:tr2bl w:val="nil"/>
                  </w:tcBorders>
                  <w:shd w:val="clear" w:color="auto" w:fill="auto"/>
                  <w:vAlign w:val="center"/>
                </w:tcPr>
                <w:p w14:paraId="1688273E">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膨润土（钻井级）</w:t>
                  </w:r>
                </w:p>
              </w:tc>
              <w:tc>
                <w:tcPr>
                  <w:tcW w:w="884" w:type="pct"/>
                  <w:tcBorders>
                    <w:tl2br w:val="nil"/>
                    <w:tr2bl w:val="nil"/>
                  </w:tcBorders>
                  <w:shd w:val="clear" w:color="auto" w:fill="auto"/>
                  <w:vAlign w:val="center"/>
                </w:tcPr>
                <w:p w14:paraId="1A90598A">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7.3</w:t>
                  </w:r>
                </w:p>
              </w:tc>
              <w:tc>
                <w:tcPr>
                  <w:tcW w:w="909" w:type="pct"/>
                  <w:tcBorders>
                    <w:tl2br w:val="nil"/>
                    <w:tr2bl w:val="nil"/>
                  </w:tcBorders>
                  <w:shd w:val="clear" w:color="auto" w:fill="auto"/>
                  <w:vAlign w:val="center"/>
                </w:tcPr>
                <w:p w14:paraId="14548EA1">
                  <w:pPr>
                    <w:widowControl/>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宋体"/>
                      <w:color w:val="auto"/>
                      <w:kern w:val="0"/>
                      <w:sz w:val="21"/>
                      <w:szCs w:val="21"/>
                    </w:rPr>
                    <w:t xml:space="preserve">2.19 </w:t>
                  </w:r>
                </w:p>
              </w:tc>
              <w:tc>
                <w:tcPr>
                  <w:tcW w:w="698" w:type="pct"/>
                  <w:vMerge w:val="restart"/>
                  <w:tcBorders>
                    <w:tl2br w:val="nil"/>
                    <w:tr2bl w:val="nil"/>
                  </w:tcBorders>
                  <w:shd w:val="clear" w:color="auto" w:fill="auto"/>
                  <w:vAlign w:val="center"/>
                </w:tcPr>
                <w:p w14:paraId="7EC1F346">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材料房</w:t>
                  </w:r>
                  <w:r>
                    <w:rPr>
                      <w:rFonts w:hint="eastAsia" w:ascii="Times New Roman" w:hAnsi="Times New Roman" w:eastAsia="宋体" w:cs="宋体"/>
                      <w:color w:val="auto"/>
                      <w:sz w:val="21"/>
                      <w:szCs w:val="21"/>
                    </w:rPr>
                    <w:t>\货车运输</w:t>
                  </w:r>
                </w:p>
              </w:tc>
            </w:tr>
            <w:tr w14:paraId="1C813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tcBorders>
                    <w:tl2br w:val="nil"/>
                    <w:tr2bl w:val="nil"/>
                  </w:tcBorders>
                  <w:shd w:val="clear" w:color="auto" w:fill="auto"/>
                  <w:vAlign w:val="center"/>
                </w:tcPr>
                <w:p w14:paraId="059DDC6A">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2</w:t>
                  </w:r>
                </w:p>
              </w:tc>
              <w:tc>
                <w:tcPr>
                  <w:tcW w:w="638" w:type="pct"/>
                  <w:vMerge w:val="continue"/>
                  <w:tcBorders>
                    <w:tl2br w:val="nil"/>
                    <w:tr2bl w:val="nil"/>
                  </w:tcBorders>
                  <w:shd w:val="clear" w:color="auto" w:fill="auto"/>
                  <w:vAlign w:val="center"/>
                </w:tcPr>
                <w:p w14:paraId="1CF57DEA">
                  <w:pPr>
                    <w:pStyle w:val="17"/>
                    <w:rPr>
                      <w:rFonts w:hint="eastAsia" w:ascii="Times New Roman" w:hAnsi="Times New Roman" w:eastAsia="宋体" w:cs="宋体"/>
                      <w:color w:val="auto"/>
                      <w:sz w:val="21"/>
                      <w:szCs w:val="21"/>
                    </w:rPr>
                  </w:pPr>
                </w:p>
              </w:tc>
              <w:tc>
                <w:tcPr>
                  <w:tcW w:w="1492" w:type="pct"/>
                  <w:gridSpan w:val="2"/>
                  <w:tcBorders>
                    <w:tl2br w:val="nil"/>
                    <w:tr2bl w:val="nil"/>
                  </w:tcBorders>
                  <w:shd w:val="clear" w:color="auto" w:fill="auto"/>
                  <w:vAlign w:val="center"/>
                </w:tcPr>
                <w:p w14:paraId="15C2611A">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纯碱 Na</w:t>
                  </w:r>
                  <w:r>
                    <w:rPr>
                      <w:rFonts w:hint="eastAsia" w:ascii="Times New Roman" w:hAnsi="Times New Roman" w:eastAsia="宋体" w:cs="宋体"/>
                      <w:color w:val="auto"/>
                      <w:sz w:val="21"/>
                      <w:szCs w:val="21"/>
                      <w:vertAlign w:val="subscript"/>
                    </w:rPr>
                    <w:t>2</w:t>
                  </w:r>
                  <w:r>
                    <w:rPr>
                      <w:rFonts w:hint="eastAsia" w:ascii="Times New Roman" w:hAnsi="Times New Roman" w:eastAsia="宋体" w:cs="宋体"/>
                      <w:color w:val="auto"/>
                      <w:sz w:val="21"/>
                      <w:szCs w:val="21"/>
                    </w:rPr>
                    <w:t>CO</w:t>
                  </w:r>
                  <w:r>
                    <w:rPr>
                      <w:rFonts w:hint="eastAsia" w:ascii="Times New Roman" w:hAnsi="Times New Roman" w:eastAsia="宋体" w:cs="宋体"/>
                      <w:color w:val="auto"/>
                      <w:sz w:val="21"/>
                      <w:szCs w:val="21"/>
                      <w:vertAlign w:val="subscript"/>
                    </w:rPr>
                    <w:t>3</w:t>
                  </w:r>
                </w:p>
              </w:tc>
              <w:tc>
                <w:tcPr>
                  <w:tcW w:w="884" w:type="pct"/>
                  <w:tcBorders>
                    <w:tl2br w:val="nil"/>
                    <w:tr2bl w:val="nil"/>
                  </w:tcBorders>
                  <w:shd w:val="clear" w:color="auto" w:fill="auto"/>
                  <w:vAlign w:val="center"/>
                </w:tcPr>
                <w:p w14:paraId="44063990">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1.1</w:t>
                  </w:r>
                </w:p>
              </w:tc>
              <w:tc>
                <w:tcPr>
                  <w:tcW w:w="909" w:type="pct"/>
                  <w:tcBorders>
                    <w:tl2br w:val="nil"/>
                    <w:tr2bl w:val="nil"/>
                  </w:tcBorders>
                  <w:shd w:val="clear" w:color="auto" w:fill="auto"/>
                  <w:vAlign w:val="center"/>
                </w:tcPr>
                <w:p w14:paraId="7992A6B6">
                  <w:pPr>
                    <w:widowControl/>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宋体"/>
                      <w:color w:val="auto"/>
                      <w:kern w:val="0"/>
                      <w:sz w:val="21"/>
                      <w:szCs w:val="21"/>
                    </w:rPr>
                    <w:t xml:space="preserve">0.33 </w:t>
                  </w:r>
                </w:p>
              </w:tc>
              <w:tc>
                <w:tcPr>
                  <w:tcW w:w="698" w:type="pct"/>
                  <w:vMerge w:val="continue"/>
                  <w:tcBorders>
                    <w:tl2br w:val="nil"/>
                    <w:tr2bl w:val="nil"/>
                  </w:tcBorders>
                  <w:shd w:val="clear" w:color="auto" w:fill="auto"/>
                  <w:vAlign w:val="center"/>
                </w:tcPr>
                <w:p w14:paraId="6A3D5919">
                  <w:pPr>
                    <w:pStyle w:val="17"/>
                    <w:rPr>
                      <w:rFonts w:hint="eastAsia" w:ascii="Times New Roman" w:hAnsi="Times New Roman" w:eastAsia="宋体" w:cs="宋体"/>
                      <w:color w:val="auto"/>
                      <w:sz w:val="21"/>
                      <w:szCs w:val="21"/>
                    </w:rPr>
                  </w:pPr>
                </w:p>
              </w:tc>
            </w:tr>
            <w:tr w14:paraId="067F70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tcBorders>
                    <w:tl2br w:val="nil"/>
                    <w:tr2bl w:val="nil"/>
                  </w:tcBorders>
                  <w:shd w:val="clear" w:color="auto" w:fill="auto"/>
                  <w:vAlign w:val="center"/>
                </w:tcPr>
                <w:p w14:paraId="677BE5C5">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3</w:t>
                  </w:r>
                </w:p>
              </w:tc>
              <w:tc>
                <w:tcPr>
                  <w:tcW w:w="638" w:type="pct"/>
                  <w:vMerge w:val="continue"/>
                  <w:tcBorders>
                    <w:tl2br w:val="nil"/>
                    <w:tr2bl w:val="nil"/>
                  </w:tcBorders>
                  <w:shd w:val="clear" w:color="auto" w:fill="auto"/>
                  <w:vAlign w:val="center"/>
                </w:tcPr>
                <w:p w14:paraId="08AB25B4">
                  <w:pPr>
                    <w:pStyle w:val="17"/>
                    <w:rPr>
                      <w:rFonts w:hint="eastAsia" w:ascii="Times New Roman" w:hAnsi="Times New Roman" w:eastAsia="宋体" w:cs="宋体"/>
                      <w:color w:val="auto"/>
                      <w:sz w:val="21"/>
                      <w:szCs w:val="21"/>
                    </w:rPr>
                  </w:pPr>
                </w:p>
              </w:tc>
              <w:tc>
                <w:tcPr>
                  <w:tcW w:w="1492" w:type="pct"/>
                  <w:gridSpan w:val="2"/>
                  <w:tcBorders>
                    <w:tl2br w:val="nil"/>
                    <w:tr2bl w:val="nil"/>
                  </w:tcBorders>
                  <w:shd w:val="clear" w:color="auto" w:fill="auto"/>
                  <w:vAlign w:val="center"/>
                </w:tcPr>
                <w:p w14:paraId="740CE7BD">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聚合物 PMHA-Ⅱ</w:t>
                  </w:r>
                </w:p>
              </w:tc>
              <w:tc>
                <w:tcPr>
                  <w:tcW w:w="884" w:type="pct"/>
                  <w:tcBorders>
                    <w:tl2br w:val="nil"/>
                    <w:tr2bl w:val="nil"/>
                  </w:tcBorders>
                  <w:shd w:val="clear" w:color="auto" w:fill="auto"/>
                  <w:vAlign w:val="center"/>
                </w:tcPr>
                <w:p w14:paraId="26703CEA">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1.8</w:t>
                  </w:r>
                </w:p>
              </w:tc>
              <w:tc>
                <w:tcPr>
                  <w:tcW w:w="909" w:type="pct"/>
                  <w:tcBorders>
                    <w:tl2br w:val="nil"/>
                    <w:tr2bl w:val="nil"/>
                  </w:tcBorders>
                  <w:shd w:val="clear" w:color="auto" w:fill="auto"/>
                  <w:vAlign w:val="center"/>
                </w:tcPr>
                <w:p w14:paraId="31B70CA6">
                  <w:pPr>
                    <w:widowControl/>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宋体"/>
                      <w:color w:val="auto"/>
                      <w:kern w:val="0"/>
                      <w:sz w:val="21"/>
                      <w:szCs w:val="21"/>
                    </w:rPr>
                    <w:t xml:space="preserve">0.54 </w:t>
                  </w:r>
                </w:p>
              </w:tc>
              <w:tc>
                <w:tcPr>
                  <w:tcW w:w="698" w:type="pct"/>
                  <w:vMerge w:val="continue"/>
                  <w:tcBorders>
                    <w:tl2br w:val="nil"/>
                    <w:tr2bl w:val="nil"/>
                  </w:tcBorders>
                  <w:shd w:val="clear" w:color="auto" w:fill="auto"/>
                  <w:vAlign w:val="center"/>
                </w:tcPr>
                <w:p w14:paraId="599C8E4E">
                  <w:pPr>
                    <w:pStyle w:val="17"/>
                    <w:rPr>
                      <w:rFonts w:hint="eastAsia" w:ascii="Times New Roman" w:hAnsi="Times New Roman" w:eastAsia="宋体" w:cs="宋体"/>
                      <w:color w:val="auto"/>
                      <w:sz w:val="21"/>
                      <w:szCs w:val="21"/>
                    </w:rPr>
                  </w:pPr>
                </w:p>
              </w:tc>
            </w:tr>
            <w:tr w14:paraId="105139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tcBorders>
                    <w:tl2br w:val="nil"/>
                    <w:tr2bl w:val="nil"/>
                  </w:tcBorders>
                  <w:shd w:val="clear" w:color="auto" w:fill="auto"/>
                  <w:vAlign w:val="center"/>
                </w:tcPr>
                <w:p w14:paraId="2FF0F958">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4</w:t>
                  </w:r>
                </w:p>
              </w:tc>
              <w:tc>
                <w:tcPr>
                  <w:tcW w:w="638" w:type="pct"/>
                  <w:vMerge w:val="continue"/>
                  <w:tcBorders>
                    <w:tl2br w:val="nil"/>
                    <w:tr2bl w:val="nil"/>
                  </w:tcBorders>
                  <w:shd w:val="clear" w:color="auto" w:fill="auto"/>
                  <w:vAlign w:val="center"/>
                </w:tcPr>
                <w:p w14:paraId="5225BCA7">
                  <w:pPr>
                    <w:pStyle w:val="17"/>
                    <w:rPr>
                      <w:rFonts w:hint="eastAsia" w:ascii="Times New Roman" w:hAnsi="Times New Roman" w:eastAsia="宋体" w:cs="宋体"/>
                      <w:color w:val="auto"/>
                      <w:sz w:val="21"/>
                      <w:szCs w:val="21"/>
                    </w:rPr>
                  </w:pPr>
                </w:p>
              </w:tc>
              <w:tc>
                <w:tcPr>
                  <w:tcW w:w="1492" w:type="pct"/>
                  <w:gridSpan w:val="2"/>
                  <w:tcBorders>
                    <w:tl2br w:val="nil"/>
                    <w:tr2bl w:val="nil"/>
                  </w:tcBorders>
                  <w:shd w:val="clear" w:color="auto" w:fill="auto"/>
                  <w:vAlign w:val="center"/>
                </w:tcPr>
                <w:p w14:paraId="0E68C61C">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乳液包被剂</w:t>
                  </w:r>
                </w:p>
              </w:tc>
              <w:tc>
                <w:tcPr>
                  <w:tcW w:w="884" w:type="pct"/>
                  <w:tcBorders>
                    <w:tl2br w:val="nil"/>
                    <w:tr2bl w:val="nil"/>
                  </w:tcBorders>
                  <w:shd w:val="clear" w:color="auto" w:fill="auto"/>
                  <w:vAlign w:val="center"/>
                </w:tcPr>
                <w:p w14:paraId="434A147C">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0.73</w:t>
                  </w:r>
                </w:p>
              </w:tc>
              <w:tc>
                <w:tcPr>
                  <w:tcW w:w="909" w:type="pct"/>
                  <w:tcBorders>
                    <w:tl2br w:val="nil"/>
                    <w:tr2bl w:val="nil"/>
                  </w:tcBorders>
                  <w:shd w:val="clear" w:color="auto" w:fill="auto"/>
                  <w:vAlign w:val="center"/>
                </w:tcPr>
                <w:p w14:paraId="1B9604DA">
                  <w:pPr>
                    <w:widowControl/>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宋体"/>
                      <w:color w:val="auto"/>
                      <w:kern w:val="0"/>
                      <w:sz w:val="21"/>
                      <w:szCs w:val="21"/>
                    </w:rPr>
                    <w:t xml:space="preserve">0.22 </w:t>
                  </w:r>
                </w:p>
              </w:tc>
              <w:tc>
                <w:tcPr>
                  <w:tcW w:w="698" w:type="pct"/>
                  <w:vMerge w:val="continue"/>
                  <w:tcBorders>
                    <w:tl2br w:val="nil"/>
                    <w:tr2bl w:val="nil"/>
                  </w:tcBorders>
                  <w:shd w:val="clear" w:color="auto" w:fill="auto"/>
                  <w:vAlign w:val="center"/>
                </w:tcPr>
                <w:p w14:paraId="1494DA6A">
                  <w:pPr>
                    <w:pStyle w:val="17"/>
                    <w:rPr>
                      <w:rFonts w:hint="eastAsia" w:ascii="Times New Roman" w:hAnsi="Times New Roman" w:eastAsia="宋体" w:cs="宋体"/>
                      <w:color w:val="auto"/>
                      <w:sz w:val="21"/>
                      <w:szCs w:val="21"/>
                    </w:rPr>
                  </w:pPr>
                </w:p>
              </w:tc>
            </w:tr>
            <w:tr w14:paraId="30BABC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tcBorders>
                    <w:tl2br w:val="nil"/>
                    <w:tr2bl w:val="nil"/>
                  </w:tcBorders>
                  <w:shd w:val="clear" w:color="auto" w:fill="auto"/>
                  <w:vAlign w:val="center"/>
                </w:tcPr>
                <w:p w14:paraId="2AE92AA7">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5</w:t>
                  </w:r>
                </w:p>
              </w:tc>
              <w:tc>
                <w:tcPr>
                  <w:tcW w:w="638" w:type="pct"/>
                  <w:vMerge w:val="continue"/>
                  <w:tcBorders>
                    <w:tl2br w:val="nil"/>
                    <w:tr2bl w:val="nil"/>
                  </w:tcBorders>
                  <w:shd w:val="clear" w:color="auto" w:fill="auto"/>
                  <w:vAlign w:val="center"/>
                </w:tcPr>
                <w:p w14:paraId="749832E6">
                  <w:pPr>
                    <w:pStyle w:val="17"/>
                    <w:rPr>
                      <w:rFonts w:hint="eastAsia" w:ascii="Times New Roman" w:hAnsi="Times New Roman" w:eastAsia="宋体" w:cs="宋体"/>
                      <w:color w:val="auto"/>
                      <w:sz w:val="21"/>
                      <w:szCs w:val="21"/>
                    </w:rPr>
                  </w:pPr>
                </w:p>
              </w:tc>
              <w:tc>
                <w:tcPr>
                  <w:tcW w:w="1492" w:type="pct"/>
                  <w:gridSpan w:val="2"/>
                  <w:tcBorders>
                    <w:tl2br w:val="nil"/>
                    <w:tr2bl w:val="nil"/>
                  </w:tcBorders>
                  <w:shd w:val="clear" w:color="auto" w:fill="auto"/>
                  <w:vAlign w:val="center"/>
                </w:tcPr>
                <w:p w14:paraId="313D7A04">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水解聚丙烯腈铵盐 NH</w:t>
                  </w:r>
                  <w:r>
                    <w:rPr>
                      <w:rFonts w:hint="eastAsia" w:ascii="Times New Roman" w:hAnsi="Times New Roman" w:eastAsia="宋体" w:cs="宋体"/>
                      <w:color w:val="auto"/>
                      <w:sz w:val="21"/>
                      <w:szCs w:val="21"/>
                      <w:vertAlign w:val="subscript"/>
                    </w:rPr>
                    <w:t>4</w:t>
                  </w:r>
                  <w:r>
                    <w:rPr>
                      <w:rFonts w:hint="eastAsia" w:ascii="Times New Roman" w:hAnsi="Times New Roman" w:eastAsia="宋体" w:cs="宋体"/>
                      <w:color w:val="auto"/>
                      <w:sz w:val="21"/>
                      <w:szCs w:val="21"/>
                    </w:rPr>
                    <w:t>-HPAN</w:t>
                  </w:r>
                </w:p>
              </w:tc>
              <w:tc>
                <w:tcPr>
                  <w:tcW w:w="884" w:type="pct"/>
                  <w:tcBorders>
                    <w:tl2br w:val="nil"/>
                    <w:tr2bl w:val="nil"/>
                  </w:tcBorders>
                  <w:shd w:val="clear" w:color="auto" w:fill="auto"/>
                  <w:vAlign w:val="center"/>
                </w:tcPr>
                <w:p w14:paraId="414D842B">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2.9</w:t>
                  </w:r>
                </w:p>
              </w:tc>
              <w:tc>
                <w:tcPr>
                  <w:tcW w:w="909" w:type="pct"/>
                  <w:tcBorders>
                    <w:tl2br w:val="nil"/>
                    <w:tr2bl w:val="nil"/>
                  </w:tcBorders>
                  <w:shd w:val="clear" w:color="auto" w:fill="auto"/>
                  <w:vAlign w:val="center"/>
                </w:tcPr>
                <w:p w14:paraId="749D1603">
                  <w:pPr>
                    <w:widowControl/>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宋体"/>
                      <w:color w:val="auto"/>
                      <w:kern w:val="0"/>
                      <w:sz w:val="21"/>
                      <w:szCs w:val="21"/>
                    </w:rPr>
                    <w:t xml:space="preserve">0.87 </w:t>
                  </w:r>
                </w:p>
              </w:tc>
              <w:tc>
                <w:tcPr>
                  <w:tcW w:w="698" w:type="pct"/>
                  <w:vMerge w:val="continue"/>
                  <w:tcBorders>
                    <w:tl2br w:val="nil"/>
                    <w:tr2bl w:val="nil"/>
                  </w:tcBorders>
                  <w:shd w:val="clear" w:color="auto" w:fill="auto"/>
                  <w:vAlign w:val="center"/>
                </w:tcPr>
                <w:p w14:paraId="4DEB2266">
                  <w:pPr>
                    <w:pStyle w:val="17"/>
                    <w:rPr>
                      <w:rFonts w:hint="eastAsia" w:ascii="Times New Roman" w:hAnsi="Times New Roman" w:eastAsia="宋体" w:cs="宋体"/>
                      <w:color w:val="auto"/>
                      <w:sz w:val="21"/>
                      <w:szCs w:val="21"/>
                    </w:rPr>
                  </w:pPr>
                </w:p>
              </w:tc>
            </w:tr>
            <w:tr w14:paraId="4AC04B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tcBorders>
                    <w:tl2br w:val="nil"/>
                    <w:tr2bl w:val="nil"/>
                  </w:tcBorders>
                  <w:shd w:val="clear" w:color="auto" w:fill="auto"/>
                  <w:vAlign w:val="center"/>
                </w:tcPr>
                <w:p w14:paraId="183B097F">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6</w:t>
                  </w:r>
                </w:p>
              </w:tc>
              <w:tc>
                <w:tcPr>
                  <w:tcW w:w="638" w:type="pct"/>
                  <w:vMerge w:val="continue"/>
                  <w:tcBorders>
                    <w:tl2br w:val="nil"/>
                    <w:tr2bl w:val="nil"/>
                  </w:tcBorders>
                  <w:shd w:val="clear" w:color="auto" w:fill="auto"/>
                  <w:vAlign w:val="center"/>
                </w:tcPr>
                <w:p w14:paraId="434C24D1">
                  <w:pPr>
                    <w:pStyle w:val="17"/>
                    <w:rPr>
                      <w:rFonts w:hint="eastAsia" w:ascii="Times New Roman" w:hAnsi="Times New Roman" w:eastAsia="宋体" w:cs="宋体"/>
                      <w:color w:val="auto"/>
                      <w:sz w:val="21"/>
                      <w:szCs w:val="21"/>
                    </w:rPr>
                  </w:pPr>
                </w:p>
              </w:tc>
              <w:tc>
                <w:tcPr>
                  <w:tcW w:w="1492" w:type="pct"/>
                  <w:gridSpan w:val="2"/>
                  <w:tcBorders>
                    <w:tl2br w:val="nil"/>
                    <w:tr2bl w:val="nil"/>
                  </w:tcBorders>
                  <w:shd w:val="clear" w:color="auto" w:fill="auto"/>
                  <w:vAlign w:val="center"/>
                </w:tcPr>
                <w:p w14:paraId="341A78AC">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降粘剂 MSO</w:t>
                  </w:r>
                </w:p>
              </w:tc>
              <w:tc>
                <w:tcPr>
                  <w:tcW w:w="884" w:type="pct"/>
                  <w:tcBorders>
                    <w:tl2br w:val="nil"/>
                    <w:tr2bl w:val="nil"/>
                  </w:tcBorders>
                  <w:shd w:val="clear" w:color="auto" w:fill="auto"/>
                  <w:vAlign w:val="center"/>
                </w:tcPr>
                <w:p w14:paraId="362E5772">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0.74</w:t>
                  </w:r>
                </w:p>
              </w:tc>
              <w:tc>
                <w:tcPr>
                  <w:tcW w:w="909" w:type="pct"/>
                  <w:tcBorders>
                    <w:tl2br w:val="nil"/>
                    <w:tr2bl w:val="nil"/>
                  </w:tcBorders>
                  <w:shd w:val="clear" w:color="auto" w:fill="auto"/>
                  <w:vAlign w:val="center"/>
                </w:tcPr>
                <w:p w14:paraId="5DDCA9B0">
                  <w:pPr>
                    <w:widowControl/>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宋体"/>
                      <w:color w:val="auto"/>
                      <w:kern w:val="0"/>
                      <w:sz w:val="21"/>
                      <w:szCs w:val="21"/>
                    </w:rPr>
                    <w:t xml:space="preserve">0.22 </w:t>
                  </w:r>
                </w:p>
              </w:tc>
              <w:tc>
                <w:tcPr>
                  <w:tcW w:w="698" w:type="pct"/>
                  <w:vMerge w:val="continue"/>
                  <w:tcBorders>
                    <w:tl2br w:val="nil"/>
                    <w:tr2bl w:val="nil"/>
                  </w:tcBorders>
                  <w:shd w:val="clear" w:color="auto" w:fill="auto"/>
                  <w:vAlign w:val="center"/>
                </w:tcPr>
                <w:p w14:paraId="46930056">
                  <w:pPr>
                    <w:pStyle w:val="17"/>
                    <w:rPr>
                      <w:rFonts w:hint="eastAsia" w:ascii="Times New Roman" w:hAnsi="Times New Roman" w:eastAsia="宋体" w:cs="宋体"/>
                      <w:color w:val="auto"/>
                      <w:sz w:val="21"/>
                      <w:szCs w:val="21"/>
                    </w:rPr>
                  </w:pPr>
                </w:p>
              </w:tc>
            </w:tr>
            <w:tr w14:paraId="77C97A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tcBorders>
                    <w:tl2br w:val="nil"/>
                    <w:tr2bl w:val="nil"/>
                  </w:tcBorders>
                  <w:shd w:val="clear" w:color="auto" w:fill="auto"/>
                  <w:vAlign w:val="center"/>
                </w:tcPr>
                <w:p w14:paraId="7731DA5C">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7</w:t>
                  </w:r>
                </w:p>
              </w:tc>
              <w:tc>
                <w:tcPr>
                  <w:tcW w:w="638" w:type="pct"/>
                  <w:vMerge w:val="continue"/>
                  <w:tcBorders>
                    <w:tl2br w:val="nil"/>
                    <w:tr2bl w:val="nil"/>
                  </w:tcBorders>
                  <w:shd w:val="clear" w:color="auto" w:fill="auto"/>
                  <w:vAlign w:val="center"/>
                </w:tcPr>
                <w:p w14:paraId="434ACA08">
                  <w:pPr>
                    <w:pStyle w:val="17"/>
                    <w:rPr>
                      <w:rFonts w:hint="eastAsia" w:ascii="Times New Roman" w:hAnsi="Times New Roman" w:eastAsia="宋体" w:cs="宋体"/>
                      <w:color w:val="auto"/>
                      <w:sz w:val="21"/>
                      <w:szCs w:val="21"/>
                    </w:rPr>
                  </w:pPr>
                </w:p>
              </w:tc>
              <w:tc>
                <w:tcPr>
                  <w:tcW w:w="1492" w:type="pct"/>
                  <w:gridSpan w:val="2"/>
                  <w:tcBorders>
                    <w:tl2br w:val="nil"/>
                    <w:tr2bl w:val="nil"/>
                  </w:tcBorders>
                  <w:shd w:val="clear" w:color="auto" w:fill="auto"/>
                  <w:vAlign w:val="center"/>
                </w:tcPr>
                <w:p w14:paraId="1675C0A4">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烧碱NaOH</w:t>
                  </w:r>
                </w:p>
              </w:tc>
              <w:tc>
                <w:tcPr>
                  <w:tcW w:w="884" w:type="pct"/>
                  <w:tcBorders>
                    <w:tl2br w:val="nil"/>
                    <w:tr2bl w:val="nil"/>
                  </w:tcBorders>
                  <w:shd w:val="clear" w:color="auto" w:fill="auto"/>
                  <w:vAlign w:val="center"/>
                </w:tcPr>
                <w:p w14:paraId="1EDE2C26">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1.2</w:t>
                  </w:r>
                </w:p>
              </w:tc>
              <w:tc>
                <w:tcPr>
                  <w:tcW w:w="909" w:type="pct"/>
                  <w:tcBorders>
                    <w:tl2br w:val="nil"/>
                    <w:tr2bl w:val="nil"/>
                  </w:tcBorders>
                  <w:shd w:val="clear" w:color="auto" w:fill="auto"/>
                  <w:vAlign w:val="center"/>
                </w:tcPr>
                <w:p w14:paraId="53D0DDDB">
                  <w:pPr>
                    <w:widowControl/>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宋体"/>
                      <w:color w:val="auto"/>
                      <w:kern w:val="0"/>
                      <w:sz w:val="21"/>
                      <w:szCs w:val="21"/>
                    </w:rPr>
                    <w:t xml:space="preserve">0.36 </w:t>
                  </w:r>
                </w:p>
              </w:tc>
              <w:tc>
                <w:tcPr>
                  <w:tcW w:w="698" w:type="pct"/>
                  <w:vMerge w:val="continue"/>
                  <w:tcBorders>
                    <w:tl2br w:val="nil"/>
                    <w:tr2bl w:val="nil"/>
                  </w:tcBorders>
                  <w:shd w:val="clear" w:color="auto" w:fill="auto"/>
                  <w:vAlign w:val="center"/>
                </w:tcPr>
                <w:p w14:paraId="69B68BEB">
                  <w:pPr>
                    <w:pStyle w:val="17"/>
                    <w:rPr>
                      <w:rFonts w:hint="eastAsia" w:ascii="Times New Roman" w:hAnsi="Times New Roman" w:eastAsia="宋体" w:cs="宋体"/>
                      <w:color w:val="auto"/>
                      <w:sz w:val="21"/>
                      <w:szCs w:val="21"/>
                    </w:rPr>
                  </w:pPr>
                </w:p>
              </w:tc>
            </w:tr>
            <w:tr w14:paraId="154E7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tcBorders>
                    <w:tl2br w:val="nil"/>
                    <w:tr2bl w:val="nil"/>
                  </w:tcBorders>
                  <w:shd w:val="clear" w:color="auto" w:fill="auto"/>
                  <w:vAlign w:val="center"/>
                </w:tcPr>
                <w:p w14:paraId="2BA2C070">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8</w:t>
                  </w:r>
                </w:p>
              </w:tc>
              <w:tc>
                <w:tcPr>
                  <w:tcW w:w="638" w:type="pct"/>
                  <w:vMerge w:val="continue"/>
                  <w:tcBorders>
                    <w:tl2br w:val="nil"/>
                    <w:tr2bl w:val="nil"/>
                  </w:tcBorders>
                  <w:shd w:val="clear" w:color="auto" w:fill="auto"/>
                  <w:vAlign w:val="center"/>
                </w:tcPr>
                <w:p w14:paraId="0CAD6F5F">
                  <w:pPr>
                    <w:pStyle w:val="17"/>
                    <w:rPr>
                      <w:rFonts w:hint="eastAsia" w:ascii="Times New Roman" w:hAnsi="Times New Roman" w:eastAsia="宋体" w:cs="宋体"/>
                      <w:color w:val="auto"/>
                      <w:sz w:val="21"/>
                      <w:szCs w:val="21"/>
                    </w:rPr>
                  </w:pPr>
                </w:p>
              </w:tc>
              <w:tc>
                <w:tcPr>
                  <w:tcW w:w="1492" w:type="pct"/>
                  <w:gridSpan w:val="2"/>
                  <w:tcBorders>
                    <w:tl2br w:val="nil"/>
                    <w:tr2bl w:val="nil"/>
                  </w:tcBorders>
                  <w:shd w:val="clear" w:color="auto" w:fill="auto"/>
                  <w:vAlign w:val="center"/>
                </w:tcPr>
                <w:p w14:paraId="763DDAD0">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低荧光沥青MFJ-1</w:t>
                  </w:r>
                </w:p>
              </w:tc>
              <w:tc>
                <w:tcPr>
                  <w:tcW w:w="884" w:type="pct"/>
                  <w:tcBorders>
                    <w:tl2br w:val="nil"/>
                    <w:tr2bl w:val="nil"/>
                  </w:tcBorders>
                  <w:shd w:val="clear" w:color="auto" w:fill="auto"/>
                  <w:vAlign w:val="center"/>
                </w:tcPr>
                <w:p w14:paraId="2E1DFA7B">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4.4</w:t>
                  </w:r>
                </w:p>
              </w:tc>
              <w:tc>
                <w:tcPr>
                  <w:tcW w:w="909" w:type="pct"/>
                  <w:tcBorders>
                    <w:tl2br w:val="nil"/>
                    <w:tr2bl w:val="nil"/>
                  </w:tcBorders>
                  <w:shd w:val="clear" w:color="auto" w:fill="auto"/>
                  <w:vAlign w:val="center"/>
                </w:tcPr>
                <w:p w14:paraId="1EB72102">
                  <w:pPr>
                    <w:widowControl/>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宋体"/>
                      <w:color w:val="auto"/>
                      <w:kern w:val="0"/>
                      <w:sz w:val="21"/>
                      <w:szCs w:val="21"/>
                    </w:rPr>
                    <w:t xml:space="preserve">1.32 </w:t>
                  </w:r>
                </w:p>
              </w:tc>
              <w:tc>
                <w:tcPr>
                  <w:tcW w:w="698" w:type="pct"/>
                  <w:vMerge w:val="continue"/>
                  <w:tcBorders>
                    <w:tl2br w:val="nil"/>
                    <w:tr2bl w:val="nil"/>
                  </w:tcBorders>
                  <w:shd w:val="clear" w:color="auto" w:fill="auto"/>
                  <w:vAlign w:val="center"/>
                </w:tcPr>
                <w:p w14:paraId="604D9363">
                  <w:pPr>
                    <w:pStyle w:val="17"/>
                    <w:rPr>
                      <w:rFonts w:hint="eastAsia" w:ascii="Times New Roman" w:hAnsi="Times New Roman" w:eastAsia="宋体" w:cs="宋体"/>
                      <w:color w:val="auto"/>
                      <w:sz w:val="21"/>
                      <w:szCs w:val="21"/>
                    </w:rPr>
                  </w:pPr>
                </w:p>
              </w:tc>
            </w:tr>
            <w:tr w14:paraId="41DC88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377" w:type="pct"/>
                  <w:tcBorders>
                    <w:tl2br w:val="nil"/>
                    <w:tr2bl w:val="nil"/>
                  </w:tcBorders>
                  <w:shd w:val="clear" w:color="auto" w:fill="auto"/>
                  <w:vAlign w:val="center"/>
                </w:tcPr>
                <w:p w14:paraId="7423BE06">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9</w:t>
                  </w:r>
                </w:p>
              </w:tc>
              <w:tc>
                <w:tcPr>
                  <w:tcW w:w="638" w:type="pct"/>
                  <w:vMerge w:val="continue"/>
                  <w:tcBorders>
                    <w:tl2br w:val="nil"/>
                    <w:tr2bl w:val="nil"/>
                  </w:tcBorders>
                  <w:shd w:val="clear" w:color="auto" w:fill="auto"/>
                  <w:vAlign w:val="center"/>
                </w:tcPr>
                <w:p w14:paraId="5407432B">
                  <w:pPr>
                    <w:pStyle w:val="17"/>
                    <w:rPr>
                      <w:rFonts w:hint="eastAsia" w:ascii="Times New Roman" w:hAnsi="Times New Roman" w:eastAsia="宋体" w:cs="宋体"/>
                      <w:color w:val="auto"/>
                      <w:sz w:val="21"/>
                      <w:szCs w:val="21"/>
                    </w:rPr>
                  </w:pPr>
                </w:p>
              </w:tc>
              <w:tc>
                <w:tcPr>
                  <w:tcW w:w="1492" w:type="pct"/>
                  <w:gridSpan w:val="2"/>
                  <w:tcBorders>
                    <w:tl2br w:val="nil"/>
                    <w:tr2bl w:val="nil"/>
                  </w:tcBorders>
                  <w:shd w:val="clear" w:color="auto" w:fill="auto"/>
                  <w:vAlign w:val="center"/>
                </w:tcPr>
                <w:p w14:paraId="7EE79BE4">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低荧光防塌剂FT-342</w:t>
                  </w:r>
                </w:p>
              </w:tc>
              <w:tc>
                <w:tcPr>
                  <w:tcW w:w="884" w:type="pct"/>
                  <w:tcBorders>
                    <w:tl2br w:val="nil"/>
                    <w:tr2bl w:val="nil"/>
                  </w:tcBorders>
                  <w:shd w:val="clear" w:color="auto" w:fill="auto"/>
                  <w:vAlign w:val="center"/>
                </w:tcPr>
                <w:p w14:paraId="7158F347">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2.9</w:t>
                  </w:r>
                </w:p>
              </w:tc>
              <w:tc>
                <w:tcPr>
                  <w:tcW w:w="909" w:type="pct"/>
                  <w:tcBorders>
                    <w:tl2br w:val="nil"/>
                    <w:tr2bl w:val="nil"/>
                  </w:tcBorders>
                  <w:shd w:val="clear" w:color="auto" w:fill="auto"/>
                  <w:vAlign w:val="center"/>
                </w:tcPr>
                <w:p w14:paraId="437A28DA">
                  <w:pPr>
                    <w:widowControl/>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宋体"/>
                      <w:color w:val="auto"/>
                      <w:kern w:val="0"/>
                      <w:sz w:val="21"/>
                      <w:szCs w:val="21"/>
                    </w:rPr>
                    <w:t xml:space="preserve">0.87 </w:t>
                  </w:r>
                </w:p>
              </w:tc>
              <w:tc>
                <w:tcPr>
                  <w:tcW w:w="698" w:type="pct"/>
                  <w:vMerge w:val="continue"/>
                  <w:tcBorders>
                    <w:tl2br w:val="nil"/>
                    <w:tr2bl w:val="nil"/>
                  </w:tcBorders>
                  <w:shd w:val="clear" w:color="auto" w:fill="auto"/>
                  <w:vAlign w:val="center"/>
                </w:tcPr>
                <w:p w14:paraId="4BEC9995">
                  <w:pPr>
                    <w:pStyle w:val="17"/>
                    <w:rPr>
                      <w:rFonts w:hint="eastAsia" w:ascii="Times New Roman" w:hAnsi="Times New Roman" w:eastAsia="宋体" w:cs="宋体"/>
                      <w:color w:val="auto"/>
                      <w:sz w:val="21"/>
                      <w:szCs w:val="21"/>
                    </w:rPr>
                  </w:pPr>
                </w:p>
              </w:tc>
            </w:tr>
            <w:tr w14:paraId="3054D2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tcBorders>
                    <w:tl2br w:val="nil"/>
                    <w:tr2bl w:val="nil"/>
                  </w:tcBorders>
                  <w:shd w:val="clear" w:color="auto" w:fill="auto"/>
                  <w:vAlign w:val="center"/>
                </w:tcPr>
                <w:p w14:paraId="32E60050">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10</w:t>
                  </w:r>
                </w:p>
              </w:tc>
              <w:tc>
                <w:tcPr>
                  <w:tcW w:w="638" w:type="pct"/>
                  <w:vMerge w:val="continue"/>
                  <w:tcBorders>
                    <w:tl2br w:val="nil"/>
                    <w:tr2bl w:val="nil"/>
                  </w:tcBorders>
                  <w:shd w:val="clear" w:color="auto" w:fill="auto"/>
                  <w:vAlign w:val="center"/>
                </w:tcPr>
                <w:p w14:paraId="00590F9D">
                  <w:pPr>
                    <w:pStyle w:val="17"/>
                    <w:rPr>
                      <w:rFonts w:hint="eastAsia" w:ascii="Times New Roman" w:hAnsi="Times New Roman" w:eastAsia="宋体" w:cs="宋体"/>
                      <w:color w:val="auto"/>
                      <w:sz w:val="21"/>
                      <w:szCs w:val="21"/>
                    </w:rPr>
                  </w:pPr>
                </w:p>
              </w:tc>
              <w:tc>
                <w:tcPr>
                  <w:tcW w:w="1492" w:type="pct"/>
                  <w:gridSpan w:val="2"/>
                  <w:tcBorders>
                    <w:tl2br w:val="nil"/>
                    <w:tr2bl w:val="nil"/>
                  </w:tcBorders>
                  <w:shd w:val="clear" w:color="auto" w:fill="auto"/>
                  <w:vAlign w:val="center"/>
                </w:tcPr>
                <w:p w14:paraId="724B259B">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聚胺抑制剂</w:t>
                  </w:r>
                </w:p>
              </w:tc>
              <w:tc>
                <w:tcPr>
                  <w:tcW w:w="884" w:type="pct"/>
                  <w:tcBorders>
                    <w:tl2br w:val="nil"/>
                    <w:tr2bl w:val="nil"/>
                  </w:tcBorders>
                  <w:shd w:val="clear" w:color="auto" w:fill="auto"/>
                  <w:vAlign w:val="center"/>
                </w:tcPr>
                <w:p w14:paraId="072747D1">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1.5</w:t>
                  </w:r>
                </w:p>
              </w:tc>
              <w:tc>
                <w:tcPr>
                  <w:tcW w:w="909" w:type="pct"/>
                  <w:tcBorders>
                    <w:tl2br w:val="nil"/>
                    <w:tr2bl w:val="nil"/>
                  </w:tcBorders>
                  <w:shd w:val="clear" w:color="auto" w:fill="auto"/>
                  <w:vAlign w:val="center"/>
                </w:tcPr>
                <w:p w14:paraId="4DA3D4C2">
                  <w:pPr>
                    <w:widowControl/>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宋体"/>
                      <w:color w:val="auto"/>
                      <w:kern w:val="0"/>
                      <w:sz w:val="21"/>
                      <w:szCs w:val="21"/>
                    </w:rPr>
                    <w:t xml:space="preserve">0.45 </w:t>
                  </w:r>
                </w:p>
              </w:tc>
              <w:tc>
                <w:tcPr>
                  <w:tcW w:w="698" w:type="pct"/>
                  <w:vMerge w:val="continue"/>
                  <w:tcBorders>
                    <w:tl2br w:val="nil"/>
                    <w:tr2bl w:val="nil"/>
                  </w:tcBorders>
                  <w:shd w:val="clear" w:color="auto" w:fill="auto"/>
                  <w:vAlign w:val="center"/>
                </w:tcPr>
                <w:p w14:paraId="7655FD23">
                  <w:pPr>
                    <w:pStyle w:val="17"/>
                    <w:rPr>
                      <w:rFonts w:hint="eastAsia" w:ascii="Times New Roman" w:hAnsi="Times New Roman" w:eastAsia="宋体" w:cs="宋体"/>
                      <w:color w:val="auto"/>
                      <w:sz w:val="21"/>
                      <w:szCs w:val="21"/>
                    </w:rPr>
                  </w:pPr>
                </w:p>
              </w:tc>
            </w:tr>
            <w:tr w14:paraId="6C47A1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tcBorders>
                    <w:tl2br w:val="nil"/>
                    <w:tr2bl w:val="nil"/>
                  </w:tcBorders>
                  <w:shd w:val="clear" w:color="auto" w:fill="auto"/>
                  <w:vAlign w:val="center"/>
                </w:tcPr>
                <w:p w14:paraId="16FB6CDE">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11</w:t>
                  </w:r>
                </w:p>
              </w:tc>
              <w:tc>
                <w:tcPr>
                  <w:tcW w:w="638" w:type="pct"/>
                  <w:vMerge w:val="continue"/>
                  <w:tcBorders>
                    <w:tl2br w:val="nil"/>
                    <w:tr2bl w:val="nil"/>
                  </w:tcBorders>
                  <w:shd w:val="clear" w:color="auto" w:fill="auto"/>
                  <w:vAlign w:val="center"/>
                </w:tcPr>
                <w:p w14:paraId="159CA040">
                  <w:pPr>
                    <w:pStyle w:val="17"/>
                    <w:rPr>
                      <w:rFonts w:hint="eastAsia" w:ascii="Times New Roman" w:hAnsi="Times New Roman" w:eastAsia="宋体" w:cs="宋体"/>
                      <w:color w:val="auto"/>
                      <w:sz w:val="21"/>
                      <w:szCs w:val="21"/>
                    </w:rPr>
                  </w:pPr>
                </w:p>
              </w:tc>
              <w:tc>
                <w:tcPr>
                  <w:tcW w:w="1492" w:type="pct"/>
                  <w:gridSpan w:val="2"/>
                  <w:tcBorders>
                    <w:tl2br w:val="nil"/>
                    <w:tr2bl w:val="nil"/>
                  </w:tcBorders>
                  <w:shd w:val="clear" w:color="auto" w:fill="auto"/>
                  <w:vAlign w:val="center"/>
                </w:tcPr>
                <w:p w14:paraId="0B97CDFA">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超细碳酸钙 QS-4</w:t>
                  </w:r>
                </w:p>
              </w:tc>
              <w:tc>
                <w:tcPr>
                  <w:tcW w:w="884" w:type="pct"/>
                  <w:tcBorders>
                    <w:tl2br w:val="nil"/>
                    <w:tr2bl w:val="nil"/>
                  </w:tcBorders>
                  <w:shd w:val="clear" w:color="auto" w:fill="auto"/>
                  <w:vAlign w:val="center"/>
                </w:tcPr>
                <w:p w14:paraId="19D831F7">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14.6</w:t>
                  </w:r>
                </w:p>
              </w:tc>
              <w:tc>
                <w:tcPr>
                  <w:tcW w:w="909" w:type="pct"/>
                  <w:tcBorders>
                    <w:tl2br w:val="nil"/>
                    <w:tr2bl w:val="nil"/>
                  </w:tcBorders>
                  <w:shd w:val="clear" w:color="auto" w:fill="auto"/>
                  <w:vAlign w:val="center"/>
                </w:tcPr>
                <w:p w14:paraId="1879DE41">
                  <w:pPr>
                    <w:widowControl/>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宋体"/>
                      <w:color w:val="auto"/>
                      <w:kern w:val="0"/>
                      <w:sz w:val="21"/>
                      <w:szCs w:val="21"/>
                    </w:rPr>
                    <w:t xml:space="preserve">4.38 </w:t>
                  </w:r>
                </w:p>
              </w:tc>
              <w:tc>
                <w:tcPr>
                  <w:tcW w:w="698" w:type="pct"/>
                  <w:vMerge w:val="continue"/>
                  <w:tcBorders>
                    <w:tl2br w:val="nil"/>
                    <w:tr2bl w:val="nil"/>
                  </w:tcBorders>
                  <w:shd w:val="clear" w:color="auto" w:fill="auto"/>
                  <w:vAlign w:val="center"/>
                </w:tcPr>
                <w:p w14:paraId="3D249788">
                  <w:pPr>
                    <w:pStyle w:val="17"/>
                    <w:rPr>
                      <w:rFonts w:hint="eastAsia" w:ascii="Times New Roman" w:hAnsi="Times New Roman" w:eastAsia="宋体" w:cs="宋体"/>
                      <w:color w:val="auto"/>
                      <w:sz w:val="21"/>
                      <w:szCs w:val="21"/>
                    </w:rPr>
                  </w:pPr>
                </w:p>
              </w:tc>
            </w:tr>
            <w:tr w14:paraId="630650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tcBorders>
                    <w:tl2br w:val="nil"/>
                    <w:tr2bl w:val="nil"/>
                  </w:tcBorders>
                  <w:shd w:val="clear" w:color="auto" w:fill="auto"/>
                  <w:vAlign w:val="center"/>
                </w:tcPr>
                <w:p w14:paraId="1D781E8D">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12</w:t>
                  </w:r>
                </w:p>
              </w:tc>
              <w:tc>
                <w:tcPr>
                  <w:tcW w:w="638" w:type="pct"/>
                  <w:vMerge w:val="continue"/>
                  <w:tcBorders>
                    <w:tl2br w:val="nil"/>
                    <w:tr2bl w:val="nil"/>
                  </w:tcBorders>
                  <w:shd w:val="clear" w:color="auto" w:fill="auto"/>
                  <w:vAlign w:val="center"/>
                </w:tcPr>
                <w:p w14:paraId="60586C4C">
                  <w:pPr>
                    <w:pStyle w:val="17"/>
                    <w:rPr>
                      <w:rFonts w:hint="eastAsia" w:ascii="Times New Roman" w:hAnsi="Times New Roman" w:eastAsia="宋体" w:cs="宋体"/>
                      <w:color w:val="auto"/>
                      <w:sz w:val="21"/>
                      <w:szCs w:val="21"/>
                    </w:rPr>
                  </w:pPr>
                </w:p>
              </w:tc>
              <w:tc>
                <w:tcPr>
                  <w:tcW w:w="1492" w:type="pct"/>
                  <w:gridSpan w:val="2"/>
                  <w:tcBorders>
                    <w:tl2br w:val="nil"/>
                    <w:tr2bl w:val="nil"/>
                  </w:tcBorders>
                  <w:shd w:val="clear" w:color="auto" w:fill="auto"/>
                  <w:vAlign w:val="center"/>
                </w:tcPr>
                <w:p w14:paraId="1F72A8B8">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单向压力封闭剂 KD-23</w:t>
                  </w:r>
                </w:p>
              </w:tc>
              <w:tc>
                <w:tcPr>
                  <w:tcW w:w="884" w:type="pct"/>
                  <w:tcBorders>
                    <w:tl2br w:val="nil"/>
                    <w:tr2bl w:val="nil"/>
                  </w:tcBorders>
                  <w:shd w:val="clear" w:color="auto" w:fill="auto"/>
                  <w:vAlign w:val="center"/>
                </w:tcPr>
                <w:p w14:paraId="0BD37276">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1.8</w:t>
                  </w:r>
                </w:p>
              </w:tc>
              <w:tc>
                <w:tcPr>
                  <w:tcW w:w="909" w:type="pct"/>
                  <w:tcBorders>
                    <w:tl2br w:val="nil"/>
                    <w:tr2bl w:val="nil"/>
                  </w:tcBorders>
                  <w:shd w:val="clear" w:color="auto" w:fill="auto"/>
                  <w:vAlign w:val="center"/>
                </w:tcPr>
                <w:p w14:paraId="791948E8">
                  <w:pPr>
                    <w:widowControl/>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宋体"/>
                      <w:color w:val="auto"/>
                      <w:kern w:val="0"/>
                      <w:sz w:val="21"/>
                      <w:szCs w:val="21"/>
                    </w:rPr>
                    <w:t xml:space="preserve">0.54 </w:t>
                  </w:r>
                </w:p>
              </w:tc>
              <w:tc>
                <w:tcPr>
                  <w:tcW w:w="698" w:type="pct"/>
                  <w:vMerge w:val="continue"/>
                  <w:tcBorders>
                    <w:tl2br w:val="nil"/>
                    <w:tr2bl w:val="nil"/>
                  </w:tcBorders>
                  <w:shd w:val="clear" w:color="auto" w:fill="auto"/>
                  <w:vAlign w:val="center"/>
                </w:tcPr>
                <w:p w14:paraId="59702DC5">
                  <w:pPr>
                    <w:pStyle w:val="17"/>
                    <w:rPr>
                      <w:rFonts w:hint="eastAsia" w:ascii="Times New Roman" w:hAnsi="Times New Roman" w:eastAsia="宋体" w:cs="宋体"/>
                      <w:color w:val="auto"/>
                      <w:sz w:val="21"/>
                      <w:szCs w:val="21"/>
                    </w:rPr>
                  </w:pPr>
                </w:p>
              </w:tc>
            </w:tr>
            <w:tr w14:paraId="4A847A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tcBorders>
                    <w:tl2br w:val="nil"/>
                    <w:tr2bl w:val="nil"/>
                  </w:tcBorders>
                  <w:shd w:val="clear" w:color="auto" w:fill="auto"/>
                  <w:vAlign w:val="center"/>
                </w:tcPr>
                <w:p w14:paraId="3EB95C79">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13</w:t>
                  </w:r>
                </w:p>
              </w:tc>
              <w:tc>
                <w:tcPr>
                  <w:tcW w:w="638" w:type="pct"/>
                  <w:vMerge w:val="continue"/>
                  <w:tcBorders>
                    <w:tl2br w:val="nil"/>
                    <w:tr2bl w:val="nil"/>
                  </w:tcBorders>
                  <w:shd w:val="clear" w:color="auto" w:fill="auto"/>
                  <w:vAlign w:val="center"/>
                </w:tcPr>
                <w:p w14:paraId="6C8BF02B">
                  <w:pPr>
                    <w:pStyle w:val="17"/>
                    <w:rPr>
                      <w:rFonts w:hint="eastAsia" w:ascii="Times New Roman" w:hAnsi="Times New Roman" w:eastAsia="宋体" w:cs="宋体"/>
                      <w:color w:val="auto"/>
                      <w:sz w:val="21"/>
                      <w:szCs w:val="21"/>
                    </w:rPr>
                  </w:pPr>
                </w:p>
              </w:tc>
              <w:tc>
                <w:tcPr>
                  <w:tcW w:w="1492" w:type="pct"/>
                  <w:gridSpan w:val="2"/>
                  <w:tcBorders>
                    <w:tl2br w:val="nil"/>
                    <w:tr2bl w:val="nil"/>
                  </w:tcBorders>
                  <w:shd w:val="clear" w:color="auto" w:fill="auto"/>
                  <w:vAlign w:val="center"/>
                </w:tcPr>
                <w:p w14:paraId="2AFC4244">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桥塞堵漏剂</w:t>
                  </w:r>
                </w:p>
              </w:tc>
              <w:tc>
                <w:tcPr>
                  <w:tcW w:w="884" w:type="pct"/>
                  <w:tcBorders>
                    <w:tl2br w:val="nil"/>
                    <w:tr2bl w:val="nil"/>
                  </w:tcBorders>
                  <w:shd w:val="clear" w:color="auto" w:fill="auto"/>
                  <w:vAlign w:val="center"/>
                </w:tcPr>
                <w:p w14:paraId="4C569294">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1.8</w:t>
                  </w:r>
                </w:p>
              </w:tc>
              <w:tc>
                <w:tcPr>
                  <w:tcW w:w="909" w:type="pct"/>
                  <w:tcBorders>
                    <w:tl2br w:val="nil"/>
                    <w:tr2bl w:val="nil"/>
                  </w:tcBorders>
                  <w:shd w:val="clear" w:color="auto" w:fill="auto"/>
                  <w:vAlign w:val="center"/>
                </w:tcPr>
                <w:p w14:paraId="0FC4ECA3">
                  <w:pPr>
                    <w:widowControl/>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宋体"/>
                      <w:color w:val="auto"/>
                      <w:kern w:val="0"/>
                      <w:sz w:val="21"/>
                      <w:szCs w:val="21"/>
                    </w:rPr>
                    <w:t xml:space="preserve">0.54 </w:t>
                  </w:r>
                </w:p>
              </w:tc>
              <w:tc>
                <w:tcPr>
                  <w:tcW w:w="698" w:type="pct"/>
                  <w:vMerge w:val="continue"/>
                  <w:tcBorders>
                    <w:tl2br w:val="nil"/>
                    <w:tr2bl w:val="nil"/>
                  </w:tcBorders>
                  <w:shd w:val="clear" w:color="auto" w:fill="auto"/>
                  <w:vAlign w:val="center"/>
                </w:tcPr>
                <w:p w14:paraId="0816DF23">
                  <w:pPr>
                    <w:pStyle w:val="17"/>
                    <w:rPr>
                      <w:rFonts w:hint="eastAsia" w:ascii="Times New Roman" w:hAnsi="Times New Roman" w:eastAsia="宋体" w:cs="宋体"/>
                      <w:color w:val="auto"/>
                      <w:sz w:val="21"/>
                      <w:szCs w:val="21"/>
                    </w:rPr>
                  </w:pPr>
                </w:p>
              </w:tc>
            </w:tr>
            <w:tr w14:paraId="26936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tcBorders>
                    <w:tl2br w:val="nil"/>
                    <w:tr2bl w:val="nil"/>
                  </w:tcBorders>
                  <w:shd w:val="clear" w:color="auto" w:fill="auto"/>
                  <w:vAlign w:val="center"/>
                </w:tcPr>
                <w:p w14:paraId="2949000E">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14</w:t>
                  </w:r>
                </w:p>
              </w:tc>
              <w:tc>
                <w:tcPr>
                  <w:tcW w:w="638" w:type="pct"/>
                  <w:vMerge w:val="continue"/>
                  <w:tcBorders>
                    <w:tl2br w:val="nil"/>
                    <w:tr2bl w:val="nil"/>
                  </w:tcBorders>
                  <w:shd w:val="clear" w:color="auto" w:fill="auto"/>
                  <w:vAlign w:val="center"/>
                </w:tcPr>
                <w:p w14:paraId="085CF72F">
                  <w:pPr>
                    <w:pStyle w:val="17"/>
                    <w:rPr>
                      <w:rFonts w:hint="eastAsia" w:ascii="Times New Roman" w:hAnsi="Times New Roman" w:eastAsia="宋体" w:cs="宋体"/>
                      <w:color w:val="auto"/>
                      <w:sz w:val="21"/>
                      <w:szCs w:val="21"/>
                    </w:rPr>
                  </w:pPr>
                </w:p>
              </w:tc>
              <w:tc>
                <w:tcPr>
                  <w:tcW w:w="1492" w:type="pct"/>
                  <w:gridSpan w:val="2"/>
                  <w:tcBorders>
                    <w:tl2br w:val="nil"/>
                    <w:tr2bl w:val="nil"/>
                  </w:tcBorders>
                  <w:shd w:val="clear" w:color="auto" w:fill="auto"/>
                  <w:vAlign w:val="center"/>
                </w:tcPr>
                <w:p w14:paraId="1546E785">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羧甲基纤维素钠盐 MV-CMC</w:t>
                  </w:r>
                </w:p>
              </w:tc>
              <w:tc>
                <w:tcPr>
                  <w:tcW w:w="884" w:type="pct"/>
                  <w:tcBorders>
                    <w:tl2br w:val="nil"/>
                    <w:tr2bl w:val="nil"/>
                  </w:tcBorders>
                  <w:shd w:val="clear" w:color="auto" w:fill="auto"/>
                  <w:vAlign w:val="center"/>
                </w:tcPr>
                <w:p w14:paraId="2F2CE93F">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0.3</w:t>
                  </w:r>
                </w:p>
              </w:tc>
              <w:tc>
                <w:tcPr>
                  <w:tcW w:w="909" w:type="pct"/>
                  <w:tcBorders>
                    <w:tl2br w:val="nil"/>
                    <w:tr2bl w:val="nil"/>
                  </w:tcBorders>
                  <w:shd w:val="clear" w:color="auto" w:fill="auto"/>
                  <w:vAlign w:val="center"/>
                </w:tcPr>
                <w:p w14:paraId="17A429D5">
                  <w:pPr>
                    <w:widowControl/>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宋体"/>
                      <w:color w:val="auto"/>
                      <w:kern w:val="0"/>
                      <w:sz w:val="21"/>
                      <w:szCs w:val="21"/>
                    </w:rPr>
                    <w:t xml:space="preserve">0.09 </w:t>
                  </w:r>
                </w:p>
              </w:tc>
              <w:tc>
                <w:tcPr>
                  <w:tcW w:w="698" w:type="pct"/>
                  <w:vMerge w:val="continue"/>
                  <w:tcBorders>
                    <w:tl2br w:val="nil"/>
                    <w:tr2bl w:val="nil"/>
                  </w:tcBorders>
                  <w:shd w:val="clear" w:color="auto" w:fill="auto"/>
                  <w:vAlign w:val="center"/>
                </w:tcPr>
                <w:p w14:paraId="5F34B629">
                  <w:pPr>
                    <w:pStyle w:val="17"/>
                    <w:rPr>
                      <w:rFonts w:hint="eastAsia" w:ascii="Times New Roman" w:hAnsi="Times New Roman" w:eastAsia="宋体" w:cs="宋体"/>
                      <w:color w:val="auto"/>
                      <w:sz w:val="21"/>
                      <w:szCs w:val="21"/>
                    </w:rPr>
                  </w:pPr>
                </w:p>
              </w:tc>
            </w:tr>
            <w:tr w14:paraId="27DB59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tcBorders>
                    <w:tl2br w:val="nil"/>
                    <w:tr2bl w:val="nil"/>
                  </w:tcBorders>
                  <w:shd w:val="clear" w:color="auto" w:fill="auto"/>
                  <w:vAlign w:val="center"/>
                </w:tcPr>
                <w:p w14:paraId="2B7B7377">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15</w:t>
                  </w:r>
                </w:p>
              </w:tc>
              <w:tc>
                <w:tcPr>
                  <w:tcW w:w="638" w:type="pct"/>
                  <w:vMerge w:val="continue"/>
                  <w:tcBorders>
                    <w:tl2br w:val="nil"/>
                    <w:tr2bl w:val="nil"/>
                  </w:tcBorders>
                  <w:shd w:val="clear" w:color="auto" w:fill="auto"/>
                  <w:vAlign w:val="center"/>
                </w:tcPr>
                <w:p w14:paraId="34CCB030">
                  <w:pPr>
                    <w:pStyle w:val="17"/>
                    <w:rPr>
                      <w:rFonts w:hint="eastAsia" w:ascii="Times New Roman" w:hAnsi="Times New Roman" w:eastAsia="宋体" w:cs="宋体"/>
                      <w:color w:val="auto"/>
                      <w:sz w:val="21"/>
                      <w:szCs w:val="21"/>
                    </w:rPr>
                  </w:pPr>
                </w:p>
              </w:tc>
              <w:tc>
                <w:tcPr>
                  <w:tcW w:w="1492" w:type="pct"/>
                  <w:gridSpan w:val="2"/>
                  <w:tcBorders>
                    <w:tl2br w:val="nil"/>
                    <w:tr2bl w:val="nil"/>
                  </w:tcBorders>
                  <w:shd w:val="clear" w:color="auto" w:fill="auto"/>
                  <w:vAlign w:val="center"/>
                </w:tcPr>
                <w:p w14:paraId="34975375">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抗高温降滤失剂 DSP-2</w:t>
                  </w:r>
                </w:p>
              </w:tc>
              <w:tc>
                <w:tcPr>
                  <w:tcW w:w="884" w:type="pct"/>
                  <w:tcBorders>
                    <w:tl2br w:val="nil"/>
                    <w:tr2bl w:val="nil"/>
                  </w:tcBorders>
                  <w:shd w:val="clear" w:color="auto" w:fill="auto"/>
                  <w:vAlign w:val="center"/>
                </w:tcPr>
                <w:p w14:paraId="2CF7E93A">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6.0</w:t>
                  </w:r>
                </w:p>
              </w:tc>
              <w:tc>
                <w:tcPr>
                  <w:tcW w:w="909" w:type="pct"/>
                  <w:tcBorders>
                    <w:tl2br w:val="nil"/>
                    <w:tr2bl w:val="nil"/>
                  </w:tcBorders>
                  <w:shd w:val="clear" w:color="auto" w:fill="auto"/>
                  <w:vAlign w:val="center"/>
                </w:tcPr>
                <w:p w14:paraId="29BBC4B4">
                  <w:pPr>
                    <w:widowControl/>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宋体"/>
                      <w:color w:val="auto"/>
                      <w:kern w:val="0"/>
                      <w:sz w:val="21"/>
                      <w:szCs w:val="21"/>
                    </w:rPr>
                    <w:t xml:space="preserve">1.80 </w:t>
                  </w:r>
                </w:p>
              </w:tc>
              <w:tc>
                <w:tcPr>
                  <w:tcW w:w="698" w:type="pct"/>
                  <w:vMerge w:val="continue"/>
                  <w:tcBorders>
                    <w:tl2br w:val="nil"/>
                    <w:tr2bl w:val="nil"/>
                  </w:tcBorders>
                  <w:shd w:val="clear" w:color="auto" w:fill="auto"/>
                  <w:vAlign w:val="center"/>
                </w:tcPr>
                <w:p w14:paraId="39CE329E">
                  <w:pPr>
                    <w:pStyle w:val="17"/>
                    <w:rPr>
                      <w:rFonts w:hint="eastAsia" w:ascii="Times New Roman" w:hAnsi="Times New Roman" w:eastAsia="宋体" w:cs="宋体"/>
                      <w:color w:val="auto"/>
                      <w:sz w:val="21"/>
                      <w:szCs w:val="21"/>
                    </w:rPr>
                  </w:pPr>
                </w:p>
              </w:tc>
            </w:tr>
            <w:tr w14:paraId="5EFECB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tcBorders>
                    <w:tl2br w:val="nil"/>
                    <w:tr2bl w:val="nil"/>
                  </w:tcBorders>
                  <w:shd w:val="clear" w:color="auto" w:fill="auto"/>
                  <w:vAlign w:val="center"/>
                </w:tcPr>
                <w:p w14:paraId="54372043">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16</w:t>
                  </w:r>
                </w:p>
              </w:tc>
              <w:tc>
                <w:tcPr>
                  <w:tcW w:w="638" w:type="pct"/>
                  <w:vMerge w:val="continue"/>
                  <w:tcBorders>
                    <w:tl2br w:val="nil"/>
                    <w:tr2bl w:val="nil"/>
                  </w:tcBorders>
                  <w:shd w:val="clear" w:color="auto" w:fill="auto"/>
                  <w:vAlign w:val="center"/>
                </w:tcPr>
                <w:p w14:paraId="5146974B">
                  <w:pPr>
                    <w:pStyle w:val="17"/>
                    <w:rPr>
                      <w:rFonts w:hint="eastAsia" w:ascii="Times New Roman" w:hAnsi="Times New Roman" w:eastAsia="宋体" w:cs="宋体"/>
                      <w:color w:val="auto"/>
                      <w:sz w:val="21"/>
                      <w:szCs w:val="21"/>
                    </w:rPr>
                  </w:pPr>
                </w:p>
              </w:tc>
              <w:tc>
                <w:tcPr>
                  <w:tcW w:w="1492" w:type="pct"/>
                  <w:gridSpan w:val="2"/>
                  <w:tcBorders>
                    <w:tl2br w:val="nil"/>
                    <w:tr2bl w:val="nil"/>
                  </w:tcBorders>
                  <w:shd w:val="clear" w:color="auto" w:fill="auto"/>
                  <w:vAlign w:val="center"/>
                </w:tcPr>
                <w:p w14:paraId="16EA332D">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超低渗透处理剂LXJ-1</w:t>
                  </w:r>
                </w:p>
              </w:tc>
              <w:tc>
                <w:tcPr>
                  <w:tcW w:w="884" w:type="pct"/>
                  <w:tcBorders>
                    <w:tl2br w:val="nil"/>
                    <w:tr2bl w:val="nil"/>
                  </w:tcBorders>
                  <w:shd w:val="clear" w:color="auto" w:fill="auto"/>
                  <w:vAlign w:val="center"/>
                </w:tcPr>
                <w:p w14:paraId="53531D1C">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3.7</w:t>
                  </w:r>
                </w:p>
              </w:tc>
              <w:tc>
                <w:tcPr>
                  <w:tcW w:w="909" w:type="pct"/>
                  <w:tcBorders>
                    <w:tl2br w:val="nil"/>
                    <w:tr2bl w:val="nil"/>
                  </w:tcBorders>
                  <w:shd w:val="clear" w:color="auto" w:fill="auto"/>
                  <w:vAlign w:val="center"/>
                </w:tcPr>
                <w:p w14:paraId="394B1A75">
                  <w:pPr>
                    <w:widowControl/>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宋体"/>
                      <w:color w:val="auto"/>
                      <w:kern w:val="0"/>
                      <w:sz w:val="21"/>
                      <w:szCs w:val="21"/>
                    </w:rPr>
                    <w:t xml:space="preserve">1.11 </w:t>
                  </w:r>
                </w:p>
              </w:tc>
              <w:tc>
                <w:tcPr>
                  <w:tcW w:w="698" w:type="pct"/>
                  <w:vMerge w:val="continue"/>
                  <w:tcBorders>
                    <w:tl2br w:val="nil"/>
                    <w:tr2bl w:val="nil"/>
                  </w:tcBorders>
                  <w:shd w:val="clear" w:color="auto" w:fill="auto"/>
                  <w:vAlign w:val="center"/>
                </w:tcPr>
                <w:p w14:paraId="6CDC83FF">
                  <w:pPr>
                    <w:pStyle w:val="17"/>
                    <w:rPr>
                      <w:rFonts w:hint="eastAsia" w:ascii="Times New Roman" w:hAnsi="Times New Roman" w:eastAsia="宋体" w:cs="宋体"/>
                      <w:color w:val="auto"/>
                      <w:sz w:val="21"/>
                      <w:szCs w:val="21"/>
                    </w:rPr>
                  </w:pPr>
                </w:p>
              </w:tc>
            </w:tr>
            <w:tr w14:paraId="0BAC44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tcBorders>
                    <w:tl2br w:val="nil"/>
                    <w:tr2bl w:val="nil"/>
                  </w:tcBorders>
                  <w:shd w:val="clear" w:color="auto" w:fill="auto"/>
                  <w:vAlign w:val="center"/>
                </w:tcPr>
                <w:p w14:paraId="113A8550">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17</w:t>
                  </w:r>
                </w:p>
              </w:tc>
              <w:tc>
                <w:tcPr>
                  <w:tcW w:w="638" w:type="pct"/>
                  <w:vMerge w:val="continue"/>
                  <w:tcBorders>
                    <w:tl2br w:val="nil"/>
                    <w:tr2bl w:val="nil"/>
                  </w:tcBorders>
                  <w:shd w:val="clear" w:color="auto" w:fill="auto"/>
                  <w:vAlign w:val="center"/>
                </w:tcPr>
                <w:p w14:paraId="417EC56C">
                  <w:pPr>
                    <w:pStyle w:val="17"/>
                    <w:rPr>
                      <w:rFonts w:hint="eastAsia" w:ascii="Times New Roman" w:hAnsi="Times New Roman" w:eastAsia="宋体" w:cs="宋体"/>
                      <w:color w:val="auto"/>
                      <w:sz w:val="21"/>
                      <w:szCs w:val="21"/>
                    </w:rPr>
                  </w:pPr>
                </w:p>
              </w:tc>
              <w:tc>
                <w:tcPr>
                  <w:tcW w:w="1492" w:type="pct"/>
                  <w:gridSpan w:val="2"/>
                  <w:tcBorders>
                    <w:tl2br w:val="nil"/>
                    <w:tr2bl w:val="nil"/>
                  </w:tcBorders>
                  <w:shd w:val="clear" w:color="auto" w:fill="auto"/>
                  <w:vAlign w:val="center"/>
                </w:tcPr>
                <w:p w14:paraId="34656326">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石灰石粉 CaCO</w:t>
                  </w:r>
                  <w:r>
                    <w:rPr>
                      <w:rFonts w:hint="eastAsia" w:ascii="Times New Roman" w:hAnsi="Times New Roman" w:eastAsia="宋体" w:cs="宋体"/>
                      <w:color w:val="auto"/>
                      <w:sz w:val="21"/>
                      <w:szCs w:val="21"/>
                      <w:vertAlign w:val="subscript"/>
                    </w:rPr>
                    <w:t>3</w:t>
                  </w:r>
                </w:p>
              </w:tc>
              <w:tc>
                <w:tcPr>
                  <w:tcW w:w="884" w:type="pct"/>
                  <w:tcBorders>
                    <w:tl2br w:val="nil"/>
                    <w:tr2bl w:val="nil"/>
                  </w:tcBorders>
                  <w:shd w:val="clear" w:color="auto" w:fill="auto"/>
                  <w:vAlign w:val="center"/>
                </w:tcPr>
                <w:p w14:paraId="7737A513">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73</w:t>
                  </w:r>
                </w:p>
              </w:tc>
              <w:tc>
                <w:tcPr>
                  <w:tcW w:w="909" w:type="pct"/>
                  <w:tcBorders>
                    <w:tl2br w:val="nil"/>
                    <w:tr2bl w:val="nil"/>
                  </w:tcBorders>
                  <w:shd w:val="clear" w:color="auto" w:fill="auto"/>
                  <w:vAlign w:val="center"/>
                </w:tcPr>
                <w:p w14:paraId="40085F15">
                  <w:pPr>
                    <w:widowControl/>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宋体"/>
                      <w:color w:val="auto"/>
                      <w:kern w:val="0"/>
                      <w:sz w:val="21"/>
                      <w:szCs w:val="21"/>
                    </w:rPr>
                    <w:t xml:space="preserve">21.90 </w:t>
                  </w:r>
                </w:p>
              </w:tc>
              <w:tc>
                <w:tcPr>
                  <w:tcW w:w="698" w:type="pct"/>
                  <w:vMerge w:val="continue"/>
                  <w:tcBorders>
                    <w:tl2br w:val="nil"/>
                    <w:tr2bl w:val="nil"/>
                  </w:tcBorders>
                  <w:shd w:val="clear" w:color="auto" w:fill="auto"/>
                  <w:vAlign w:val="center"/>
                </w:tcPr>
                <w:p w14:paraId="1406ECF6">
                  <w:pPr>
                    <w:pStyle w:val="17"/>
                    <w:rPr>
                      <w:rFonts w:hint="eastAsia" w:ascii="Times New Roman" w:hAnsi="Times New Roman" w:eastAsia="宋体" w:cs="宋体"/>
                      <w:color w:val="auto"/>
                      <w:sz w:val="21"/>
                      <w:szCs w:val="21"/>
                    </w:rPr>
                  </w:pPr>
                </w:p>
              </w:tc>
            </w:tr>
            <w:tr w14:paraId="676AEE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tcBorders>
                    <w:tl2br w:val="nil"/>
                    <w:tr2bl w:val="nil"/>
                  </w:tcBorders>
                  <w:shd w:val="clear" w:color="auto" w:fill="auto"/>
                  <w:vAlign w:val="center"/>
                </w:tcPr>
                <w:p w14:paraId="10412B86">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18</w:t>
                  </w:r>
                </w:p>
              </w:tc>
              <w:tc>
                <w:tcPr>
                  <w:tcW w:w="638" w:type="pct"/>
                  <w:vMerge w:val="continue"/>
                  <w:tcBorders>
                    <w:tl2br w:val="nil"/>
                    <w:tr2bl w:val="nil"/>
                  </w:tcBorders>
                  <w:shd w:val="clear" w:color="auto" w:fill="auto"/>
                  <w:vAlign w:val="center"/>
                </w:tcPr>
                <w:p w14:paraId="6638E0EF">
                  <w:pPr>
                    <w:pStyle w:val="17"/>
                    <w:rPr>
                      <w:rFonts w:hint="eastAsia" w:ascii="Times New Roman" w:hAnsi="Times New Roman" w:eastAsia="宋体" w:cs="宋体"/>
                      <w:color w:val="auto"/>
                      <w:sz w:val="21"/>
                      <w:szCs w:val="21"/>
                    </w:rPr>
                  </w:pPr>
                </w:p>
              </w:tc>
              <w:tc>
                <w:tcPr>
                  <w:tcW w:w="1492" w:type="pct"/>
                  <w:gridSpan w:val="2"/>
                  <w:tcBorders>
                    <w:tl2br w:val="nil"/>
                    <w:tr2bl w:val="nil"/>
                  </w:tcBorders>
                  <w:shd w:val="clear" w:color="auto" w:fill="auto"/>
                  <w:vAlign w:val="center"/>
                </w:tcPr>
                <w:p w14:paraId="18EABA6B">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复合加重剂</w:t>
                  </w:r>
                </w:p>
              </w:tc>
              <w:tc>
                <w:tcPr>
                  <w:tcW w:w="884" w:type="pct"/>
                  <w:tcBorders>
                    <w:tl2br w:val="nil"/>
                    <w:tr2bl w:val="nil"/>
                  </w:tcBorders>
                  <w:shd w:val="clear" w:color="auto" w:fill="auto"/>
                  <w:vAlign w:val="center"/>
                </w:tcPr>
                <w:p w14:paraId="0B599DE7">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58.4</w:t>
                  </w:r>
                </w:p>
              </w:tc>
              <w:tc>
                <w:tcPr>
                  <w:tcW w:w="909" w:type="pct"/>
                  <w:tcBorders>
                    <w:tl2br w:val="nil"/>
                    <w:tr2bl w:val="nil"/>
                  </w:tcBorders>
                  <w:shd w:val="clear" w:color="auto" w:fill="auto"/>
                  <w:vAlign w:val="center"/>
                </w:tcPr>
                <w:p w14:paraId="5283E806">
                  <w:pPr>
                    <w:widowControl/>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宋体"/>
                      <w:color w:val="auto"/>
                      <w:kern w:val="0"/>
                      <w:sz w:val="21"/>
                      <w:szCs w:val="21"/>
                    </w:rPr>
                    <w:t xml:space="preserve">17.52 </w:t>
                  </w:r>
                </w:p>
              </w:tc>
              <w:tc>
                <w:tcPr>
                  <w:tcW w:w="698" w:type="pct"/>
                  <w:vMerge w:val="continue"/>
                  <w:tcBorders>
                    <w:tl2br w:val="nil"/>
                    <w:tr2bl w:val="nil"/>
                  </w:tcBorders>
                  <w:shd w:val="clear" w:color="auto" w:fill="auto"/>
                  <w:vAlign w:val="center"/>
                </w:tcPr>
                <w:p w14:paraId="04145858">
                  <w:pPr>
                    <w:pStyle w:val="17"/>
                    <w:rPr>
                      <w:rFonts w:hint="eastAsia" w:ascii="Times New Roman" w:hAnsi="Times New Roman" w:eastAsia="宋体" w:cs="宋体"/>
                      <w:color w:val="auto"/>
                      <w:sz w:val="21"/>
                      <w:szCs w:val="21"/>
                    </w:rPr>
                  </w:pPr>
                </w:p>
              </w:tc>
            </w:tr>
            <w:tr w14:paraId="6930D5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tcBorders>
                    <w:tl2br w:val="nil"/>
                    <w:tr2bl w:val="nil"/>
                  </w:tcBorders>
                  <w:shd w:val="clear" w:color="auto" w:fill="auto"/>
                  <w:vAlign w:val="center"/>
                </w:tcPr>
                <w:p w14:paraId="2AC3CE4F">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19</w:t>
                  </w:r>
                </w:p>
              </w:tc>
              <w:tc>
                <w:tcPr>
                  <w:tcW w:w="638" w:type="pct"/>
                  <w:vMerge w:val="continue"/>
                  <w:tcBorders>
                    <w:tl2br w:val="nil"/>
                    <w:tr2bl w:val="nil"/>
                  </w:tcBorders>
                  <w:shd w:val="clear" w:color="auto" w:fill="auto"/>
                  <w:vAlign w:val="center"/>
                </w:tcPr>
                <w:p w14:paraId="470CB27D">
                  <w:pPr>
                    <w:pStyle w:val="17"/>
                    <w:rPr>
                      <w:rFonts w:hint="eastAsia" w:ascii="Times New Roman" w:hAnsi="Times New Roman" w:eastAsia="宋体" w:cs="宋体"/>
                      <w:color w:val="auto"/>
                      <w:sz w:val="21"/>
                      <w:szCs w:val="21"/>
                    </w:rPr>
                  </w:pPr>
                </w:p>
              </w:tc>
              <w:tc>
                <w:tcPr>
                  <w:tcW w:w="1492" w:type="pct"/>
                  <w:gridSpan w:val="2"/>
                  <w:tcBorders>
                    <w:tl2br w:val="nil"/>
                    <w:tr2bl w:val="nil"/>
                  </w:tcBorders>
                  <w:shd w:val="clear" w:color="auto" w:fill="auto"/>
                  <w:vAlign w:val="center"/>
                </w:tcPr>
                <w:p w14:paraId="19ABF158">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水基润滑剂（一级）KD-21C</w:t>
                  </w:r>
                </w:p>
              </w:tc>
              <w:tc>
                <w:tcPr>
                  <w:tcW w:w="884" w:type="pct"/>
                  <w:tcBorders>
                    <w:tl2br w:val="nil"/>
                    <w:tr2bl w:val="nil"/>
                  </w:tcBorders>
                  <w:shd w:val="clear" w:color="auto" w:fill="auto"/>
                  <w:vAlign w:val="center"/>
                </w:tcPr>
                <w:p w14:paraId="4C69B11A">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1.5</w:t>
                  </w:r>
                </w:p>
              </w:tc>
              <w:tc>
                <w:tcPr>
                  <w:tcW w:w="909" w:type="pct"/>
                  <w:tcBorders>
                    <w:tl2br w:val="nil"/>
                    <w:tr2bl w:val="nil"/>
                  </w:tcBorders>
                  <w:shd w:val="clear" w:color="auto" w:fill="auto"/>
                  <w:vAlign w:val="center"/>
                </w:tcPr>
                <w:p w14:paraId="4956C6E4">
                  <w:pPr>
                    <w:widowControl/>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宋体"/>
                      <w:color w:val="auto"/>
                      <w:kern w:val="0"/>
                      <w:sz w:val="21"/>
                      <w:szCs w:val="21"/>
                    </w:rPr>
                    <w:t xml:space="preserve">0.45 </w:t>
                  </w:r>
                </w:p>
              </w:tc>
              <w:tc>
                <w:tcPr>
                  <w:tcW w:w="698" w:type="pct"/>
                  <w:vMerge w:val="continue"/>
                  <w:tcBorders>
                    <w:tl2br w:val="nil"/>
                    <w:tr2bl w:val="nil"/>
                  </w:tcBorders>
                  <w:shd w:val="clear" w:color="auto" w:fill="auto"/>
                  <w:vAlign w:val="center"/>
                </w:tcPr>
                <w:p w14:paraId="762DC760">
                  <w:pPr>
                    <w:pStyle w:val="17"/>
                    <w:rPr>
                      <w:rFonts w:hint="eastAsia" w:ascii="Times New Roman" w:hAnsi="Times New Roman" w:eastAsia="宋体" w:cs="宋体"/>
                      <w:color w:val="auto"/>
                      <w:sz w:val="21"/>
                      <w:szCs w:val="21"/>
                    </w:rPr>
                  </w:pPr>
                </w:p>
              </w:tc>
            </w:tr>
            <w:tr w14:paraId="3D3486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tcBorders>
                    <w:tl2br w:val="nil"/>
                    <w:tr2bl w:val="nil"/>
                  </w:tcBorders>
                  <w:shd w:val="clear" w:color="auto" w:fill="auto"/>
                  <w:vAlign w:val="center"/>
                </w:tcPr>
                <w:p w14:paraId="0589121B">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20</w:t>
                  </w:r>
                </w:p>
              </w:tc>
              <w:tc>
                <w:tcPr>
                  <w:tcW w:w="638" w:type="pct"/>
                  <w:vMerge w:val="continue"/>
                  <w:tcBorders>
                    <w:tl2br w:val="nil"/>
                    <w:tr2bl w:val="nil"/>
                  </w:tcBorders>
                  <w:shd w:val="clear" w:color="auto" w:fill="auto"/>
                  <w:vAlign w:val="center"/>
                </w:tcPr>
                <w:p w14:paraId="69C7D111">
                  <w:pPr>
                    <w:pStyle w:val="17"/>
                    <w:rPr>
                      <w:rFonts w:hint="eastAsia" w:ascii="Times New Roman" w:hAnsi="Times New Roman" w:eastAsia="宋体" w:cs="宋体"/>
                      <w:color w:val="auto"/>
                      <w:sz w:val="21"/>
                      <w:szCs w:val="21"/>
                    </w:rPr>
                  </w:pPr>
                </w:p>
              </w:tc>
              <w:tc>
                <w:tcPr>
                  <w:tcW w:w="1492" w:type="pct"/>
                  <w:gridSpan w:val="2"/>
                  <w:tcBorders>
                    <w:tl2br w:val="nil"/>
                    <w:tr2bl w:val="nil"/>
                  </w:tcBorders>
                  <w:shd w:val="clear" w:color="auto" w:fill="auto"/>
                  <w:vAlign w:val="center"/>
                </w:tcPr>
                <w:p w14:paraId="1406BE33">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塑料小球HZN-102</w:t>
                  </w:r>
                </w:p>
              </w:tc>
              <w:tc>
                <w:tcPr>
                  <w:tcW w:w="884" w:type="pct"/>
                  <w:tcBorders>
                    <w:tl2br w:val="nil"/>
                    <w:tr2bl w:val="nil"/>
                  </w:tcBorders>
                  <w:shd w:val="clear" w:color="auto" w:fill="auto"/>
                  <w:vAlign w:val="center"/>
                </w:tcPr>
                <w:p w14:paraId="288E4565">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0.4</w:t>
                  </w:r>
                </w:p>
              </w:tc>
              <w:tc>
                <w:tcPr>
                  <w:tcW w:w="909" w:type="pct"/>
                  <w:tcBorders>
                    <w:tl2br w:val="nil"/>
                    <w:tr2bl w:val="nil"/>
                  </w:tcBorders>
                  <w:shd w:val="clear" w:color="auto" w:fill="auto"/>
                  <w:vAlign w:val="center"/>
                </w:tcPr>
                <w:p w14:paraId="59B93B01">
                  <w:pPr>
                    <w:widowControl/>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宋体"/>
                      <w:color w:val="auto"/>
                      <w:kern w:val="0"/>
                      <w:sz w:val="21"/>
                      <w:szCs w:val="21"/>
                    </w:rPr>
                    <w:t xml:space="preserve">0.12 </w:t>
                  </w:r>
                </w:p>
              </w:tc>
              <w:tc>
                <w:tcPr>
                  <w:tcW w:w="698" w:type="pct"/>
                  <w:vMerge w:val="continue"/>
                  <w:tcBorders>
                    <w:tl2br w:val="nil"/>
                    <w:tr2bl w:val="nil"/>
                  </w:tcBorders>
                  <w:shd w:val="clear" w:color="auto" w:fill="auto"/>
                  <w:vAlign w:val="center"/>
                </w:tcPr>
                <w:p w14:paraId="33B8E708">
                  <w:pPr>
                    <w:pStyle w:val="17"/>
                    <w:rPr>
                      <w:rFonts w:hint="eastAsia" w:ascii="Times New Roman" w:hAnsi="Times New Roman" w:eastAsia="宋体" w:cs="宋体"/>
                      <w:color w:val="auto"/>
                      <w:sz w:val="21"/>
                      <w:szCs w:val="21"/>
                    </w:rPr>
                  </w:pPr>
                </w:p>
              </w:tc>
            </w:tr>
            <w:tr w14:paraId="52DDD2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tcBorders>
                    <w:tl2br w:val="nil"/>
                    <w:tr2bl w:val="nil"/>
                  </w:tcBorders>
                  <w:shd w:val="clear" w:color="auto" w:fill="auto"/>
                  <w:vAlign w:val="center"/>
                </w:tcPr>
                <w:p w14:paraId="09E308BC">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21</w:t>
                  </w:r>
                </w:p>
              </w:tc>
              <w:tc>
                <w:tcPr>
                  <w:tcW w:w="638" w:type="pct"/>
                  <w:vMerge w:val="continue"/>
                  <w:tcBorders>
                    <w:tl2br w:val="nil"/>
                    <w:tr2bl w:val="nil"/>
                  </w:tcBorders>
                  <w:shd w:val="clear" w:color="auto" w:fill="auto"/>
                  <w:vAlign w:val="center"/>
                </w:tcPr>
                <w:p w14:paraId="3D09A8CC">
                  <w:pPr>
                    <w:pStyle w:val="17"/>
                    <w:rPr>
                      <w:rFonts w:hint="eastAsia" w:ascii="Times New Roman" w:hAnsi="Times New Roman" w:eastAsia="宋体" w:cs="宋体"/>
                      <w:color w:val="auto"/>
                      <w:sz w:val="21"/>
                      <w:szCs w:val="21"/>
                    </w:rPr>
                  </w:pPr>
                </w:p>
              </w:tc>
              <w:tc>
                <w:tcPr>
                  <w:tcW w:w="1492" w:type="pct"/>
                  <w:gridSpan w:val="2"/>
                  <w:tcBorders>
                    <w:tl2br w:val="nil"/>
                    <w:tr2bl w:val="nil"/>
                  </w:tcBorders>
                  <w:shd w:val="clear" w:color="auto" w:fill="auto"/>
                  <w:vAlign w:val="center"/>
                </w:tcPr>
                <w:p w14:paraId="040BFB38">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氯化钾 KCl</w:t>
                  </w:r>
                </w:p>
              </w:tc>
              <w:tc>
                <w:tcPr>
                  <w:tcW w:w="884" w:type="pct"/>
                  <w:tcBorders>
                    <w:tl2br w:val="nil"/>
                    <w:tr2bl w:val="nil"/>
                  </w:tcBorders>
                  <w:shd w:val="clear" w:color="auto" w:fill="auto"/>
                  <w:vAlign w:val="center"/>
                </w:tcPr>
                <w:p w14:paraId="1EF213A8">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51.1</w:t>
                  </w:r>
                </w:p>
              </w:tc>
              <w:tc>
                <w:tcPr>
                  <w:tcW w:w="909" w:type="pct"/>
                  <w:tcBorders>
                    <w:tl2br w:val="nil"/>
                    <w:tr2bl w:val="nil"/>
                  </w:tcBorders>
                  <w:shd w:val="clear" w:color="auto" w:fill="auto"/>
                  <w:vAlign w:val="center"/>
                </w:tcPr>
                <w:p w14:paraId="502B7952">
                  <w:pPr>
                    <w:widowControl/>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宋体"/>
                      <w:color w:val="auto"/>
                      <w:kern w:val="0"/>
                      <w:sz w:val="21"/>
                      <w:szCs w:val="21"/>
                    </w:rPr>
                    <w:t xml:space="preserve">15.33 </w:t>
                  </w:r>
                </w:p>
              </w:tc>
              <w:tc>
                <w:tcPr>
                  <w:tcW w:w="698" w:type="pct"/>
                  <w:vMerge w:val="continue"/>
                  <w:tcBorders>
                    <w:tl2br w:val="nil"/>
                    <w:tr2bl w:val="nil"/>
                  </w:tcBorders>
                  <w:shd w:val="clear" w:color="auto" w:fill="auto"/>
                  <w:vAlign w:val="center"/>
                </w:tcPr>
                <w:p w14:paraId="204678BE">
                  <w:pPr>
                    <w:pStyle w:val="17"/>
                    <w:rPr>
                      <w:rFonts w:hint="eastAsia" w:ascii="Times New Roman" w:hAnsi="Times New Roman" w:eastAsia="宋体" w:cs="宋体"/>
                      <w:color w:val="auto"/>
                      <w:sz w:val="21"/>
                      <w:szCs w:val="21"/>
                    </w:rPr>
                  </w:pPr>
                </w:p>
              </w:tc>
            </w:tr>
            <w:tr w14:paraId="49A070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tcBorders>
                    <w:tl2br w:val="nil"/>
                    <w:tr2bl w:val="nil"/>
                  </w:tcBorders>
                  <w:shd w:val="clear" w:color="auto" w:fill="auto"/>
                  <w:vAlign w:val="center"/>
                </w:tcPr>
                <w:p w14:paraId="2B50F1E3">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22</w:t>
                  </w:r>
                </w:p>
              </w:tc>
              <w:tc>
                <w:tcPr>
                  <w:tcW w:w="638" w:type="pct"/>
                  <w:vMerge w:val="continue"/>
                  <w:tcBorders>
                    <w:tl2br w:val="nil"/>
                    <w:tr2bl w:val="nil"/>
                  </w:tcBorders>
                  <w:shd w:val="clear" w:color="auto" w:fill="auto"/>
                  <w:vAlign w:val="center"/>
                </w:tcPr>
                <w:p w14:paraId="0FD96625">
                  <w:pPr>
                    <w:pStyle w:val="17"/>
                    <w:rPr>
                      <w:rFonts w:hint="eastAsia" w:ascii="Times New Roman" w:hAnsi="Times New Roman" w:eastAsia="宋体" w:cs="宋体"/>
                      <w:color w:val="auto"/>
                      <w:sz w:val="21"/>
                      <w:szCs w:val="21"/>
                    </w:rPr>
                  </w:pPr>
                </w:p>
              </w:tc>
              <w:tc>
                <w:tcPr>
                  <w:tcW w:w="1492" w:type="pct"/>
                  <w:gridSpan w:val="2"/>
                  <w:tcBorders>
                    <w:tl2br w:val="nil"/>
                    <w:tr2bl w:val="nil"/>
                  </w:tcBorders>
                  <w:shd w:val="clear" w:color="auto" w:fill="auto"/>
                  <w:vAlign w:val="center"/>
                </w:tcPr>
                <w:p w14:paraId="7B7B13D9">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双亲承压堵漏剂</w:t>
                  </w:r>
                </w:p>
              </w:tc>
              <w:tc>
                <w:tcPr>
                  <w:tcW w:w="884" w:type="pct"/>
                  <w:tcBorders>
                    <w:tl2br w:val="nil"/>
                    <w:tr2bl w:val="nil"/>
                  </w:tcBorders>
                  <w:shd w:val="clear" w:color="auto" w:fill="auto"/>
                  <w:vAlign w:val="center"/>
                </w:tcPr>
                <w:p w14:paraId="0668E744">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2.2</w:t>
                  </w:r>
                </w:p>
              </w:tc>
              <w:tc>
                <w:tcPr>
                  <w:tcW w:w="909" w:type="pct"/>
                  <w:tcBorders>
                    <w:tl2br w:val="nil"/>
                    <w:tr2bl w:val="nil"/>
                  </w:tcBorders>
                  <w:shd w:val="clear" w:color="auto" w:fill="auto"/>
                  <w:vAlign w:val="center"/>
                </w:tcPr>
                <w:p w14:paraId="089C7C7C">
                  <w:pPr>
                    <w:widowControl/>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宋体"/>
                      <w:color w:val="auto"/>
                      <w:kern w:val="0"/>
                      <w:sz w:val="21"/>
                      <w:szCs w:val="21"/>
                    </w:rPr>
                    <w:t xml:space="preserve">0.66 </w:t>
                  </w:r>
                </w:p>
              </w:tc>
              <w:tc>
                <w:tcPr>
                  <w:tcW w:w="698" w:type="pct"/>
                  <w:vMerge w:val="continue"/>
                  <w:tcBorders>
                    <w:tl2br w:val="nil"/>
                    <w:tr2bl w:val="nil"/>
                  </w:tcBorders>
                  <w:shd w:val="clear" w:color="auto" w:fill="auto"/>
                  <w:vAlign w:val="center"/>
                </w:tcPr>
                <w:p w14:paraId="36FCEAF4">
                  <w:pPr>
                    <w:pStyle w:val="17"/>
                    <w:rPr>
                      <w:rFonts w:hint="eastAsia" w:ascii="Times New Roman" w:hAnsi="Times New Roman" w:eastAsia="宋体" w:cs="宋体"/>
                      <w:color w:val="auto"/>
                      <w:sz w:val="21"/>
                      <w:szCs w:val="21"/>
                    </w:rPr>
                  </w:pPr>
                </w:p>
              </w:tc>
            </w:tr>
            <w:tr w14:paraId="12A2B3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tcBorders>
                    <w:tl2br w:val="nil"/>
                    <w:tr2bl w:val="nil"/>
                  </w:tcBorders>
                  <w:shd w:val="clear" w:color="auto" w:fill="auto"/>
                  <w:vAlign w:val="center"/>
                </w:tcPr>
                <w:p w14:paraId="55368364">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23</w:t>
                  </w:r>
                </w:p>
              </w:tc>
              <w:tc>
                <w:tcPr>
                  <w:tcW w:w="638" w:type="pct"/>
                  <w:vMerge w:val="continue"/>
                  <w:tcBorders>
                    <w:tl2br w:val="nil"/>
                    <w:tr2bl w:val="nil"/>
                  </w:tcBorders>
                  <w:shd w:val="clear" w:color="auto" w:fill="auto"/>
                  <w:vAlign w:val="center"/>
                </w:tcPr>
                <w:p w14:paraId="2C046C52">
                  <w:pPr>
                    <w:pStyle w:val="17"/>
                    <w:rPr>
                      <w:rFonts w:hint="eastAsia" w:ascii="Times New Roman" w:hAnsi="Times New Roman" w:eastAsia="宋体" w:cs="宋体"/>
                      <w:color w:val="auto"/>
                      <w:sz w:val="21"/>
                      <w:szCs w:val="21"/>
                    </w:rPr>
                  </w:pPr>
                </w:p>
              </w:tc>
              <w:tc>
                <w:tcPr>
                  <w:tcW w:w="1492" w:type="pct"/>
                  <w:gridSpan w:val="2"/>
                  <w:tcBorders>
                    <w:tl2br w:val="nil"/>
                    <w:tr2bl w:val="nil"/>
                  </w:tcBorders>
                  <w:shd w:val="clear" w:color="auto" w:fill="auto"/>
                  <w:vAlign w:val="center"/>
                </w:tcPr>
                <w:p w14:paraId="7328C5DC">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环保型生物润滑剂 JS-LUB-1</w:t>
                  </w:r>
                </w:p>
              </w:tc>
              <w:tc>
                <w:tcPr>
                  <w:tcW w:w="884" w:type="pct"/>
                  <w:tcBorders>
                    <w:tl2br w:val="nil"/>
                    <w:tr2bl w:val="nil"/>
                  </w:tcBorders>
                  <w:shd w:val="clear" w:color="auto" w:fill="auto"/>
                  <w:vAlign w:val="center"/>
                </w:tcPr>
                <w:p w14:paraId="21794F80">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1.1</w:t>
                  </w:r>
                </w:p>
              </w:tc>
              <w:tc>
                <w:tcPr>
                  <w:tcW w:w="909" w:type="pct"/>
                  <w:tcBorders>
                    <w:tl2br w:val="nil"/>
                    <w:tr2bl w:val="nil"/>
                  </w:tcBorders>
                  <w:shd w:val="clear" w:color="auto" w:fill="auto"/>
                  <w:vAlign w:val="center"/>
                </w:tcPr>
                <w:p w14:paraId="2D086E34">
                  <w:pPr>
                    <w:widowControl/>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宋体"/>
                      <w:color w:val="auto"/>
                      <w:kern w:val="0"/>
                      <w:sz w:val="21"/>
                      <w:szCs w:val="21"/>
                    </w:rPr>
                    <w:t xml:space="preserve">0.33 </w:t>
                  </w:r>
                </w:p>
              </w:tc>
              <w:tc>
                <w:tcPr>
                  <w:tcW w:w="698" w:type="pct"/>
                  <w:vMerge w:val="continue"/>
                  <w:tcBorders>
                    <w:tl2br w:val="nil"/>
                    <w:tr2bl w:val="nil"/>
                  </w:tcBorders>
                  <w:shd w:val="clear" w:color="auto" w:fill="auto"/>
                  <w:vAlign w:val="center"/>
                </w:tcPr>
                <w:p w14:paraId="4C37D3B1">
                  <w:pPr>
                    <w:pStyle w:val="17"/>
                    <w:rPr>
                      <w:rFonts w:hint="eastAsia" w:ascii="Times New Roman" w:hAnsi="Times New Roman" w:eastAsia="宋体" w:cs="宋体"/>
                      <w:color w:val="auto"/>
                      <w:sz w:val="21"/>
                      <w:szCs w:val="21"/>
                    </w:rPr>
                  </w:pPr>
                </w:p>
              </w:tc>
            </w:tr>
            <w:tr w14:paraId="62313E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tcBorders>
                    <w:tl2br w:val="nil"/>
                    <w:tr2bl w:val="nil"/>
                  </w:tcBorders>
                  <w:shd w:val="clear" w:color="auto" w:fill="auto"/>
                  <w:vAlign w:val="center"/>
                </w:tcPr>
                <w:p w14:paraId="5D681370">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24</w:t>
                  </w:r>
                </w:p>
              </w:tc>
              <w:tc>
                <w:tcPr>
                  <w:tcW w:w="638" w:type="pct"/>
                  <w:vMerge w:val="continue"/>
                  <w:tcBorders>
                    <w:tl2br w:val="nil"/>
                    <w:tr2bl w:val="nil"/>
                  </w:tcBorders>
                  <w:shd w:val="clear" w:color="auto" w:fill="auto"/>
                  <w:vAlign w:val="center"/>
                </w:tcPr>
                <w:p w14:paraId="585B3C6C">
                  <w:pPr>
                    <w:pStyle w:val="17"/>
                    <w:rPr>
                      <w:rFonts w:hint="eastAsia" w:ascii="Times New Roman" w:hAnsi="Times New Roman" w:eastAsia="宋体" w:cs="宋体"/>
                      <w:color w:val="auto"/>
                      <w:sz w:val="21"/>
                      <w:szCs w:val="21"/>
                    </w:rPr>
                  </w:pPr>
                </w:p>
              </w:tc>
              <w:tc>
                <w:tcPr>
                  <w:tcW w:w="1492" w:type="pct"/>
                  <w:gridSpan w:val="2"/>
                  <w:tcBorders>
                    <w:tl2br w:val="nil"/>
                    <w:tr2bl w:val="nil"/>
                  </w:tcBorders>
                  <w:shd w:val="clear" w:color="auto" w:fill="auto"/>
                  <w:vAlign w:val="center"/>
                </w:tcPr>
                <w:p w14:paraId="3B0945B2">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微纳米封堵剂</w:t>
                  </w:r>
                </w:p>
              </w:tc>
              <w:tc>
                <w:tcPr>
                  <w:tcW w:w="884" w:type="pct"/>
                  <w:tcBorders>
                    <w:tl2br w:val="nil"/>
                    <w:tr2bl w:val="nil"/>
                  </w:tcBorders>
                  <w:shd w:val="clear" w:color="auto" w:fill="auto"/>
                  <w:vAlign w:val="center"/>
                </w:tcPr>
                <w:p w14:paraId="0718CD7D">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2.2</w:t>
                  </w:r>
                </w:p>
              </w:tc>
              <w:tc>
                <w:tcPr>
                  <w:tcW w:w="909" w:type="pct"/>
                  <w:tcBorders>
                    <w:tl2br w:val="nil"/>
                    <w:tr2bl w:val="nil"/>
                  </w:tcBorders>
                  <w:shd w:val="clear" w:color="auto" w:fill="auto"/>
                  <w:vAlign w:val="center"/>
                </w:tcPr>
                <w:p w14:paraId="57C4BAC1">
                  <w:pPr>
                    <w:widowControl/>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宋体"/>
                      <w:color w:val="auto"/>
                      <w:kern w:val="0"/>
                      <w:sz w:val="21"/>
                      <w:szCs w:val="21"/>
                    </w:rPr>
                    <w:t xml:space="preserve">0.66 </w:t>
                  </w:r>
                </w:p>
              </w:tc>
              <w:tc>
                <w:tcPr>
                  <w:tcW w:w="698" w:type="pct"/>
                  <w:vMerge w:val="continue"/>
                  <w:tcBorders>
                    <w:tl2br w:val="nil"/>
                    <w:tr2bl w:val="nil"/>
                  </w:tcBorders>
                  <w:shd w:val="clear" w:color="auto" w:fill="auto"/>
                  <w:vAlign w:val="center"/>
                </w:tcPr>
                <w:p w14:paraId="56E10B76">
                  <w:pPr>
                    <w:pStyle w:val="17"/>
                    <w:rPr>
                      <w:rFonts w:hint="eastAsia" w:ascii="Times New Roman" w:hAnsi="Times New Roman" w:eastAsia="宋体" w:cs="宋体"/>
                      <w:color w:val="auto"/>
                      <w:sz w:val="21"/>
                      <w:szCs w:val="21"/>
                    </w:rPr>
                  </w:pPr>
                </w:p>
              </w:tc>
            </w:tr>
            <w:tr w14:paraId="678AF3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tcBorders>
                    <w:tl2br w:val="nil"/>
                    <w:tr2bl w:val="nil"/>
                  </w:tcBorders>
                  <w:shd w:val="clear" w:color="auto" w:fill="auto"/>
                  <w:vAlign w:val="center"/>
                </w:tcPr>
                <w:p w14:paraId="47554411">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25</w:t>
                  </w:r>
                </w:p>
              </w:tc>
              <w:tc>
                <w:tcPr>
                  <w:tcW w:w="638" w:type="pct"/>
                  <w:vMerge w:val="continue"/>
                  <w:tcBorders>
                    <w:tl2br w:val="nil"/>
                    <w:tr2bl w:val="nil"/>
                  </w:tcBorders>
                  <w:shd w:val="clear" w:color="auto" w:fill="auto"/>
                  <w:vAlign w:val="center"/>
                </w:tcPr>
                <w:p w14:paraId="5A9DAF46">
                  <w:pPr>
                    <w:pStyle w:val="17"/>
                    <w:rPr>
                      <w:rFonts w:hint="eastAsia" w:ascii="Times New Roman" w:hAnsi="Times New Roman" w:eastAsia="宋体" w:cs="宋体"/>
                      <w:color w:val="auto"/>
                      <w:sz w:val="21"/>
                      <w:szCs w:val="21"/>
                    </w:rPr>
                  </w:pPr>
                </w:p>
              </w:tc>
              <w:tc>
                <w:tcPr>
                  <w:tcW w:w="1492" w:type="pct"/>
                  <w:gridSpan w:val="2"/>
                  <w:tcBorders>
                    <w:tl2br w:val="nil"/>
                    <w:tr2bl w:val="nil"/>
                  </w:tcBorders>
                  <w:shd w:val="clear" w:color="auto" w:fill="auto"/>
                  <w:vAlign w:val="center"/>
                </w:tcPr>
                <w:p w14:paraId="0FEEE3A6">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聚阴离子纤维素LV-PAC</w:t>
                  </w:r>
                </w:p>
              </w:tc>
              <w:tc>
                <w:tcPr>
                  <w:tcW w:w="884" w:type="pct"/>
                  <w:tcBorders>
                    <w:tl2br w:val="nil"/>
                    <w:tr2bl w:val="nil"/>
                  </w:tcBorders>
                  <w:shd w:val="clear" w:color="auto" w:fill="auto"/>
                  <w:vAlign w:val="center"/>
                </w:tcPr>
                <w:p w14:paraId="34805FD2">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2.9</w:t>
                  </w:r>
                </w:p>
              </w:tc>
              <w:tc>
                <w:tcPr>
                  <w:tcW w:w="909" w:type="pct"/>
                  <w:tcBorders>
                    <w:tl2br w:val="nil"/>
                    <w:tr2bl w:val="nil"/>
                  </w:tcBorders>
                  <w:shd w:val="clear" w:color="auto" w:fill="auto"/>
                  <w:vAlign w:val="center"/>
                </w:tcPr>
                <w:p w14:paraId="2AB62AF8">
                  <w:pPr>
                    <w:widowControl/>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宋体"/>
                      <w:color w:val="auto"/>
                      <w:kern w:val="0"/>
                      <w:sz w:val="21"/>
                      <w:szCs w:val="21"/>
                    </w:rPr>
                    <w:t xml:space="preserve">0.87 </w:t>
                  </w:r>
                </w:p>
              </w:tc>
              <w:tc>
                <w:tcPr>
                  <w:tcW w:w="698" w:type="pct"/>
                  <w:vMerge w:val="continue"/>
                  <w:tcBorders>
                    <w:tl2br w:val="nil"/>
                    <w:tr2bl w:val="nil"/>
                  </w:tcBorders>
                  <w:shd w:val="clear" w:color="auto" w:fill="auto"/>
                  <w:vAlign w:val="center"/>
                </w:tcPr>
                <w:p w14:paraId="1E684729">
                  <w:pPr>
                    <w:pStyle w:val="17"/>
                    <w:rPr>
                      <w:rFonts w:hint="eastAsia" w:ascii="Times New Roman" w:hAnsi="Times New Roman" w:eastAsia="宋体" w:cs="宋体"/>
                      <w:color w:val="auto"/>
                      <w:sz w:val="21"/>
                      <w:szCs w:val="21"/>
                    </w:rPr>
                  </w:pPr>
                </w:p>
              </w:tc>
            </w:tr>
            <w:tr w14:paraId="10811A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tcBorders>
                    <w:tl2br w:val="nil"/>
                    <w:tr2bl w:val="nil"/>
                  </w:tcBorders>
                  <w:shd w:val="clear" w:color="auto" w:fill="auto"/>
                  <w:vAlign w:val="center"/>
                </w:tcPr>
                <w:p w14:paraId="658591FC">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26</w:t>
                  </w:r>
                </w:p>
              </w:tc>
              <w:tc>
                <w:tcPr>
                  <w:tcW w:w="638" w:type="pct"/>
                  <w:vMerge w:val="continue"/>
                  <w:tcBorders>
                    <w:tl2br w:val="nil"/>
                    <w:tr2bl w:val="nil"/>
                  </w:tcBorders>
                  <w:shd w:val="clear" w:color="auto" w:fill="auto"/>
                  <w:vAlign w:val="center"/>
                </w:tcPr>
                <w:p w14:paraId="10EFA074">
                  <w:pPr>
                    <w:pStyle w:val="17"/>
                    <w:rPr>
                      <w:rFonts w:hint="eastAsia" w:ascii="Times New Roman" w:hAnsi="Times New Roman" w:eastAsia="宋体" w:cs="宋体"/>
                      <w:color w:val="auto"/>
                      <w:sz w:val="21"/>
                      <w:szCs w:val="21"/>
                    </w:rPr>
                  </w:pPr>
                </w:p>
              </w:tc>
              <w:tc>
                <w:tcPr>
                  <w:tcW w:w="1492" w:type="pct"/>
                  <w:gridSpan w:val="2"/>
                  <w:tcBorders>
                    <w:tl2br w:val="nil"/>
                    <w:tr2bl w:val="nil"/>
                  </w:tcBorders>
                  <w:shd w:val="clear" w:color="auto" w:fill="auto"/>
                  <w:vAlign w:val="center"/>
                </w:tcPr>
                <w:p w14:paraId="139C354B">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固体润滑剂 RH102</w:t>
                  </w:r>
                </w:p>
              </w:tc>
              <w:tc>
                <w:tcPr>
                  <w:tcW w:w="884" w:type="pct"/>
                  <w:tcBorders>
                    <w:tl2br w:val="nil"/>
                    <w:tr2bl w:val="nil"/>
                  </w:tcBorders>
                  <w:shd w:val="clear" w:color="auto" w:fill="auto"/>
                  <w:vAlign w:val="center"/>
                </w:tcPr>
                <w:p w14:paraId="15DB317A">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1.1</w:t>
                  </w:r>
                </w:p>
              </w:tc>
              <w:tc>
                <w:tcPr>
                  <w:tcW w:w="909" w:type="pct"/>
                  <w:tcBorders>
                    <w:tl2br w:val="nil"/>
                    <w:tr2bl w:val="nil"/>
                  </w:tcBorders>
                  <w:shd w:val="clear" w:color="auto" w:fill="auto"/>
                  <w:vAlign w:val="center"/>
                </w:tcPr>
                <w:p w14:paraId="0823827B">
                  <w:pPr>
                    <w:widowControl/>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宋体"/>
                      <w:color w:val="auto"/>
                      <w:kern w:val="0"/>
                      <w:sz w:val="21"/>
                      <w:szCs w:val="21"/>
                    </w:rPr>
                    <w:t xml:space="preserve">0.33 </w:t>
                  </w:r>
                </w:p>
              </w:tc>
              <w:tc>
                <w:tcPr>
                  <w:tcW w:w="698" w:type="pct"/>
                  <w:vMerge w:val="continue"/>
                  <w:tcBorders>
                    <w:tl2br w:val="nil"/>
                    <w:tr2bl w:val="nil"/>
                  </w:tcBorders>
                  <w:shd w:val="clear" w:color="auto" w:fill="auto"/>
                  <w:vAlign w:val="center"/>
                </w:tcPr>
                <w:p w14:paraId="798668AB">
                  <w:pPr>
                    <w:pStyle w:val="17"/>
                    <w:rPr>
                      <w:rFonts w:hint="eastAsia" w:ascii="Times New Roman" w:hAnsi="Times New Roman" w:eastAsia="宋体" w:cs="宋体"/>
                      <w:color w:val="auto"/>
                      <w:sz w:val="21"/>
                      <w:szCs w:val="21"/>
                    </w:rPr>
                  </w:pPr>
                </w:p>
              </w:tc>
            </w:tr>
            <w:tr w14:paraId="31A9BC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vMerge w:val="restart"/>
                  <w:tcBorders>
                    <w:tl2br w:val="nil"/>
                    <w:tr2bl w:val="nil"/>
                  </w:tcBorders>
                  <w:shd w:val="clear" w:color="auto" w:fill="auto"/>
                  <w:vAlign w:val="center"/>
                </w:tcPr>
                <w:p w14:paraId="7D402E33">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27</w:t>
                  </w:r>
                </w:p>
              </w:tc>
              <w:tc>
                <w:tcPr>
                  <w:tcW w:w="638" w:type="pct"/>
                  <w:vMerge w:val="restart"/>
                  <w:tcBorders>
                    <w:tl2br w:val="nil"/>
                    <w:tr2bl w:val="nil"/>
                  </w:tcBorders>
                  <w:shd w:val="clear" w:color="auto" w:fill="auto"/>
                  <w:vAlign w:val="center"/>
                </w:tcPr>
                <w:p w14:paraId="2FA9C805">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压裂材料</w:t>
                  </w:r>
                </w:p>
              </w:tc>
              <w:tc>
                <w:tcPr>
                  <w:tcW w:w="376" w:type="pct"/>
                  <w:vMerge w:val="restart"/>
                  <w:tcBorders>
                    <w:tl2br w:val="nil"/>
                    <w:tr2bl w:val="nil"/>
                  </w:tcBorders>
                  <w:shd w:val="clear" w:color="auto" w:fill="auto"/>
                  <w:vAlign w:val="center"/>
                </w:tcPr>
                <w:p w14:paraId="5738A309">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压裂液</w:t>
                  </w:r>
                </w:p>
              </w:tc>
              <w:tc>
                <w:tcPr>
                  <w:tcW w:w="1115" w:type="pct"/>
                  <w:tcBorders>
                    <w:tl2br w:val="nil"/>
                    <w:tr2bl w:val="nil"/>
                  </w:tcBorders>
                  <w:shd w:val="clear" w:color="auto" w:fill="auto"/>
                  <w:vAlign w:val="center"/>
                </w:tcPr>
                <w:p w14:paraId="3A11C28A">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减阻剂（桶装）</w:t>
                  </w:r>
                </w:p>
              </w:tc>
              <w:tc>
                <w:tcPr>
                  <w:tcW w:w="884" w:type="pct"/>
                  <w:tcBorders>
                    <w:tl2br w:val="nil"/>
                    <w:tr2bl w:val="nil"/>
                  </w:tcBorders>
                  <w:shd w:val="clear" w:color="auto" w:fill="auto"/>
                  <w:vAlign w:val="center"/>
                </w:tcPr>
                <w:p w14:paraId="452D3B9D">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120</w:t>
                  </w:r>
                </w:p>
              </w:tc>
              <w:tc>
                <w:tcPr>
                  <w:tcW w:w="909" w:type="pct"/>
                  <w:tcBorders>
                    <w:tl2br w:val="nil"/>
                    <w:tr2bl w:val="nil"/>
                  </w:tcBorders>
                  <w:shd w:val="clear" w:color="auto" w:fill="auto"/>
                  <w:vAlign w:val="center"/>
                </w:tcPr>
                <w:p w14:paraId="10A6E58C">
                  <w:pPr>
                    <w:widowControl/>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宋体"/>
                      <w:color w:val="auto"/>
                      <w:kern w:val="0"/>
                      <w:sz w:val="21"/>
                      <w:szCs w:val="21"/>
                    </w:rPr>
                    <w:t xml:space="preserve">36.00 </w:t>
                  </w:r>
                </w:p>
              </w:tc>
              <w:tc>
                <w:tcPr>
                  <w:tcW w:w="698" w:type="pct"/>
                  <w:vMerge w:val="continue"/>
                  <w:tcBorders>
                    <w:tl2br w:val="nil"/>
                    <w:tr2bl w:val="nil"/>
                  </w:tcBorders>
                  <w:shd w:val="clear" w:color="auto" w:fill="auto"/>
                  <w:vAlign w:val="center"/>
                </w:tcPr>
                <w:p w14:paraId="45B3C87F">
                  <w:pPr>
                    <w:pStyle w:val="17"/>
                    <w:rPr>
                      <w:rFonts w:hint="eastAsia" w:ascii="Times New Roman" w:hAnsi="Times New Roman" w:eastAsia="宋体" w:cs="宋体"/>
                      <w:color w:val="auto"/>
                      <w:sz w:val="21"/>
                      <w:szCs w:val="21"/>
                    </w:rPr>
                  </w:pPr>
                </w:p>
              </w:tc>
            </w:tr>
            <w:tr w14:paraId="791B71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vMerge w:val="continue"/>
                  <w:tcBorders>
                    <w:tl2br w:val="nil"/>
                    <w:tr2bl w:val="nil"/>
                  </w:tcBorders>
                  <w:shd w:val="clear" w:color="auto" w:fill="auto"/>
                  <w:vAlign w:val="center"/>
                </w:tcPr>
                <w:p w14:paraId="149BDA04">
                  <w:pPr>
                    <w:pStyle w:val="17"/>
                    <w:rPr>
                      <w:rFonts w:hint="eastAsia" w:ascii="Times New Roman" w:hAnsi="Times New Roman" w:eastAsia="宋体" w:cs="宋体"/>
                      <w:color w:val="auto"/>
                      <w:sz w:val="21"/>
                      <w:szCs w:val="21"/>
                    </w:rPr>
                  </w:pPr>
                </w:p>
              </w:tc>
              <w:tc>
                <w:tcPr>
                  <w:tcW w:w="638" w:type="pct"/>
                  <w:vMerge w:val="continue"/>
                  <w:tcBorders>
                    <w:tl2br w:val="nil"/>
                    <w:tr2bl w:val="nil"/>
                  </w:tcBorders>
                  <w:shd w:val="clear" w:color="auto" w:fill="auto"/>
                  <w:vAlign w:val="center"/>
                </w:tcPr>
                <w:p w14:paraId="4671C4D1">
                  <w:pPr>
                    <w:pStyle w:val="17"/>
                    <w:rPr>
                      <w:rFonts w:hint="eastAsia" w:ascii="Times New Roman" w:hAnsi="Times New Roman" w:eastAsia="宋体" w:cs="宋体"/>
                      <w:color w:val="auto"/>
                      <w:sz w:val="21"/>
                      <w:szCs w:val="21"/>
                    </w:rPr>
                  </w:pPr>
                </w:p>
              </w:tc>
              <w:tc>
                <w:tcPr>
                  <w:tcW w:w="376" w:type="pct"/>
                  <w:vMerge w:val="continue"/>
                  <w:tcBorders>
                    <w:tl2br w:val="nil"/>
                    <w:tr2bl w:val="nil"/>
                  </w:tcBorders>
                  <w:shd w:val="clear" w:color="auto" w:fill="auto"/>
                  <w:vAlign w:val="center"/>
                </w:tcPr>
                <w:p w14:paraId="4362FBDA">
                  <w:pPr>
                    <w:pStyle w:val="17"/>
                    <w:rPr>
                      <w:rFonts w:hint="eastAsia" w:ascii="Times New Roman" w:hAnsi="Times New Roman" w:eastAsia="宋体" w:cs="宋体"/>
                      <w:color w:val="auto"/>
                      <w:sz w:val="21"/>
                      <w:szCs w:val="21"/>
                    </w:rPr>
                  </w:pPr>
                </w:p>
              </w:tc>
              <w:tc>
                <w:tcPr>
                  <w:tcW w:w="1115" w:type="pct"/>
                  <w:tcBorders>
                    <w:tl2br w:val="nil"/>
                    <w:tr2bl w:val="nil"/>
                  </w:tcBorders>
                  <w:shd w:val="clear" w:color="auto" w:fill="auto"/>
                  <w:vAlign w:val="center"/>
                </w:tcPr>
                <w:p w14:paraId="513C6DC1">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防膨剂（桶装）</w:t>
                  </w:r>
                </w:p>
              </w:tc>
              <w:tc>
                <w:tcPr>
                  <w:tcW w:w="884" w:type="pct"/>
                  <w:tcBorders>
                    <w:tl2br w:val="nil"/>
                    <w:tr2bl w:val="nil"/>
                  </w:tcBorders>
                  <w:shd w:val="clear" w:color="auto" w:fill="auto"/>
                  <w:vAlign w:val="center"/>
                </w:tcPr>
                <w:p w14:paraId="76C65B4A">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40</w:t>
                  </w:r>
                </w:p>
              </w:tc>
              <w:tc>
                <w:tcPr>
                  <w:tcW w:w="909" w:type="pct"/>
                  <w:tcBorders>
                    <w:tl2br w:val="nil"/>
                    <w:tr2bl w:val="nil"/>
                  </w:tcBorders>
                  <w:shd w:val="clear" w:color="auto" w:fill="auto"/>
                  <w:vAlign w:val="center"/>
                </w:tcPr>
                <w:p w14:paraId="697CACD9">
                  <w:pPr>
                    <w:widowControl/>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宋体"/>
                      <w:color w:val="auto"/>
                      <w:kern w:val="0"/>
                      <w:sz w:val="21"/>
                      <w:szCs w:val="21"/>
                    </w:rPr>
                    <w:t xml:space="preserve">12.00 </w:t>
                  </w:r>
                </w:p>
              </w:tc>
              <w:tc>
                <w:tcPr>
                  <w:tcW w:w="698" w:type="pct"/>
                  <w:vMerge w:val="continue"/>
                  <w:tcBorders>
                    <w:tl2br w:val="nil"/>
                    <w:tr2bl w:val="nil"/>
                  </w:tcBorders>
                  <w:shd w:val="clear" w:color="auto" w:fill="auto"/>
                  <w:vAlign w:val="center"/>
                </w:tcPr>
                <w:p w14:paraId="20D5046D">
                  <w:pPr>
                    <w:pStyle w:val="17"/>
                    <w:rPr>
                      <w:rFonts w:hint="eastAsia" w:ascii="Times New Roman" w:hAnsi="Times New Roman" w:eastAsia="宋体" w:cs="宋体"/>
                      <w:color w:val="auto"/>
                      <w:sz w:val="21"/>
                      <w:szCs w:val="21"/>
                    </w:rPr>
                  </w:pPr>
                </w:p>
              </w:tc>
            </w:tr>
            <w:tr w14:paraId="05575B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vMerge w:val="continue"/>
                  <w:tcBorders>
                    <w:tl2br w:val="nil"/>
                    <w:tr2bl w:val="nil"/>
                  </w:tcBorders>
                  <w:shd w:val="clear" w:color="auto" w:fill="auto"/>
                  <w:vAlign w:val="center"/>
                </w:tcPr>
                <w:p w14:paraId="11E5DD35">
                  <w:pPr>
                    <w:pStyle w:val="17"/>
                    <w:rPr>
                      <w:rFonts w:hint="eastAsia" w:ascii="Times New Roman" w:hAnsi="Times New Roman" w:eastAsia="宋体" w:cs="宋体"/>
                      <w:color w:val="auto"/>
                      <w:sz w:val="21"/>
                      <w:szCs w:val="21"/>
                    </w:rPr>
                  </w:pPr>
                </w:p>
              </w:tc>
              <w:tc>
                <w:tcPr>
                  <w:tcW w:w="638" w:type="pct"/>
                  <w:vMerge w:val="continue"/>
                  <w:tcBorders>
                    <w:tl2br w:val="nil"/>
                    <w:tr2bl w:val="nil"/>
                  </w:tcBorders>
                  <w:shd w:val="clear" w:color="auto" w:fill="auto"/>
                  <w:vAlign w:val="center"/>
                </w:tcPr>
                <w:p w14:paraId="094EF4EB">
                  <w:pPr>
                    <w:pStyle w:val="17"/>
                    <w:rPr>
                      <w:rFonts w:hint="eastAsia" w:ascii="Times New Roman" w:hAnsi="Times New Roman" w:eastAsia="宋体" w:cs="宋体"/>
                      <w:color w:val="auto"/>
                      <w:sz w:val="21"/>
                      <w:szCs w:val="21"/>
                    </w:rPr>
                  </w:pPr>
                </w:p>
              </w:tc>
              <w:tc>
                <w:tcPr>
                  <w:tcW w:w="376" w:type="pct"/>
                  <w:vMerge w:val="continue"/>
                  <w:tcBorders>
                    <w:tl2br w:val="nil"/>
                    <w:tr2bl w:val="nil"/>
                  </w:tcBorders>
                  <w:shd w:val="clear" w:color="auto" w:fill="auto"/>
                  <w:vAlign w:val="center"/>
                </w:tcPr>
                <w:p w14:paraId="6EF990A0">
                  <w:pPr>
                    <w:pStyle w:val="17"/>
                    <w:rPr>
                      <w:rFonts w:hint="eastAsia" w:ascii="Times New Roman" w:hAnsi="Times New Roman" w:eastAsia="宋体" w:cs="宋体"/>
                      <w:color w:val="auto"/>
                      <w:sz w:val="21"/>
                      <w:szCs w:val="21"/>
                    </w:rPr>
                  </w:pPr>
                </w:p>
              </w:tc>
              <w:tc>
                <w:tcPr>
                  <w:tcW w:w="1115" w:type="pct"/>
                  <w:tcBorders>
                    <w:tl2br w:val="nil"/>
                    <w:tr2bl w:val="nil"/>
                  </w:tcBorders>
                  <w:shd w:val="clear" w:color="auto" w:fill="auto"/>
                  <w:vAlign w:val="center"/>
                </w:tcPr>
                <w:p w14:paraId="1A7BE2AE">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助排剂（桶装）</w:t>
                  </w:r>
                </w:p>
              </w:tc>
              <w:tc>
                <w:tcPr>
                  <w:tcW w:w="884" w:type="pct"/>
                  <w:tcBorders>
                    <w:tl2br w:val="nil"/>
                    <w:tr2bl w:val="nil"/>
                  </w:tcBorders>
                  <w:shd w:val="clear" w:color="auto" w:fill="auto"/>
                  <w:vAlign w:val="center"/>
                </w:tcPr>
                <w:p w14:paraId="6496DD97">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24</w:t>
                  </w:r>
                </w:p>
              </w:tc>
              <w:tc>
                <w:tcPr>
                  <w:tcW w:w="909" w:type="pct"/>
                  <w:tcBorders>
                    <w:tl2br w:val="nil"/>
                    <w:tr2bl w:val="nil"/>
                  </w:tcBorders>
                  <w:shd w:val="clear" w:color="auto" w:fill="auto"/>
                  <w:vAlign w:val="center"/>
                </w:tcPr>
                <w:p w14:paraId="2B469419">
                  <w:pPr>
                    <w:widowControl/>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宋体"/>
                      <w:color w:val="auto"/>
                      <w:kern w:val="0"/>
                      <w:sz w:val="21"/>
                      <w:szCs w:val="21"/>
                    </w:rPr>
                    <w:t xml:space="preserve">7.20 </w:t>
                  </w:r>
                </w:p>
              </w:tc>
              <w:tc>
                <w:tcPr>
                  <w:tcW w:w="698" w:type="pct"/>
                  <w:vMerge w:val="continue"/>
                  <w:tcBorders>
                    <w:tl2br w:val="nil"/>
                    <w:tr2bl w:val="nil"/>
                  </w:tcBorders>
                  <w:shd w:val="clear" w:color="auto" w:fill="auto"/>
                  <w:vAlign w:val="center"/>
                </w:tcPr>
                <w:p w14:paraId="17E92EB0">
                  <w:pPr>
                    <w:pStyle w:val="17"/>
                    <w:rPr>
                      <w:rFonts w:hint="eastAsia" w:ascii="Times New Roman" w:hAnsi="Times New Roman" w:eastAsia="宋体" w:cs="宋体"/>
                      <w:color w:val="auto"/>
                      <w:sz w:val="21"/>
                      <w:szCs w:val="21"/>
                    </w:rPr>
                  </w:pPr>
                </w:p>
              </w:tc>
            </w:tr>
            <w:tr w14:paraId="6FACE3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tcBorders>
                    <w:tl2br w:val="nil"/>
                    <w:tr2bl w:val="nil"/>
                  </w:tcBorders>
                  <w:shd w:val="clear" w:color="auto" w:fill="auto"/>
                  <w:vAlign w:val="center"/>
                </w:tcPr>
                <w:p w14:paraId="415DD671">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28</w:t>
                  </w:r>
                </w:p>
              </w:tc>
              <w:tc>
                <w:tcPr>
                  <w:tcW w:w="1015" w:type="pct"/>
                  <w:gridSpan w:val="2"/>
                  <w:tcBorders>
                    <w:tl2br w:val="nil"/>
                    <w:tr2bl w:val="nil"/>
                  </w:tcBorders>
                  <w:shd w:val="clear" w:color="auto" w:fill="auto"/>
                  <w:vAlign w:val="center"/>
                </w:tcPr>
                <w:p w14:paraId="4F9261DF">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临时发电</w:t>
                  </w:r>
                </w:p>
              </w:tc>
              <w:tc>
                <w:tcPr>
                  <w:tcW w:w="1115" w:type="pct"/>
                  <w:tcBorders>
                    <w:tl2br w:val="nil"/>
                    <w:tr2bl w:val="nil"/>
                  </w:tcBorders>
                  <w:shd w:val="clear" w:color="auto" w:fill="auto"/>
                  <w:vAlign w:val="center"/>
                </w:tcPr>
                <w:p w14:paraId="51135513">
                  <w:pPr>
                    <w:pStyle w:val="17"/>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0#柴油（罐装）</w:t>
                  </w:r>
                </w:p>
              </w:tc>
              <w:tc>
                <w:tcPr>
                  <w:tcW w:w="884" w:type="pct"/>
                  <w:tcBorders>
                    <w:tl2br w:val="nil"/>
                    <w:tr2bl w:val="nil"/>
                  </w:tcBorders>
                  <w:shd w:val="clear" w:color="auto" w:fill="auto"/>
                  <w:vAlign w:val="center"/>
                </w:tcPr>
                <w:p w14:paraId="5D3DC77D">
                  <w:pPr>
                    <w:pStyle w:val="17"/>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5</w:t>
                  </w:r>
                </w:p>
              </w:tc>
              <w:tc>
                <w:tcPr>
                  <w:tcW w:w="909" w:type="pct"/>
                  <w:tcBorders>
                    <w:tl2br w:val="nil"/>
                    <w:tr2bl w:val="nil"/>
                  </w:tcBorders>
                  <w:shd w:val="clear" w:color="auto" w:fill="auto"/>
                  <w:vAlign w:val="center"/>
                </w:tcPr>
                <w:p w14:paraId="640E7CE3">
                  <w:pPr>
                    <w:widowControl/>
                    <w:jc w:val="center"/>
                    <w:textAlignment w:val="center"/>
                    <w:rPr>
                      <w:rFonts w:hint="default" w:ascii="Times New Roman" w:hAnsi="Times New Roman" w:eastAsia="宋体" w:cs="宋体"/>
                      <w:color w:val="auto"/>
                      <w:kern w:val="0"/>
                      <w:sz w:val="21"/>
                      <w:szCs w:val="21"/>
                      <w:lang w:val="en-US" w:eastAsia="zh-CN"/>
                    </w:rPr>
                  </w:pPr>
                  <w:r>
                    <w:rPr>
                      <w:rFonts w:hint="eastAsia" w:cs="宋体"/>
                      <w:color w:val="auto"/>
                      <w:sz w:val="21"/>
                      <w:szCs w:val="21"/>
                      <w:lang w:val="en-US" w:eastAsia="zh-CN"/>
                    </w:rPr>
                    <w:t>1.50</w:t>
                  </w:r>
                </w:p>
              </w:tc>
              <w:tc>
                <w:tcPr>
                  <w:tcW w:w="698" w:type="pct"/>
                  <w:vMerge w:val="continue"/>
                  <w:tcBorders>
                    <w:tl2br w:val="nil"/>
                    <w:tr2bl w:val="nil"/>
                  </w:tcBorders>
                  <w:shd w:val="clear" w:color="auto" w:fill="auto"/>
                  <w:vAlign w:val="center"/>
                </w:tcPr>
                <w:p w14:paraId="3E3CB0B3">
                  <w:pPr>
                    <w:pStyle w:val="17"/>
                    <w:rPr>
                      <w:rFonts w:hint="eastAsia" w:ascii="Times New Roman" w:hAnsi="Times New Roman" w:eastAsia="宋体" w:cs="宋体"/>
                      <w:color w:val="auto"/>
                      <w:sz w:val="21"/>
                      <w:szCs w:val="21"/>
                    </w:rPr>
                  </w:pPr>
                </w:p>
              </w:tc>
            </w:tr>
          </w:tbl>
          <w:p w14:paraId="794BFDD1">
            <w:pPr>
              <w:pStyle w:val="3"/>
              <w:bidi w:val="0"/>
              <w:ind w:left="0" w:leftChars="0" w:firstLine="0" w:firstLineChars="0"/>
              <w:rPr>
                <w:rFonts w:hint="eastAsia" w:eastAsia="宋体"/>
                <w:color w:val="auto"/>
              </w:rPr>
            </w:pPr>
            <w:r>
              <w:rPr>
                <w:rFonts w:hint="eastAsia" w:eastAsia="宋体"/>
                <w:color w:val="auto"/>
                <w:sz w:val="21"/>
                <w:szCs w:val="21"/>
              </w:rPr>
              <w:t>注：本项目使用网电，应急状态下使用柴油发电机发电。</w:t>
            </w:r>
          </w:p>
          <w:p w14:paraId="2793A2C6">
            <w:pPr>
              <w:pStyle w:val="16"/>
              <w:bidi w:val="0"/>
              <w:rPr>
                <w:rFonts w:eastAsia="宋体"/>
                <w:color w:val="auto"/>
              </w:rPr>
            </w:pPr>
            <w:r>
              <w:rPr>
                <w:rFonts w:hint="eastAsia" w:eastAsia="宋体"/>
                <w:color w:val="auto"/>
              </w:rPr>
              <w:t>表2-</w:t>
            </w:r>
            <w:r>
              <w:rPr>
                <w:rFonts w:hint="eastAsia" w:eastAsia="宋体"/>
                <w:color w:val="auto"/>
                <w:lang w:val="en-US" w:eastAsia="zh-CN"/>
              </w:rPr>
              <w:t>8</w:t>
            </w:r>
            <w:r>
              <w:rPr>
                <w:rFonts w:hint="eastAsia" w:eastAsia="宋体"/>
                <w:color w:val="auto"/>
              </w:rPr>
              <w:t xml:space="preserve">  主要原辅材料理化性质表</w:t>
            </w:r>
          </w:p>
          <w:tbl>
            <w:tblPr>
              <w:tblStyle w:val="11"/>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3581"/>
              <w:gridCol w:w="779"/>
              <w:gridCol w:w="2001"/>
            </w:tblGrid>
            <w:tr w14:paraId="6F9BE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pct"/>
                  <w:tcBorders>
                    <w:tl2br w:val="nil"/>
                    <w:tr2bl w:val="nil"/>
                  </w:tcBorders>
                  <w:shd w:val="clear" w:color="auto" w:fill="auto"/>
                  <w:vAlign w:val="center"/>
                </w:tcPr>
                <w:p w14:paraId="3F804A43">
                  <w:pPr>
                    <w:pStyle w:val="17"/>
                    <w:keepNext w:val="0"/>
                    <w:keepLines w:val="0"/>
                    <w:pageBreakBefore w:val="0"/>
                    <w:kinsoku/>
                    <w:wordWrap/>
                    <w:topLinePunct w:val="0"/>
                    <w:autoSpaceDE/>
                    <w:autoSpaceDN/>
                    <w:bidi w:val="0"/>
                    <w:adjustRightInd w:val="0"/>
                    <w:snapToGrid w:val="0"/>
                    <w:rPr>
                      <w:rFonts w:eastAsia="宋体"/>
                      <w:b/>
                      <w:bCs/>
                      <w:color w:val="auto"/>
                    </w:rPr>
                  </w:pPr>
                  <w:r>
                    <w:rPr>
                      <w:rFonts w:eastAsia="宋体"/>
                      <w:b/>
                      <w:bCs/>
                      <w:color w:val="auto"/>
                    </w:rPr>
                    <w:t>名称</w:t>
                  </w:r>
                </w:p>
              </w:tc>
              <w:tc>
                <w:tcPr>
                  <w:tcW w:w="2528" w:type="pct"/>
                  <w:tcBorders>
                    <w:tl2br w:val="nil"/>
                    <w:tr2bl w:val="nil"/>
                  </w:tcBorders>
                  <w:shd w:val="clear" w:color="auto" w:fill="auto"/>
                  <w:vAlign w:val="center"/>
                </w:tcPr>
                <w:p w14:paraId="22E0C60B">
                  <w:pPr>
                    <w:pStyle w:val="18"/>
                    <w:keepNext w:val="0"/>
                    <w:keepLines w:val="0"/>
                    <w:pageBreakBefore w:val="0"/>
                    <w:kinsoku/>
                    <w:wordWrap/>
                    <w:topLinePunct w:val="0"/>
                    <w:autoSpaceDE/>
                    <w:autoSpaceDN/>
                    <w:bidi w:val="0"/>
                    <w:adjustRightInd w:val="0"/>
                    <w:snapToGrid w:val="0"/>
                    <w:spacing w:line="240" w:lineRule="auto"/>
                    <w:rPr>
                      <w:rFonts w:eastAsia="宋体"/>
                      <w:b/>
                      <w:bCs/>
                      <w:color w:val="auto"/>
                      <w:lang w:val="en-US"/>
                    </w:rPr>
                  </w:pPr>
                  <w:r>
                    <w:rPr>
                      <w:rFonts w:eastAsia="宋体"/>
                      <w:b/>
                      <w:bCs/>
                      <w:color w:val="auto"/>
                      <w:sz w:val="21"/>
                    </w:rPr>
                    <w:t>理化特性</w:t>
                  </w:r>
                </w:p>
              </w:tc>
              <w:tc>
                <w:tcPr>
                  <w:tcW w:w="701" w:type="pct"/>
                  <w:tcBorders>
                    <w:tl2br w:val="nil"/>
                    <w:tr2bl w:val="nil"/>
                  </w:tcBorders>
                  <w:shd w:val="clear" w:color="auto" w:fill="auto"/>
                  <w:vAlign w:val="center"/>
                </w:tcPr>
                <w:p w14:paraId="35B410F1">
                  <w:pPr>
                    <w:pStyle w:val="18"/>
                    <w:keepNext w:val="0"/>
                    <w:keepLines w:val="0"/>
                    <w:pageBreakBefore w:val="0"/>
                    <w:kinsoku/>
                    <w:wordWrap/>
                    <w:topLinePunct w:val="0"/>
                    <w:autoSpaceDE/>
                    <w:autoSpaceDN/>
                    <w:bidi w:val="0"/>
                    <w:adjustRightInd w:val="0"/>
                    <w:snapToGrid w:val="0"/>
                    <w:spacing w:line="240" w:lineRule="auto"/>
                    <w:rPr>
                      <w:rFonts w:eastAsia="宋体"/>
                      <w:b/>
                      <w:bCs/>
                      <w:color w:val="auto"/>
                      <w:lang w:val="en-US"/>
                    </w:rPr>
                  </w:pPr>
                  <w:r>
                    <w:rPr>
                      <w:rFonts w:eastAsia="宋体"/>
                      <w:b/>
                      <w:bCs/>
                      <w:color w:val="auto"/>
                      <w:sz w:val="21"/>
                    </w:rPr>
                    <w:t>燃烧爆炸性</w:t>
                  </w:r>
                </w:p>
              </w:tc>
              <w:tc>
                <w:tcPr>
                  <w:tcW w:w="1207" w:type="pct"/>
                  <w:tcBorders>
                    <w:tl2br w:val="nil"/>
                    <w:tr2bl w:val="nil"/>
                  </w:tcBorders>
                  <w:shd w:val="clear" w:color="auto" w:fill="auto"/>
                  <w:vAlign w:val="center"/>
                </w:tcPr>
                <w:p w14:paraId="1B3A6236">
                  <w:pPr>
                    <w:pStyle w:val="18"/>
                    <w:keepNext w:val="0"/>
                    <w:keepLines w:val="0"/>
                    <w:pageBreakBefore w:val="0"/>
                    <w:kinsoku/>
                    <w:wordWrap/>
                    <w:topLinePunct w:val="0"/>
                    <w:autoSpaceDE/>
                    <w:autoSpaceDN/>
                    <w:bidi w:val="0"/>
                    <w:adjustRightInd w:val="0"/>
                    <w:snapToGrid w:val="0"/>
                    <w:spacing w:line="240" w:lineRule="auto"/>
                    <w:rPr>
                      <w:rFonts w:eastAsia="宋体"/>
                      <w:b/>
                      <w:bCs/>
                      <w:color w:val="auto"/>
                      <w:lang w:val="en-US"/>
                    </w:rPr>
                  </w:pPr>
                  <w:r>
                    <w:rPr>
                      <w:rFonts w:eastAsia="宋体"/>
                      <w:b/>
                      <w:bCs/>
                      <w:color w:val="auto"/>
                      <w:sz w:val="21"/>
                    </w:rPr>
                    <w:t>毒性毒理</w:t>
                  </w:r>
                </w:p>
              </w:tc>
            </w:tr>
            <w:tr w14:paraId="6A81A5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2" w:type="pct"/>
                  <w:tcBorders>
                    <w:tl2br w:val="nil"/>
                    <w:tr2bl w:val="nil"/>
                  </w:tcBorders>
                  <w:shd w:val="clear" w:color="auto" w:fill="auto"/>
                  <w:vAlign w:val="center"/>
                </w:tcPr>
                <w:p w14:paraId="3F0B0A31">
                  <w:pPr>
                    <w:pStyle w:val="17"/>
                    <w:keepNext w:val="0"/>
                    <w:keepLines w:val="0"/>
                    <w:pageBreakBefore w:val="0"/>
                    <w:kinsoku/>
                    <w:wordWrap/>
                    <w:topLinePunct w:val="0"/>
                    <w:autoSpaceDE/>
                    <w:autoSpaceDN/>
                    <w:bidi w:val="0"/>
                    <w:adjustRightInd w:val="0"/>
                    <w:snapToGrid w:val="0"/>
                    <w:rPr>
                      <w:rFonts w:eastAsia="宋体"/>
                      <w:color w:val="auto"/>
                    </w:rPr>
                  </w:pPr>
                  <w:r>
                    <w:rPr>
                      <w:rFonts w:hint="eastAsia" w:eastAsia="宋体"/>
                      <w:color w:val="auto"/>
                    </w:rPr>
                    <w:t>聚合物</w:t>
                  </w:r>
                </w:p>
              </w:tc>
              <w:tc>
                <w:tcPr>
                  <w:tcW w:w="2528" w:type="pct"/>
                  <w:tcBorders>
                    <w:tl2br w:val="nil"/>
                    <w:tr2bl w:val="nil"/>
                  </w:tcBorders>
                  <w:shd w:val="clear" w:color="auto" w:fill="auto"/>
                  <w:vAlign w:val="center"/>
                </w:tcPr>
                <w:p w14:paraId="38580B9B">
                  <w:pPr>
                    <w:pStyle w:val="17"/>
                    <w:keepNext w:val="0"/>
                    <w:keepLines w:val="0"/>
                    <w:pageBreakBefore w:val="0"/>
                    <w:kinsoku/>
                    <w:wordWrap/>
                    <w:topLinePunct w:val="0"/>
                    <w:autoSpaceDE/>
                    <w:autoSpaceDN/>
                    <w:bidi w:val="0"/>
                    <w:adjustRightInd w:val="0"/>
                    <w:snapToGrid w:val="0"/>
                    <w:jc w:val="left"/>
                    <w:rPr>
                      <w:rFonts w:eastAsia="宋体"/>
                      <w:color w:val="auto"/>
                    </w:rPr>
                  </w:pPr>
                  <w:r>
                    <w:rPr>
                      <w:rFonts w:hint="eastAsia" w:eastAsia="宋体"/>
                      <w:color w:val="auto"/>
                    </w:rPr>
                    <w:t>主要成分为水解聚丙烯酰胺</w:t>
                  </w:r>
                  <w:r>
                    <w:rPr>
                      <w:rFonts w:hint="eastAsia" w:eastAsia="宋体"/>
                      <w:color w:val="auto"/>
                      <w:lang w:eastAsia="zh-CN"/>
                    </w:rPr>
                    <w:t>（</w:t>
                  </w:r>
                  <w:r>
                    <w:rPr>
                      <w:rFonts w:hint="eastAsia" w:eastAsia="宋体"/>
                      <w:color w:val="auto"/>
                      <w:lang w:val="en-US" w:eastAsia="zh-CN"/>
                    </w:rPr>
                    <w:t>PAM</w:t>
                  </w:r>
                  <w:r>
                    <w:rPr>
                      <w:rFonts w:hint="eastAsia" w:eastAsia="宋体"/>
                      <w:color w:val="auto"/>
                      <w:lang w:eastAsia="zh-CN"/>
                    </w:rPr>
                    <w:t>）</w:t>
                  </w:r>
                  <w:r>
                    <w:rPr>
                      <w:rFonts w:hint="eastAsia" w:eastAsia="宋体"/>
                      <w:color w:val="auto"/>
                    </w:rPr>
                    <w:t>，大分子网架结构，分子量100-250万，吸附在钻屑表面，形成网架结构</w:t>
                  </w:r>
                </w:p>
              </w:tc>
              <w:tc>
                <w:tcPr>
                  <w:tcW w:w="701" w:type="pct"/>
                  <w:tcBorders>
                    <w:tl2br w:val="nil"/>
                    <w:tr2bl w:val="nil"/>
                  </w:tcBorders>
                  <w:shd w:val="clear" w:color="auto" w:fill="auto"/>
                  <w:vAlign w:val="center"/>
                </w:tcPr>
                <w:p w14:paraId="0A6964F8">
                  <w:pPr>
                    <w:pStyle w:val="17"/>
                    <w:keepNext w:val="0"/>
                    <w:keepLines w:val="0"/>
                    <w:pageBreakBefore w:val="0"/>
                    <w:kinsoku/>
                    <w:wordWrap/>
                    <w:topLinePunct w:val="0"/>
                    <w:autoSpaceDE/>
                    <w:autoSpaceDN/>
                    <w:bidi w:val="0"/>
                    <w:adjustRightInd w:val="0"/>
                    <w:snapToGrid w:val="0"/>
                    <w:rPr>
                      <w:rFonts w:eastAsia="宋体"/>
                      <w:color w:val="auto"/>
                    </w:rPr>
                  </w:pPr>
                  <w:r>
                    <w:rPr>
                      <w:rFonts w:hint="eastAsia" w:eastAsia="宋体"/>
                      <w:color w:val="auto"/>
                    </w:rPr>
                    <w:t>无</w:t>
                  </w:r>
                </w:p>
              </w:tc>
              <w:tc>
                <w:tcPr>
                  <w:tcW w:w="1207" w:type="pct"/>
                  <w:tcBorders>
                    <w:tl2br w:val="nil"/>
                    <w:tr2bl w:val="nil"/>
                  </w:tcBorders>
                  <w:shd w:val="clear" w:color="auto" w:fill="auto"/>
                  <w:vAlign w:val="center"/>
                </w:tcPr>
                <w:p w14:paraId="0C019DDF">
                  <w:pPr>
                    <w:pStyle w:val="17"/>
                    <w:keepNext w:val="0"/>
                    <w:keepLines w:val="0"/>
                    <w:pageBreakBefore w:val="0"/>
                    <w:kinsoku/>
                    <w:wordWrap/>
                    <w:topLinePunct w:val="0"/>
                    <w:autoSpaceDE/>
                    <w:autoSpaceDN/>
                    <w:bidi w:val="0"/>
                    <w:adjustRightInd w:val="0"/>
                    <w:snapToGrid w:val="0"/>
                    <w:rPr>
                      <w:rFonts w:eastAsia="宋体"/>
                      <w:color w:val="auto"/>
                    </w:rPr>
                  </w:pPr>
                  <w:r>
                    <w:rPr>
                      <w:rFonts w:hint="eastAsia" w:eastAsia="宋体"/>
                      <w:color w:val="auto"/>
                    </w:rPr>
                    <w:t>无</w:t>
                  </w:r>
                </w:p>
              </w:tc>
            </w:tr>
            <w:tr w14:paraId="08B46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pct"/>
                  <w:tcBorders>
                    <w:tl2br w:val="nil"/>
                    <w:tr2bl w:val="nil"/>
                  </w:tcBorders>
                  <w:shd w:val="clear" w:color="auto" w:fill="auto"/>
                  <w:vAlign w:val="center"/>
                </w:tcPr>
                <w:p w14:paraId="11CDC007">
                  <w:pPr>
                    <w:pStyle w:val="17"/>
                    <w:keepNext w:val="0"/>
                    <w:keepLines w:val="0"/>
                    <w:pageBreakBefore w:val="0"/>
                    <w:kinsoku/>
                    <w:wordWrap/>
                    <w:topLinePunct w:val="0"/>
                    <w:autoSpaceDE/>
                    <w:autoSpaceDN/>
                    <w:bidi w:val="0"/>
                    <w:adjustRightInd w:val="0"/>
                    <w:snapToGrid w:val="0"/>
                    <w:rPr>
                      <w:rFonts w:eastAsia="宋体"/>
                      <w:color w:val="auto"/>
                    </w:rPr>
                  </w:pPr>
                  <w:r>
                    <w:rPr>
                      <w:rFonts w:hint="eastAsia" w:eastAsia="宋体"/>
                      <w:color w:val="auto"/>
                    </w:rPr>
                    <w:t>聚胺抑制剂</w:t>
                  </w:r>
                </w:p>
              </w:tc>
              <w:tc>
                <w:tcPr>
                  <w:tcW w:w="2528" w:type="pct"/>
                  <w:tcBorders>
                    <w:tl2br w:val="nil"/>
                    <w:tr2bl w:val="nil"/>
                  </w:tcBorders>
                  <w:shd w:val="clear" w:color="auto" w:fill="auto"/>
                  <w:vAlign w:val="center"/>
                </w:tcPr>
                <w:p w14:paraId="3B8C5E0D">
                  <w:pPr>
                    <w:pStyle w:val="17"/>
                    <w:keepNext w:val="0"/>
                    <w:keepLines w:val="0"/>
                    <w:pageBreakBefore w:val="0"/>
                    <w:kinsoku/>
                    <w:wordWrap/>
                    <w:topLinePunct w:val="0"/>
                    <w:autoSpaceDE/>
                    <w:autoSpaceDN/>
                    <w:bidi w:val="0"/>
                    <w:adjustRightInd w:val="0"/>
                    <w:snapToGrid w:val="0"/>
                    <w:jc w:val="left"/>
                    <w:rPr>
                      <w:rFonts w:eastAsia="宋体"/>
                      <w:color w:val="auto"/>
                    </w:rPr>
                  </w:pPr>
                  <w:r>
                    <w:rPr>
                      <w:rFonts w:hint="eastAsia" w:eastAsia="宋体"/>
                      <w:color w:val="auto"/>
                    </w:rPr>
                    <w:t>阳离子胺基聚合物，材料羟基嵌入泥页岩层间，对泥页岩有一定的抑制造浆性能</w:t>
                  </w:r>
                </w:p>
              </w:tc>
              <w:tc>
                <w:tcPr>
                  <w:tcW w:w="701" w:type="pct"/>
                  <w:tcBorders>
                    <w:tl2br w:val="nil"/>
                    <w:tr2bl w:val="nil"/>
                  </w:tcBorders>
                  <w:shd w:val="clear" w:color="auto" w:fill="auto"/>
                  <w:vAlign w:val="center"/>
                </w:tcPr>
                <w:p w14:paraId="15430BDD">
                  <w:pPr>
                    <w:pStyle w:val="17"/>
                    <w:keepNext w:val="0"/>
                    <w:keepLines w:val="0"/>
                    <w:pageBreakBefore w:val="0"/>
                    <w:kinsoku/>
                    <w:wordWrap/>
                    <w:topLinePunct w:val="0"/>
                    <w:autoSpaceDE/>
                    <w:autoSpaceDN/>
                    <w:bidi w:val="0"/>
                    <w:adjustRightInd w:val="0"/>
                    <w:snapToGrid w:val="0"/>
                    <w:rPr>
                      <w:rFonts w:eastAsia="宋体"/>
                      <w:color w:val="auto"/>
                    </w:rPr>
                  </w:pPr>
                  <w:r>
                    <w:rPr>
                      <w:rFonts w:hint="eastAsia" w:eastAsia="宋体"/>
                      <w:color w:val="auto"/>
                    </w:rPr>
                    <w:t>无</w:t>
                  </w:r>
                </w:p>
              </w:tc>
              <w:tc>
                <w:tcPr>
                  <w:tcW w:w="1207" w:type="pct"/>
                  <w:tcBorders>
                    <w:tl2br w:val="nil"/>
                    <w:tr2bl w:val="nil"/>
                  </w:tcBorders>
                  <w:shd w:val="clear" w:color="auto" w:fill="auto"/>
                  <w:vAlign w:val="center"/>
                </w:tcPr>
                <w:p w14:paraId="5112CCC7">
                  <w:pPr>
                    <w:pStyle w:val="17"/>
                    <w:keepNext w:val="0"/>
                    <w:keepLines w:val="0"/>
                    <w:pageBreakBefore w:val="0"/>
                    <w:kinsoku/>
                    <w:wordWrap/>
                    <w:topLinePunct w:val="0"/>
                    <w:autoSpaceDE/>
                    <w:autoSpaceDN/>
                    <w:bidi w:val="0"/>
                    <w:adjustRightInd w:val="0"/>
                    <w:snapToGrid w:val="0"/>
                    <w:rPr>
                      <w:rFonts w:eastAsia="宋体"/>
                      <w:color w:val="auto"/>
                    </w:rPr>
                  </w:pPr>
                  <w:r>
                    <w:rPr>
                      <w:rFonts w:hint="eastAsia" w:eastAsia="宋体"/>
                      <w:color w:val="auto"/>
                    </w:rPr>
                    <w:t>无</w:t>
                  </w:r>
                </w:p>
              </w:tc>
            </w:tr>
            <w:tr w14:paraId="4F3FD9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2" w:type="pct"/>
                  <w:tcBorders>
                    <w:tl2br w:val="nil"/>
                    <w:tr2bl w:val="nil"/>
                  </w:tcBorders>
                  <w:shd w:val="clear" w:color="auto" w:fill="auto"/>
                  <w:vAlign w:val="center"/>
                </w:tcPr>
                <w:p w14:paraId="135CC62C">
                  <w:pPr>
                    <w:pStyle w:val="17"/>
                    <w:keepNext w:val="0"/>
                    <w:keepLines w:val="0"/>
                    <w:pageBreakBefore w:val="0"/>
                    <w:kinsoku/>
                    <w:wordWrap/>
                    <w:topLinePunct w:val="0"/>
                    <w:autoSpaceDE/>
                    <w:autoSpaceDN/>
                    <w:bidi w:val="0"/>
                    <w:adjustRightInd w:val="0"/>
                    <w:snapToGrid w:val="0"/>
                    <w:rPr>
                      <w:rFonts w:eastAsia="宋体"/>
                      <w:color w:val="auto"/>
                    </w:rPr>
                  </w:pPr>
                  <w:r>
                    <w:rPr>
                      <w:rFonts w:eastAsia="宋体"/>
                      <w:color w:val="auto"/>
                    </w:rPr>
                    <w:t>0#</w:t>
                  </w:r>
                  <w:r>
                    <w:rPr>
                      <w:rFonts w:hint="eastAsia" w:eastAsia="宋体"/>
                      <w:color w:val="auto"/>
                    </w:rPr>
                    <w:t>柴油</w:t>
                  </w:r>
                </w:p>
              </w:tc>
              <w:tc>
                <w:tcPr>
                  <w:tcW w:w="2528" w:type="pct"/>
                  <w:tcBorders>
                    <w:tl2br w:val="nil"/>
                    <w:tr2bl w:val="nil"/>
                  </w:tcBorders>
                  <w:shd w:val="clear" w:color="auto" w:fill="auto"/>
                  <w:vAlign w:val="center"/>
                </w:tcPr>
                <w:p w14:paraId="04E1FE22">
                  <w:pPr>
                    <w:pStyle w:val="17"/>
                    <w:keepNext w:val="0"/>
                    <w:keepLines w:val="0"/>
                    <w:pageBreakBefore w:val="0"/>
                    <w:kinsoku/>
                    <w:wordWrap/>
                    <w:topLinePunct w:val="0"/>
                    <w:autoSpaceDE/>
                    <w:autoSpaceDN/>
                    <w:bidi w:val="0"/>
                    <w:adjustRightInd w:val="0"/>
                    <w:snapToGrid w:val="0"/>
                    <w:jc w:val="left"/>
                    <w:rPr>
                      <w:rFonts w:hint="default" w:eastAsia="宋体"/>
                      <w:color w:val="auto"/>
                      <w:lang w:val="en-US" w:eastAsia="zh-CN"/>
                    </w:rPr>
                  </w:pPr>
                  <w:r>
                    <w:rPr>
                      <w:rFonts w:hint="eastAsia" w:eastAsia="宋体"/>
                      <w:color w:val="auto"/>
                      <w:lang w:eastAsia="zh-CN"/>
                    </w:rPr>
                    <w:t>有色透明液体，难溶于水，易溶于醇和其他有机溶剂。</w:t>
                  </w:r>
                  <w:r>
                    <w:rPr>
                      <w:rFonts w:hint="eastAsia" w:eastAsia="宋体"/>
                      <w:color w:val="auto"/>
                    </w:rPr>
                    <w:t>闪点82℃，燃点93℃</w:t>
                  </w:r>
                  <w:r>
                    <w:rPr>
                      <w:rFonts w:hint="eastAsia" w:eastAsia="宋体"/>
                      <w:color w:val="auto"/>
                      <w:lang w:eastAsia="zh-CN"/>
                    </w:rPr>
                    <w:t>，密度</w:t>
                  </w:r>
                  <w:r>
                    <w:rPr>
                      <w:rFonts w:hint="eastAsia" w:eastAsia="宋体"/>
                      <w:color w:val="auto"/>
                      <w:lang w:val="en-US" w:eastAsia="zh-CN"/>
                    </w:rPr>
                    <w:t>0.82~0.845，沸点170~390℃</w:t>
                  </w:r>
                </w:p>
              </w:tc>
              <w:tc>
                <w:tcPr>
                  <w:tcW w:w="701" w:type="pct"/>
                  <w:tcBorders>
                    <w:tl2br w:val="nil"/>
                    <w:tr2bl w:val="nil"/>
                  </w:tcBorders>
                  <w:shd w:val="clear" w:color="auto" w:fill="auto"/>
                  <w:vAlign w:val="center"/>
                </w:tcPr>
                <w:p w14:paraId="2DBDD40F">
                  <w:pPr>
                    <w:pStyle w:val="17"/>
                    <w:keepNext w:val="0"/>
                    <w:keepLines w:val="0"/>
                    <w:pageBreakBefore w:val="0"/>
                    <w:kinsoku/>
                    <w:wordWrap/>
                    <w:topLinePunct w:val="0"/>
                    <w:autoSpaceDE/>
                    <w:autoSpaceDN/>
                    <w:bidi w:val="0"/>
                    <w:adjustRightInd w:val="0"/>
                    <w:snapToGrid w:val="0"/>
                    <w:rPr>
                      <w:rFonts w:eastAsia="宋体"/>
                      <w:color w:val="auto"/>
                    </w:rPr>
                  </w:pPr>
                  <w:r>
                    <w:rPr>
                      <w:rFonts w:hint="eastAsia" w:eastAsia="宋体"/>
                      <w:color w:val="auto"/>
                    </w:rPr>
                    <w:t>遇火燃爆</w:t>
                  </w:r>
                </w:p>
              </w:tc>
              <w:tc>
                <w:tcPr>
                  <w:tcW w:w="1207" w:type="pct"/>
                  <w:tcBorders>
                    <w:tl2br w:val="nil"/>
                    <w:tr2bl w:val="nil"/>
                  </w:tcBorders>
                  <w:shd w:val="clear" w:color="auto" w:fill="auto"/>
                  <w:vAlign w:val="center"/>
                </w:tcPr>
                <w:p w14:paraId="1EA98920">
                  <w:pPr>
                    <w:pStyle w:val="17"/>
                    <w:keepNext w:val="0"/>
                    <w:keepLines w:val="0"/>
                    <w:pageBreakBefore w:val="0"/>
                    <w:kinsoku/>
                    <w:wordWrap/>
                    <w:topLinePunct w:val="0"/>
                    <w:autoSpaceDE/>
                    <w:autoSpaceDN/>
                    <w:bidi w:val="0"/>
                    <w:adjustRightInd w:val="0"/>
                    <w:snapToGrid w:val="0"/>
                    <w:rPr>
                      <w:rFonts w:eastAsia="宋体"/>
                      <w:color w:val="auto"/>
                    </w:rPr>
                  </w:pPr>
                  <w:r>
                    <w:rPr>
                      <w:rFonts w:hint="eastAsia" w:eastAsia="宋体"/>
                      <w:color w:val="auto"/>
                      <w:lang w:val="en-US" w:eastAsia="zh-CN"/>
                    </w:rPr>
                    <w:t>LD50：＞5000mg/kg（大鼠经口）</w:t>
                  </w:r>
                  <w:r>
                    <w:rPr>
                      <w:rFonts w:hint="default" w:ascii="Times New Roman" w:hAnsi="Times New Roman" w:eastAsia="宋体" w:cs="Times New Roman"/>
                      <w:color w:val="auto"/>
                      <w:lang w:val="en-US" w:eastAsia="zh-CN"/>
                    </w:rPr>
                    <w:t>LC50:＞</w:t>
                  </w:r>
                  <w:r>
                    <w:rPr>
                      <w:rFonts w:hint="eastAsia" w:eastAsia="宋体" w:cs="Times New Roman"/>
                      <w:color w:val="auto"/>
                      <w:lang w:val="en-US" w:eastAsia="zh-CN"/>
                    </w:rPr>
                    <w:t>5000mg/m</w:t>
                  </w:r>
                  <w:r>
                    <w:rPr>
                      <w:rFonts w:hint="eastAsia" w:eastAsia="宋体" w:cs="Times New Roman"/>
                      <w:color w:val="auto"/>
                      <w:vertAlign w:val="superscript"/>
                      <w:lang w:val="en-US" w:eastAsia="zh-CN"/>
                    </w:rPr>
                    <w:t>3</w:t>
                  </w:r>
                  <w:r>
                    <w:rPr>
                      <w:rFonts w:hint="eastAsia" w:eastAsia="宋体" w:cs="Times New Roman"/>
                      <w:color w:val="auto"/>
                      <w:vertAlign w:val="baseline"/>
                      <w:lang w:val="en-US" w:eastAsia="zh-CN"/>
                    </w:rPr>
                    <w:t>/</w:t>
                  </w:r>
                  <w:r>
                    <w:rPr>
                      <w:rFonts w:hint="default" w:ascii="Times New Roman" w:hAnsi="Times New Roman" w:eastAsia="宋体" w:cs="Times New Roman"/>
                      <w:color w:val="auto"/>
                      <w:lang w:val="en-US" w:eastAsia="zh-CN"/>
                    </w:rPr>
                    <w:t>2</w:t>
                  </w:r>
                  <w:r>
                    <w:rPr>
                      <w:rFonts w:hint="eastAsia" w:eastAsia="宋体" w:cs="Times New Roman"/>
                      <w:color w:val="auto"/>
                      <w:lang w:val="en-US" w:eastAsia="zh-CN"/>
                    </w:rPr>
                    <w:t>h（</w:t>
                  </w:r>
                  <w:r>
                    <w:rPr>
                      <w:rFonts w:hint="default" w:ascii="Times New Roman" w:hAnsi="Times New Roman" w:eastAsia="宋体" w:cs="Times New Roman"/>
                      <w:color w:val="auto"/>
                      <w:lang w:val="en-US" w:eastAsia="zh-CN"/>
                    </w:rPr>
                    <w:t>大鼠吸入）</w:t>
                  </w:r>
                </w:p>
              </w:tc>
            </w:tr>
            <w:tr w14:paraId="0B969C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2" w:type="pct"/>
                  <w:tcBorders>
                    <w:tl2br w:val="nil"/>
                    <w:tr2bl w:val="nil"/>
                  </w:tcBorders>
                  <w:shd w:val="clear" w:color="auto" w:fill="auto"/>
                  <w:vAlign w:val="center"/>
                </w:tcPr>
                <w:p w14:paraId="6B7BF821">
                  <w:pPr>
                    <w:pStyle w:val="17"/>
                    <w:keepNext w:val="0"/>
                    <w:keepLines w:val="0"/>
                    <w:pageBreakBefore w:val="0"/>
                    <w:kinsoku/>
                    <w:wordWrap/>
                    <w:topLinePunct w:val="0"/>
                    <w:autoSpaceDE/>
                    <w:autoSpaceDN/>
                    <w:bidi w:val="0"/>
                    <w:adjustRightInd w:val="0"/>
                    <w:snapToGrid w:val="0"/>
                    <w:rPr>
                      <w:rFonts w:eastAsia="宋体"/>
                      <w:color w:val="auto"/>
                    </w:rPr>
                  </w:pPr>
                  <w:r>
                    <w:rPr>
                      <w:rFonts w:hint="eastAsia" w:eastAsia="宋体"/>
                      <w:color w:val="auto"/>
                    </w:rPr>
                    <w:t>乳化剂</w:t>
                  </w:r>
                </w:p>
              </w:tc>
              <w:tc>
                <w:tcPr>
                  <w:tcW w:w="2528" w:type="pct"/>
                  <w:tcBorders>
                    <w:tl2br w:val="nil"/>
                    <w:tr2bl w:val="nil"/>
                  </w:tcBorders>
                  <w:shd w:val="clear" w:color="auto" w:fill="auto"/>
                  <w:vAlign w:val="center"/>
                </w:tcPr>
                <w:p w14:paraId="2A2092F5">
                  <w:pPr>
                    <w:pStyle w:val="17"/>
                    <w:keepNext w:val="0"/>
                    <w:keepLines w:val="0"/>
                    <w:pageBreakBefore w:val="0"/>
                    <w:kinsoku/>
                    <w:wordWrap/>
                    <w:topLinePunct w:val="0"/>
                    <w:autoSpaceDE/>
                    <w:autoSpaceDN/>
                    <w:bidi w:val="0"/>
                    <w:adjustRightInd w:val="0"/>
                    <w:snapToGrid w:val="0"/>
                    <w:jc w:val="left"/>
                    <w:rPr>
                      <w:rFonts w:eastAsia="宋体"/>
                      <w:color w:val="auto"/>
                    </w:rPr>
                  </w:pPr>
                  <w:r>
                    <w:rPr>
                      <w:rFonts w:hint="eastAsia" w:eastAsia="宋体"/>
                      <w:color w:val="auto"/>
                    </w:rPr>
                    <w:t>主要成分为硬脂酸钙、烷基磺酸钙、烷基苯磺酸钙，在油水界面形成一定轻度的吸附膜，降低油水界面张力</w:t>
                  </w:r>
                </w:p>
              </w:tc>
              <w:tc>
                <w:tcPr>
                  <w:tcW w:w="701" w:type="pct"/>
                  <w:tcBorders>
                    <w:tl2br w:val="nil"/>
                    <w:tr2bl w:val="nil"/>
                  </w:tcBorders>
                  <w:shd w:val="clear" w:color="auto" w:fill="auto"/>
                  <w:vAlign w:val="center"/>
                </w:tcPr>
                <w:p w14:paraId="7F9030AB">
                  <w:pPr>
                    <w:pStyle w:val="17"/>
                    <w:keepNext w:val="0"/>
                    <w:keepLines w:val="0"/>
                    <w:pageBreakBefore w:val="0"/>
                    <w:kinsoku/>
                    <w:wordWrap/>
                    <w:topLinePunct w:val="0"/>
                    <w:autoSpaceDE/>
                    <w:autoSpaceDN/>
                    <w:bidi w:val="0"/>
                    <w:adjustRightInd w:val="0"/>
                    <w:snapToGrid w:val="0"/>
                    <w:rPr>
                      <w:rFonts w:eastAsia="宋体"/>
                      <w:color w:val="auto"/>
                    </w:rPr>
                  </w:pPr>
                  <w:r>
                    <w:rPr>
                      <w:rFonts w:hint="eastAsia" w:eastAsia="宋体"/>
                      <w:color w:val="auto"/>
                    </w:rPr>
                    <w:t>无</w:t>
                  </w:r>
                </w:p>
              </w:tc>
              <w:tc>
                <w:tcPr>
                  <w:tcW w:w="1207" w:type="pct"/>
                  <w:tcBorders>
                    <w:tl2br w:val="nil"/>
                    <w:tr2bl w:val="nil"/>
                  </w:tcBorders>
                  <w:shd w:val="clear" w:color="auto" w:fill="auto"/>
                  <w:vAlign w:val="center"/>
                </w:tcPr>
                <w:p w14:paraId="1FE130A0">
                  <w:pPr>
                    <w:pStyle w:val="17"/>
                    <w:keepNext w:val="0"/>
                    <w:keepLines w:val="0"/>
                    <w:pageBreakBefore w:val="0"/>
                    <w:kinsoku/>
                    <w:wordWrap/>
                    <w:topLinePunct w:val="0"/>
                    <w:autoSpaceDE/>
                    <w:autoSpaceDN/>
                    <w:bidi w:val="0"/>
                    <w:adjustRightInd w:val="0"/>
                    <w:snapToGrid w:val="0"/>
                    <w:rPr>
                      <w:rFonts w:eastAsia="宋体"/>
                      <w:color w:val="auto"/>
                    </w:rPr>
                  </w:pPr>
                  <w:r>
                    <w:rPr>
                      <w:rFonts w:hint="eastAsia" w:eastAsia="宋体"/>
                      <w:color w:val="auto"/>
                    </w:rPr>
                    <w:t>无</w:t>
                  </w:r>
                </w:p>
              </w:tc>
            </w:tr>
            <w:tr w14:paraId="726F70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2" w:type="pct"/>
                  <w:tcBorders>
                    <w:tl2br w:val="nil"/>
                    <w:tr2bl w:val="nil"/>
                  </w:tcBorders>
                  <w:shd w:val="clear" w:color="auto" w:fill="auto"/>
                  <w:vAlign w:val="center"/>
                </w:tcPr>
                <w:p w14:paraId="3C23DFA9">
                  <w:pPr>
                    <w:pStyle w:val="17"/>
                    <w:keepNext w:val="0"/>
                    <w:keepLines w:val="0"/>
                    <w:pageBreakBefore w:val="0"/>
                    <w:kinsoku/>
                    <w:wordWrap/>
                    <w:topLinePunct w:val="0"/>
                    <w:autoSpaceDE/>
                    <w:autoSpaceDN/>
                    <w:bidi w:val="0"/>
                    <w:adjustRightInd w:val="0"/>
                    <w:snapToGrid w:val="0"/>
                    <w:rPr>
                      <w:rFonts w:eastAsia="宋体"/>
                      <w:color w:val="auto"/>
                    </w:rPr>
                  </w:pPr>
                  <w:r>
                    <w:rPr>
                      <w:rFonts w:hint="eastAsia" w:eastAsia="宋体"/>
                      <w:color w:val="auto"/>
                    </w:rPr>
                    <w:t>有机土</w:t>
                  </w:r>
                </w:p>
              </w:tc>
              <w:tc>
                <w:tcPr>
                  <w:tcW w:w="2528" w:type="pct"/>
                  <w:tcBorders>
                    <w:tl2br w:val="nil"/>
                    <w:tr2bl w:val="nil"/>
                  </w:tcBorders>
                  <w:shd w:val="clear" w:color="auto" w:fill="auto"/>
                  <w:vAlign w:val="center"/>
                </w:tcPr>
                <w:p w14:paraId="104D0F2D">
                  <w:pPr>
                    <w:pStyle w:val="17"/>
                    <w:keepNext w:val="0"/>
                    <w:keepLines w:val="0"/>
                    <w:pageBreakBefore w:val="0"/>
                    <w:kinsoku/>
                    <w:wordWrap/>
                    <w:topLinePunct w:val="0"/>
                    <w:autoSpaceDE/>
                    <w:autoSpaceDN/>
                    <w:bidi w:val="0"/>
                    <w:adjustRightInd w:val="0"/>
                    <w:snapToGrid w:val="0"/>
                    <w:jc w:val="left"/>
                    <w:rPr>
                      <w:rFonts w:eastAsia="宋体"/>
                      <w:color w:val="auto"/>
                    </w:rPr>
                  </w:pPr>
                  <w:r>
                    <w:rPr>
                      <w:rFonts w:hint="eastAsia" w:eastAsia="宋体"/>
                      <w:color w:val="auto"/>
                    </w:rPr>
                    <w:t>由亲水的膨润土与季铵盐类阳离子表面活性剂发生相互作用后制成的亲油粘土</w:t>
                  </w:r>
                </w:p>
              </w:tc>
              <w:tc>
                <w:tcPr>
                  <w:tcW w:w="701" w:type="pct"/>
                  <w:tcBorders>
                    <w:tl2br w:val="nil"/>
                    <w:tr2bl w:val="nil"/>
                  </w:tcBorders>
                  <w:shd w:val="clear" w:color="auto" w:fill="auto"/>
                  <w:vAlign w:val="center"/>
                </w:tcPr>
                <w:p w14:paraId="2B44D533">
                  <w:pPr>
                    <w:pStyle w:val="17"/>
                    <w:keepNext w:val="0"/>
                    <w:keepLines w:val="0"/>
                    <w:pageBreakBefore w:val="0"/>
                    <w:kinsoku/>
                    <w:wordWrap/>
                    <w:topLinePunct w:val="0"/>
                    <w:autoSpaceDE/>
                    <w:autoSpaceDN/>
                    <w:bidi w:val="0"/>
                    <w:adjustRightInd w:val="0"/>
                    <w:snapToGrid w:val="0"/>
                    <w:rPr>
                      <w:rFonts w:eastAsia="宋体"/>
                      <w:color w:val="auto"/>
                    </w:rPr>
                  </w:pPr>
                  <w:r>
                    <w:rPr>
                      <w:rFonts w:hint="eastAsia" w:eastAsia="宋体"/>
                      <w:color w:val="auto"/>
                    </w:rPr>
                    <w:t>无</w:t>
                  </w:r>
                </w:p>
              </w:tc>
              <w:tc>
                <w:tcPr>
                  <w:tcW w:w="1207" w:type="pct"/>
                  <w:tcBorders>
                    <w:tl2br w:val="nil"/>
                    <w:tr2bl w:val="nil"/>
                  </w:tcBorders>
                  <w:shd w:val="clear" w:color="auto" w:fill="auto"/>
                  <w:vAlign w:val="center"/>
                </w:tcPr>
                <w:p w14:paraId="18EB64D4">
                  <w:pPr>
                    <w:pStyle w:val="17"/>
                    <w:keepNext w:val="0"/>
                    <w:keepLines w:val="0"/>
                    <w:pageBreakBefore w:val="0"/>
                    <w:kinsoku/>
                    <w:wordWrap/>
                    <w:topLinePunct w:val="0"/>
                    <w:autoSpaceDE/>
                    <w:autoSpaceDN/>
                    <w:bidi w:val="0"/>
                    <w:adjustRightInd w:val="0"/>
                    <w:snapToGrid w:val="0"/>
                    <w:rPr>
                      <w:rFonts w:eastAsia="宋体"/>
                      <w:color w:val="auto"/>
                    </w:rPr>
                  </w:pPr>
                  <w:r>
                    <w:rPr>
                      <w:rFonts w:hint="eastAsia" w:eastAsia="宋体"/>
                      <w:color w:val="auto"/>
                    </w:rPr>
                    <w:t>无</w:t>
                  </w:r>
                </w:p>
              </w:tc>
            </w:tr>
            <w:tr w14:paraId="3560E6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2" w:type="pct"/>
                  <w:tcBorders>
                    <w:tl2br w:val="nil"/>
                    <w:tr2bl w:val="nil"/>
                  </w:tcBorders>
                  <w:shd w:val="clear" w:color="auto" w:fill="auto"/>
                  <w:vAlign w:val="center"/>
                </w:tcPr>
                <w:p w14:paraId="2A9A1EB5">
                  <w:pPr>
                    <w:pStyle w:val="17"/>
                    <w:keepNext w:val="0"/>
                    <w:keepLines w:val="0"/>
                    <w:pageBreakBefore w:val="0"/>
                    <w:kinsoku/>
                    <w:wordWrap/>
                    <w:topLinePunct w:val="0"/>
                    <w:autoSpaceDE/>
                    <w:autoSpaceDN/>
                    <w:bidi w:val="0"/>
                    <w:adjustRightInd w:val="0"/>
                    <w:snapToGrid w:val="0"/>
                    <w:rPr>
                      <w:rFonts w:eastAsia="宋体"/>
                      <w:color w:val="auto"/>
                    </w:rPr>
                  </w:pPr>
                  <w:r>
                    <w:rPr>
                      <w:rFonts w:hint="eastAsia" w:eastAsia="宋体"/>
                      <w:color w:val="auto"/>
                    </w:rPr>
                    <w:t>烧碱</w:t>
                  </w:r>
                  <w:r>
                    <w:rPr>
                      <w:rFonts w:hint="eastAsia" w:eastAsia="宋体"/>
                      <w:color w:val="auto"/>
                      <w:lang w:eastAsia="zh-CN"/>
                    </w:rPr>
                    <w:t>（</w:t>
                  </w:r>
                  <w:r>
                    <w:rPr>
                      <w:rFonts w:hint="eastAsia" w:eastAsia="宋体"/>
                      <w:color w:val="auto"/>
                    </w:rPr>
                    <w:t>NaOH</w:t>
                  </w:r>
                  <w:r>
                    <w:rPr>
                      <w:rFonts w:hint="eastAsia" w:eastAsia="宋体"/>
                      <w:color w:val="auto"/>
                      <w:lang w:eastAsia="zh-CN"/>
                    </w:rPr>
                    <w:t>）</w:t>
                  </w:r>
                </w:p>
              </w:tc>
              <w:tc>
                <w:tcPr>
                  <w:tcW w:w="2528" w:type="pct"/>
                  <w:tcBorders>
                    <w:tl2br w:val="nil"/>
                    <w:tr2bl w:val="nil"/>
                  </w:tcBorders>
                  <w:shd w:val="clear" w:color="auto" w:fill="auto"/>
                  <w:vAlign w:val="center"/>
                </w:tcPr>
                <w:p w14:paraId="00FBE47D">
                  <w:pPr>
                    <w:pStyle w:val="17"/>
                    <w:keepNext w:val="0"/>
                    <w:keepLines w:val="0"/>
                    <w:pageBreakBefore w:val="0"/>
                    <w:kinsoku/>
                    <w:wordWrap/>
                    <w:topLinePunct w:val="0"/>
                    <w:autoSpaceDE/>
                    <w:autoSpaceDN/>
                    <w:bidi w:val="0"/>
                    <w:adjustRightInd w:val="0"/>
                    <w:snapToGrid w:val="0"/>
                    <w:jc w:val="left"/>
                    <w:rPr>
                      <w:rFonts w:eastAsia="宋体"/>
                      <w:color w:val="auto"/>
                    </w:rPr>
                  </w:pPr>
                  <w:r>
                    <w:rPr>
                      <w:rFonts w:hint="eastAsia" w:eastAsia="宋体"/>
                      <w:color w:val="auto"/>
                    </w:rPr>
                    <w:t>白色半透明晶状固体，空气中易潮解，密度2.13g/m</w:t>
                  </w:r>
                  <w:r>
                    <w:rPr>
                      <w:rFonts w:hint="eastAsia" w:eastAsia="宋体"/>
                      <w:color w:val="auto"/>
                      <w:vertAlign w:val="superscript"/>
                    </w:rPr>
                    <w:t>3</w:t>
                  </w:r>
                  <w:r>
                    <w:rPr>
                      <w:rFonts w:hint="eastAsia" w:eastAsia="宋体"/>
                      <w:color w:val="auto"/>
                    </w:rPr>
                    <w:t>，熔点318℃，沸点1388℃，易溶于水，不溶于丙醇、乙醚</w:t>
                  </w:r>
                </w:p>
              </w:tc>
              <w:tc>
                <w:tcPr>
                  <w:tcW w:w="701" w:type="pct"/>
                  <w:tcBorders>
                    <w:tl2br w:val="nil"/>
                    <w:tr2bl w:val="nil"/>
                  </w:tcBorders>
                  <w:shd w:val="clear" w:color="auto" w:fill="auto"/>
                  <w:vAlign w:val="center"/>
                </w:tcPr>
                <w:p w14:paraId="608D4224">
                  <w:pPr>
                    <w:pStyle w:val="17"/>
                    <w:keepNext w:val="0"/>
                    <w:keepLines w:val="0"/>
                    <w:pageBreakBefore w:val="0"/>
                    <w:kinsoku/>
                    <w:wordWrap/>
                    <w:topLinePunct w:val="0"/>
                    <w:autoSpaceDE/>
                    <w:autoSpaceDN/>
                    <w:bidi w:val="0"/>
                    <w:adjustRightInd w:val="0"/>
                    <w:snapToGrid w:val="0"/>
                    <w:rPr>
                      <w:rFonts w:eastAsia="宋体"/>
                      <w:color w:val="auto"/>
                    </w:rPr>
                  </w:pPr>
                  <w:r>
                    <w:rPr>
                      <w:rFonts w:hint="eastAsia" w:eastAsia="宋体"/>
                      <w:color w:val="auto"/>
                    </w:rPr>
                    <w:t>不燃</w:t>
                  </w:r>
                </w:p>
              </w:tc>
              <w:tc>
                <w:tcPr>
                  <w:tcW w:w="1207" w:type="pct"/>
                  <w:tcBorders>
                    <w:tl2br w:val="nil"/>
                    <w:tr2bl w:val="nil"/>
                  </w:tcBorders>
                  <w:shd w:val="clear" w:color="auto" w:fill="auto"/>
                  <w:vAlign w:val="center"/>
                </w:tcPr>
                <w:p w14:paraId="580E29A9">
                  <w:pPr>
                    <w:pStyle w:val="17"/>
                    <w:keepNext w:val="0"/>
                    <w:keepLines w:val="0"/>
                    <w:pageBreakBefore w:val="0"/>
                    <w:kinsoku/>
                    <w:wordWrap/>
                    <w:topLinePunct w:val="0"/>
                    <w:autoSpaceDE/>
                    <w:autoSpaceDN/>
                    <w:bidi w:val="0"/>
                    <w:adjustRightInd w:val="0"/>
                    <w:snapToGrid w:val="0"/>
                    <w:rPr>
                      <w:rFonts w:eastAsia="宋体"/>
                      <w:color w:val="auto"/>
                    </w:rPr>
                  </w:pPr>
                  <w:r>
                    <w:rPr>
                      <w:rFonts w:hint="eastAsia" w:eastAsia="宋体"/>
                      <w:color w:val="auto"/>
                    </w:rPr>
                    <w:t>无</w:t>
                  </w:r>
                </w:p>
              </w:tc>
            </w:tr>
            <w:tr w14:paraId="31160C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pct"/>
                  <w:tcBorders>
                    <w:tl2br w:val="nil"/>
                    <w:tr2bl w:val="nil"/>
                  </w:tcBorders>
                  <w:shd w:val="clear" w:color="auto" w:fill="auto"/>
                  <w:vAlign w:val="center"/>
                </w:tcPr>
                <w:p w14:paraId="191E3750">
                  <w:pPr>
                    <w:pStyle w:val="17"/>
                    <w:keepNext w:val="0"/>
                    <w:keepLines w:val="0"/>
                    <w:pageBreakBefore w:val="0"/>
                    <w:kinsoku/>
                    <w:wordWrap/>
                    <w:topLinePunct w:val="0"/>
                    <w:autoSpaceDE/>
                    <w:autoSpaceDN/>
                    <w:bidi w:val="0"/>
                    <w:adjustRightInd w:val="0"/>
                    <w:snapToGrid w:val="0"/>
                    <w:rPr>
                      <w:rFonts w:hint="eastAsia" w:eastAsia="宋体"/>
                      <w:color w:val="auto"/>
                      <w:lang w:eastAsia="zh-CN"/>
                    </w:rPr>
                  </w:pPr>
                  <w:r>
                    <w:rPr>
                      <w:rFonts w:hint="eastAsia" w:eastAsia="宋体"/>
                      <w:color w:val="auto"/>
                      <w:lang w:eastAsia="zh-CN"/>
                    </w:rPr>
                    <w:t>氯化钾（</w:t>
                  </w:r>
                  <w:r>
                    <w:rPr>
                      <w:rFonts w:hint="eastAsia" w:eastAsia="宋体"/>
                      <w:color w:val="auto"/>
                    </w:rPr>
                    <w:t>KCl</w:t>
                  </w:r>
                  <w:r>
                    <w:rPr>
                      <w:rFonts w:hint="eastAsia" w:eastAsia="宋体"/>
                      <w:color w:val="auto"/>
                      <w:lang w:eastAsia="zh-CN"/>
                    </w:rPr>
                    <w:t>）</w:t>
                  </w:r>
                </w:p>
              </w:tc>
              <w:tc>
                <w:tcPr>
                  <w:tcW w:w="2528" w:type="pct"/>
                  <w:tcBorders>
                    <w:tl2br w:val="nil"/>
                    <w:tr2bl w:val="nil"/>
                  </w:tcBorders>
                  <w:shd w:val="clear" w:color="auto" w:fill="auto"/>
                  <w:vAlign w:val="center"/>
                </w:tcPr>
                <w:p w14:paraId="58B99220">
                  <w:pPr>
                    <w:pStyle w:val="17"/>
                    <w:keepNext w:val="0"/>
                    <w:keepLines w:val="0"/>
                    <w:pageBreakBefore w:val="0"/>
                    <w:kinsoku/>
                    <w:wordWrap/>
                    <w:topLinePunct w:val="0"/>
                    <w:autoSpaceDE/>
                    <w:autoSpaceDN/>
                    <w:bidi w:val="0"/>
                    <w:adjustRightInd w:val="0"/>
                    <w:snapToGrid w:val="0"/>
                    <w:jc w:val="left"/>
                    <w:rPr>
                      <w:rFonts w:hint="default" w:eastAsia="宋体"/>
                      <w:color w:val="auto"/>
                      <w:lang w:val="en-US" w:eastAsia="zh-CN"/>
                    </w:rPr>
                  </w:pPr>
                  <w:r>
                    <w:rPr>
                      <w:rFonts w:hint="eastAsia" w:eastAsia="宋体"/>
                      <w:color w:val="auto"/>
                      <w:lang w:eastAsia="zh-CN"/>
                    </w:rPr>
                    <w:t>无色晶体或粉末，无臭，味咸，相对密度</w:t>
                  </w:r>
                  <w:r>
                    <w:rPr>
                      <w:rFonts w:hint="eastAsia" w:eastAsia="宋体"/>
                      <w:color w:val="auto"/>
                      <w:lang w:val="en-US" w:eastAsia="zh-CN"/>
                    </w:rPr>
                    <w:t>1.98，</w:t>
                  </w:r>
                  <w:r>
                    <w:rPr>
                      <w:rFonts w:hint="eastAsia" w:eastAsia="宋体"/>
                      <w:color w:val="auto"/>
                      <w:lang w:eastAsia="zh-CN"/>
                    </w:rPr>
                    <w:t>沸点</w:t>
                  </w:r>
                  <w:r>
                    <w:rPr>
                      <w:rFonts w:hint="eastAsia" w:eastAsia="宋体"/>
                      <w:color w:val="auto"/>
                      <w:lang w:val="en-US" w:eastAsia="zh-CN"/>
                    </w:rPr>
                    <w:t>1550℃，熔点770℃，水溶性340g/l，易溶于水和甘油，难溶于醇，不溶于醚和丙酮</w:t>
                  </w:r>
                </w:p>
              </w:tc>
              <w:tc>
                <w:tcPr>
                  <w:tcW w:w="701" w:type="pct"/>
                  <w:tcBorders>
                    <w:tl2br w:val="nil"/>
                    <w:tr2bl w:val="nil"/>
                  </w:tcBorders>
                  <w:shd w:val="clear" w:color="auto" w:fill="auto"/>
                  <w:vAlign w:val="center"/>
                </w:tcPr>
                <w:p w14:paraId="5852DB3E">
                  <w:pPr>
                    <w:pStyle w:val="17"/>
                    <w:keepNext w:val="0"/>
                    <w:keepLines w:val="0"/>
                    <w:pageBreakBefore w:val="0"/>
                    <w:kinsoku/>
                    <w:wordWrap/>
                    <w:topLinePunct w:val="0"/>
                    <w:autoSpaceDE/>
                    <w:autoSpaceDN/>
                    <w:bidi w:val="0"/>
                    <w:adjustRightInd w:val="0"/>
                    <w:snapToGrid w:val="0"/>
                    <w:rPr>
                      <w:rFonts w:hint="eastAsia" w:eastAsia="宋体"/>
                      <w:color w:val="auto"/>
                      <w:lang w:eastAsia="zh-CN"/>
                    </w:rPr>
                  </w:pPr>
                  <w:r>
                    <w:rPr>
                      <w:rFonts w:hint="eastAsia" w:eastAsia="宋体"/>
                      <w:color w:val="auto"/>
                      <w:lang w:eastAsia="zh-CN"/>
                    </w:rPr>
                    <w:t>不易燃不易爆</w:t>
                  </w:r>
                </w:p>
              </w:tc>
              <w:tc>
                <w:tcPr>
                  <w:tcW w:w="1207" w:type="pct"/>
                  <w:tcBorders>
                    <w:tl2br w:val="nil"/>
                    <w:tr2bl w:val="nil"/>
                  </w:tcBorders>
                  <w:shd w:val="clear" w:color="auto" w:fill="auto"/>
                  <w:vAlign w:val="center"/>
                </w:tcPr>
                <w:p w14:paraId="6E7FCEA4">
                  <w:pPr>
                    <w:pStyle w:val="17"/>
                    <w:keepNext w:val="0"/>
                    <w:keepLines w:val="0"/>
                    <w:pageBreakBefore w:val="0"/>
                    <w:kinsoku/>
                    <w:wordWrap/>
                    <w:topLinePunct w:val="0"/>
                    <w:autoSpaceDE/>
                    <w:autoSpaceDN/>
                    <w:bidi w:val="0"/>
                    <w:adjustRightInd w:val="0"/>
                    <w:snapToGrid w:val="0"/>
                    <w:rPr>
                      <w:rFonts w:hint="default" w:eastAsia="宋体"/>
                      <w:color w:val="auto"/>
                      <w:lang w:val="en-US" w:eastAsia="zh-CN"/>
                    </w:rPr>
                  </w:pPr>
                  <w:r>
                    <w:rPr>
                      <w:rFonts w:hint="eastAsia" w:eastAsia="宋体"/>
                      <w:color w:val="auto"/>
                      <w:lang w:val="en-US" w:eastAsia="zh-CN"/>
                    </w:rPr>
                    <w:t>无资料</w:t>
                  </w:r>
                </w:p>
              </w:tc>
            </w:tr>
            <w:tr w14:paraId="25298B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pct"/>
                  <w:tcBorders>
                    <w:tl2br w:val="nil"/>
                    <w:tr2bl w:val="nil"/>
                  </w:tcBorders>
                  <w:shd w:val="clear" w:color="auto" w:fill="auto"/>
                  <w:vAlign w:val="center"/>
                </w:tcPr>
                <w:p w14:paraId="0FD83890">
                  <w:pPr>
                    <w:pStyle w:val="17"/>
                    <w:keepNext w:val="0"/>
                    <w:keepLines w:val="0"/>
                    <w:pageBreakBefore w:val="0"/>
                    <w:kinsoku/>
                    <w:wordWrap/>
                    <w:topLinePunct w:val="0"/>
                    <w:autoSpaceDE/>
                    <w:autoSpaceDN/>
                    <w:bidi w:val="0"/>
                    <w:adjustRightInd w:val="0"/>
                    <w:snapToGrid w:val="0"/>
                    <w:rPr>
                      <w:rFonts w:hint="eastAsia" w:eastAsia="宋体"/>
                      <w:color w:val="auto"/>
                      <w:lang w:eastAsia="zh-CN"/>
                    </w:rPr>
                  </w:pPr>
                  <w:r>
                    <w:rPr>
                      <w:rFonts w:hint="eastAsia" w:eastAsia="宋体"/>
                      <w:color w:val="auto"/>
                      <w:lang w:eastAsia="zh-CN"/>
                    </w:rPr>
                    <w:t>纯碱（</w:t>
                  </w:r>
                  <w:r>
                    <w:rPr>
                      <w:rFonts w:hint="default" w:ascii="Times New Roman" w:hAnsi="Times New Roman" w:eastAsia="宋体" w:cs="Times New Roman"/>
                      <w:color w:val="auto"/>
                    </w:rPr>
                    <w:t>Na</w:t>
                  </w:r>
                  <w:r>
                    <w:rPr>
                      <w:rFonts w:hint="default" w:ascii="Times New Roman" w:hAnsi="Times New Roman" w:eastAsia="宋体" w:cs="Times New Roman"/>
                      <w:color w:val="auto"/>
                      <w:sz w:val="21"/>
                      <w:vertAlign w:val="subscript"/>
                    </w:rPr>
                    <w:t>2</w:t>
                  </w:r>
                  <w:r>
                    <w:rPr>
                      <w:rFonts w:hint="default" w:ascii="Times New Roman" w:hAnsi="Times New Roman" w:eastAsia="宋体" w:cs="Times New Roman"/>
                      <w:color w:val="auto"/>
                    </w:rPr>
                    <w:t>CO</w:t>
                  </w:r>
                  <w:r>
                    <w:rPr>
                      <w:rFonts w:hint="default" w:ascii="Times New Roman" w:hAnsi="Times New Roman" w:eastAsia="宋体" w:cs="Times New Roman"/>
                      <w:color w:val="auto"/>
                      <w:sz w:val="21"/>
                      <w:vertAlign w:val="subscript"/>
                    </w:rPr>
                    <w:t>3</w:t>
                  </w:r>
                  <w:r>
                    <w:rPr>
                      <w:rFonts w:hint="eastAsia" w:eastAsia="宋体"/>
                      <w:color w:val="auto"/>
                      <w:lang w:eastAsia="zh-CN"/>
                    </w:rPr>
                    <w:t>）</w:t>
                  </w:r>
                </w:p>
              </w:tc>
              <w:tc>
                <w:tcPr>
                  <w:tcW w:w="2528" w:type="pct"/>
                  <w:tcBorders>
                    <w:tl2br w:val="nil"/>
                    <w:tr2bl w:val="nil"/>
                  </w:tcBorders>
                  <w:shd w:val="clear" w:color="auto" w:fill="auto"/>
                  <w:vAlign w:val="center"/>
                </w:tcPr>
                <w:p w14:paraId="5D111304">
                  <w:pPr>
                    <w:pStyle w:val="17"/>
                    <w:keepNext w:val="0"/>
                    <w:keepLines w:val="0"/>
                    <w:pageBreakBefore w:val="0"/>
                    <w:kinsoku/>
                    <w:wordWrap/>
                    <w:topLinePunct w:val="0"/>
                    <w:autoSpaceDE/>
                    <w:autoSpaceDN/>
                    <w:bidi w:val="0"/>
                    <w:adjustRightInd w:val="0"/>
                    <w:snapToGrid w:val="0"/>
                    <w:jc w:val="left"/>
                    <w:rPr>
                      <w:rFonts w:hint="default" w:eastAsia="宋体"/>
                      <w:color w:val="auto"/>
                      <w:lang w:val="en-US" w:eastAsia="zh-CN"/>
                    </w:rPr>
                  </w:pPr>
                  <w:r>
                    <w:rPr>
                      <w:rFonts w:hint="eastAsia" w:eastAsia="宋体"/>
                      <w:color w:val="auto"/>
                      <w:lang w:eastAsia="zh-CN"/>
                    </w:rPr>
                    <w:t>易溶于水的白色粉末，熔点</w:t>
                  </w:r>
                  <w:r>
                    <w:rPr>
                      <w:rFonts w:hint="eastAsia" w:eastAsia="宋体"/>
                      <w:color w:val="auto"/>
                      <w:lang w:val="en-US" w:eastAsia="zh-CN"/>
                    </w:rPr>
                    <w:t>851℃，分解温度1744℃，沸点1600℃，密度2.532，微溶于无水乙醇，不溶于丙醇</w:t>
                  </w:r>
                </w:p>
              </w:tc>
              <w:tc>
                <w:tcPr>
                  <w:tcW w:w="701" w:type="pct"/>
                  <w:tcBorders>
                    <w:tl2br w:val="nil"/>
                    <w:tr2bl w:val="nil"/>
                  </w:tcBorders>
                  <w:shd w:val="clear" w:color="auto" w:fill="auto"/>
                  <w:vAlign w:val="center"/>
                </w:tcPr>
                <w:p w14:paraId="72B64DF5">
                  <w:pPr>
                    <w:pStyle w:val="17"/>
                    <w:keepNext w:val="0"/>
                    <w:keepLines w:val="0"/>
                    <w:pageBreakBefore w:val="0"/>
                    <w:kinsoku/>
                    <w:wordWrap/>
                    <w:topLinePunct w:val="0"/>
                    <w:autoSpaceDE/>
                    <w:autoSpaceDN/>
                    <w:bidi w:val="0"/>
                    <w:adjustRightInd w:val="0"/>
                    <w:snapToGrid w:val="0"/>
                    <w:rPr>
                      <w:rFonts w:hint="eastAsia" w:eastAsia="宋体"/>
                      <w:color w:val="auto"/>
                      <w:lang w:eastAsia="zh-CN"/>
                    </w:rPr>
                  </w:pPr>
                  <w:r>
                    <w:rPr>
                      <w:rFonts w:hint="eastAsia" w:eastAsia="宋体"/>
                      <w:color w:val="auto"/>
                      <w:lang w:eastAsia="zh-CN"/>
                    </w:rPr>
                    <w:t>不燃</w:t>
                  </w:r>
                </w:p>
              </w:tc>
              <w:tc>
                <w:tcPr>
                  <w:tcW w:w="1207" w:type="pct"/>
                  <w:tcBorders>
                    <w:tl2br w:val="nil"/>
                    <w:tr2bl w:val="nil"/>
                  </w:tcBorders>
                  <w:shd w:val="clear" w:color="auto" w:fill="auto"/>
                  <w:vAlign w:val="center"/>
                </w:tcPr>
                <w:p w14:paraId="0043F9C2">
                  <w:pPr>
                    <w:pStyle w:val="17"/>
                    <w:keepNext w:val="0"/>
                    <w:keepLines w:val="0"/>
                    <w:pageBreakBefore w:val="0"/>
                    <w:kinsoku/>
                    <w:wordWrap/>
                    <w:topLinePunct w:val="0"/>
                    <w:autoSpaceDE/>
                    <w:autoSpaceDN/>
                    <w:bidi w:val="0"/>
                    <w:adjustRightInd w:val="0"/>
                    <w:snapToGrid w:val="0"/>
                    <w:ind w:firstLine="0" w:firstLineChars="0"/>
                    <w:rPr>
                      <w:rFonts w:hint="default" w:eastAsia="宋体"/>
                      <w:color w:val="auto"/>
                      <w:lang w:val="en-US" w:eastAsia="zh-CN"/>
                    </w:rPr>
                  </w:pPr>
                  <w:r>
                    <w:rPr>
                      <w:rFonts w:hint="eastAsia" w:eastAsia="宋体"/>
                      <w:color w:val="auto"/>
                      <w:lang w:val="en-US" w:eastAsia="zh-CN"/>
                    </w:rPr>
                    <w:t>LD50：4090mg/kg（大鼠经口）</w:t>
                  </w:r>
                  <w:r>
                    <w:rPr>
                      <w:rFonts w:hint="default" w:ascii="Times New Roman" w:hAnsi="Times New Roman" w:eastAsia="宋体" w:cs="Times New Roman"/>
                      <w:color w:val="auto"/>
                      <w:lang w:val="en-US" w:eastAsia="zh-CN"/>
                    </w:rPr>
                    <w:t>LC50:2300</w:t>
                  </w:r>
                  <w:r>
                    <w:rPr>
                      <w:rFonts w:hint="eastAsia" w:eastAsia="宋体" w:cs="Times New Roman"/>
                      <w:color w:val="auto"/>
                      <w:lang w:val="en-US" w:eastAsia="zh-CN"/>
                    </w:rPr>
                    <w:t>mg/m</w:t>
                  </w:r>
                  <w:r>
                    <w:rPr>
                      <w:rFonts w:hint="eastAsia" w:eastAsia="宋体" w:cs="Times New Roman"/>
                      <w:color w:val="auto"/>
                      <w:vertAlign w:val="superscript"/>
                      <w:lang w:val="en-US" w:eastAsia="zh-CN"/>
                    </w:rPr>
                    <w:t>3</w:t>
                  </w:r>
                  <w:r>
                    <w:rPr>
                      <w:rFonts w:hint="eastAsia" w:eastAsia="宋体" w:cs="Times New Roman"/>
                      <w:color w:val="auto"/>
                      <w:vertAlign w:val="baseline"/>
                      <w:lang w:val="en-US" w:eastAsia="zh-CN"/>
                    </w:rPr>
                    <w:t>/</w:t>
                  </w:r>
                  <w:r>
                    <w:rPr>
                      <w:rFonts w:hint="default" w:ascii="Times New Roman" w:hAnsi="Times New Roman" w:eastAsia="宋体" w:cs="Times New Roman"/>
                      <w:color w:val="auto"/>
                      <w:lang w:val="en-US" w:eastAsia="zh-CN"/>
                    </w:rPr>
                    <w:t>2</w:t>
                  </w:r>
                  <w:r>
                    <w:rPr>
                      <w:rFonts w:hint="eastAsia" w:eastAsia="宋体" w:cs="Times New Roman"/>
                      <w:color w:val="auto"/>
                      <w:lang w:val="en-US" w:eastAsia="zh-CN"/>
                    </w:rPr>
                    <w:t>h</w:t>
                  </w:r>
                  <w:r>
                    <w:rPr>
                      <w:rFonts w:hint="default" w:ascii="Times New Roman" w:hAnsi="Times New Roman" w:eastAsia="宋体" w:cs="Times New Roman"/>
                      <w:color w:val="auto"/>
                      <w:lang w:val="en-US" w:eastAsia="zh-CN"/>
                    </w:rPr>
                    <w:t>（大鼠吸入）</w:t>
                  </w:r>
                </w:p>
              </w:tc>
            </w:tr>
          </w:tbl>
          <w:p w14:paraId="314F695A">
            <w:pPr>
              <w:rPr>
                <w:rFonts w:hint="default"/>
                <w:color w:val="auto"/>
                <w:lang w:val="en-US" w:eastAsia="zh-CN"/>
              </w:rPr>
            </w:pPr>
          </w:p>
        </w:tc>
      </w:tr>
    </w:tbl>
    <w:tbl>
      <w:tblPr>
        <w:tblStyle w:val="1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2"/>
        <w:gridCol w:w="7860"/>
      </w:tblGrid>
      <w:tr w14:paraId="6F61AE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8" w:type="pct"/>
            <w:vAlign w:val="center"/>
          </w:tcPr>
          <w:p w14:paraId="3AC0271C">
            <w:pPr>
              <w:adjustRightInd w:val="0"/>
              <w:snapToGrid w:val="0"/>
              <w:jc w:val="center"/>
              <w:rPr>
                <w:rFonts w:eastAsia="宋体"/>
                <w:kern w:val="0"/>
                <w:sz w:val="24"/>
              </w:rPr>
            </w:pPr>
            <w:r>
              <w:rPr>
                <w:rFonts w:eastAsia="宋体"/>
                <w:kern w:val="0"/>
                <w:sz w:val="24"/>
              </w:rPr>
              <w:t>总平面及现场布置</w:t>
            </w:r>
          </w:p>
        </w:tc>
        <w:tc>
          <w:tcPr>
            <w:tcW w:w="4611" w:type="pct"/>
          </w:tcPr>
          <w:p w14:paraId="7F4403C5">
            <w:pPr>
              <w:pStyle w:val="3"/>
              <w:ind w:firstLine="480"/>
              <w:rPr>
                <w:rFonts w:hint="eastAsia" w:eastAsia="宋体"/>
                <w:color w:val="000000" w:themeColor="text1"/>
                <w14:textFill>
                  <w14:solidFill>
                    <w14:schemeClr w14:val="tx1"/>
                  </w14:solidFill>
                </w14:textFill>
              </w:rPr>
            </w:pPr>
            <w:r>
              <w:rPr>
                <w:rFonts w:hint="eastAsia" w:eastAsia="宋体"/>
              </w:rPr>
              <w:t>本项目</w:t>
            </w:r>
            <w:r>
              <w:rPr>
                <w:rFonts w:hint="eastAsia" w:eastAsia="宋体"/>
                <w:lang w:val="en-US" w:eastAsia="zh-CN"/>
              </w:rPr>
              <w:t>沙105斜井场占</w:t>
            </w:r>
            <w:r>
              <w:rPr>
                <w:rFonts w:hint="eastAsia" w:eastAsia="宋体"/>
                <w:color w:val="000000" w:themeColor="text1"/>
                <w:lang w:val="en-US" w:eastAsia="zh-CN"/>
                <w14:textFill>
                  <w14:solidFill>
                    <w14:schemeClr w14:val="tx1"/>
                  </w14:solidFill>
                </w14:textFill>
              </w:rPr>
              <w:t>地约4930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vertAlign w:val="baseline"/>
                <w:lang w:eastAsia="zh-CN"/>
                <w14:textFill>
                  <w14:solidFill>
                    <w14:schemeClr w14:val="tx1"/>
                  </w14:solidFill>
                </w14:textFill>
              </w:rPr>
              <w:t>，</w:t>
            </w:r>
            <w:r>
              <w:rPr>
                <w:rFonts w:hint="eastAsia" w:eastAsia="宋体"/>
                <w:lang w:val="en-US" w:eastAsia="zh-CN"/>
              </w:rPr>
              <w:t>沙86斜井场占</w:t>
            </w:r>
            <w:r>
              <w:rPr>
                <w:rFonts w:hint="eastAsia" w:eastAsia="宋体"/>
                <w:color w:val="000000" w:themeColor="text1"/>
                <w:lang w:val="en-US" w:eastAsia="zh-CN"/>
                <w14:textFill>
                  <w14:solidFill>
                    <w14:schemeClr w14:val="tx1"/>
                  </w14:solidFill>
                </w14:textFill>
              </w:rPr>
              <w:t>地约4930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eastAsia="宋体"/>
                <w:color w:val="000000" w:themeColor="text1"/>
                <w:lang w:eastAsia="zh-CN"/>
                <w14:textFill>
                  <w14:solidFill>
                    <w14:schemeClr w14:val="tx1"/>
                  </w14:solidFill>
                </w14:textFill>
              </w:rPr>
              <w:t>，</w:t>
            </w:r>
            <w:r>
              <w:rPr>
                <w:rFonts w:hint="eastAsia" w:eastAsia="宋体"/>
                <w:color w:val="000000" w:themeColor="text1"/>
                <w14:textFill>
                  <w14:solidFill>
                    <w14:schemeClr w14:val="tx1"/>
                  </w14:solidFill>
                </w14:textFill>
              </w:rPr>
              <w:t>井场</w:t>
            </w:r>
            <w:r>
              <w:rPr>
                <w:rFonts w:hint="eastAsia" w:eastAsia="宋体"/>
              </w:rPr>
              <w:t>内主要包括钻井区、钻井配套设施区域及施工人员办公休息区。钻井设备位于井场中央，</w:t>
            </w:r>
            <w:r>
              <w:rPr>
                <w:rFonts w:hint="eastAsia" w:eastAsia="宋体"/>
                <w:lang w:val="en-US" w:eastAsia="zh-CN"/>
              </w:rPr>
              <w:t>井场东侧设有钻杆排、爬犁、材料房；井场南</w:t>
            </w:r>
            <w:r>
              <w:rPr>
                <w:rFonts w:hint="eastAsia" w:eastAsia="宋体"/>
              </w:rPr>
              <w:t>侧</w:t>
            </w:r>
            <w:r>
              <w:rPr>
                <w:rFonts w:hint="eastAsia" w:eastAsia="宋体"/>
                <w:lang w:val="en-US" w:eastAsia="zh-CN"/>
              </w:rPr>
              <w:t>设油罐区</w:t>
            </w:r>
            <w:r>
              <w:rPr>
                <w:rFonts w:hint="eastAsia" w:eastAsia="宋体"/>
              </w:rPr>
              <w:t>、</w:t>
            </w:r>
            <w:r>
              <w:rPr>
                <w:rFonts w:hint="eastAsia" w:eastAsia="宋体"/>
                <w:lang w:val="en-US" w:eastAsia="zh-CN"/>
              </w:rPr>
              <w:t>材料</w:t>
            </w:r>
            <w:r>
              <w:rPr>
                <w:rFonts w:hint="eastAsia" w:eastAsia="宋体"/>
              </w:rPr>
              <w:t>房、消防房</w:t>
            </w:r>
            <w:r>
              <w:rPr>
                <w:rFonts w:hint="eastAsia" w:eastAsia="宋体"/>
                <w:lang w:eastAsia="zh-CN"/>
              </w:rPr>
              <w:t>、</w:t>
            </w:r>
            <w:r>
              <w:rPr>
                <w:rFonts w:hint="eastAsia" w:eastAsia="宋体"/>
                <w:lang w:val="en-US" w:eastAsia="zh-CN"/>
              </w:rPr>
              <w:t>发电房、配电房</w:t>
            </w:r>
            <w:r>
              <w:rPr>
                <w:rFonts w:hint="eastAsia" w:eastAsia="宋体"/>
              </w:rPr>
              <w:t>；</w:t>
            </w:r>
            <w:r>
              <w:rPr>
                <w:rFonts w:hint="eastAsia" w:eastAsia="宋体"/>
                <w:lang w:val="en-US" w:eastAsia="zh-CN"/>
              </w:rPr>
              <w:t>井场</w:t>
            </w:r>
            <w:r>
              <w:rPr>
                <w:rFonts w:hint="eastAsia" w:eastAsia="宋体"/>
                <w:highlight w:val="none"/>
                <w:lang w:val="en-US" w:eastAsia="zh-CN"/>
              </w:rPr>
              <w:t>北</w:t>
            </w:r>
            <w:r>
              <w:rPr>
                <w:rFonts w:hint="eastAsia" w:eastAsia="宋体"/>
                <w:highlight w:val="none"/>
              </w:rPr>
              <w:t>侧</w:t>
            </w:r>
            <w:r>
              <w:rPr>
                <w:rFonts w:hint="eastAsia" w:eastAsia="宋体"/>
              </w:rPr>
              <w:t>设有</w:t>
            </w:r>
            <w:r>
              <w:rPr>
                <w:rFonts w:hint="eastAsia" w:eastAsia="宋体"/>
                <w:lang w:val="en-US" w:eastAsia="zh-CN"/>
              </w:rPr>
              <w:t>录井</w:t>
            </w:r>
            <w:r>
              <w:rPr>
                <w:rFonts w:hint="eastAsia" w:eastAsia="宋体"/>
              </w:rPr>
              <w:t>房、</w:t>
            </w:r>
            <w:r>
              <w:rPr>
                <w:rFonts w:hint="eastAsia" w:eastAsia="宋体"/>
                <w:lang w:val="en-US" w:eastAsia="zh-CN"/>
              </w:rPr>
              <w:t>会议室</w:t>
            </w:r>
            <w:r>
              <w:rPr>
                <w:rFonts w:hint="eastAsia" w:eastAsia="宋体"/>
                <w:lang w:eastAsia="zh-CN"/>
              </w:rPr>
              <w:t>、</w:t>
            </w:r>
            <w:r>
              <w:rPr>
                <w:rFonts w:hint="default" w:ascii="Times New Roman" w:hAnsi="Times New Roman" w:eastAsia="宋体" w:cs="Times New Roman"/>
              </w:rPr>
              <w:t>“</w:t>
            </w:r>
            <w:r>
              <w:rPr>
                <w:rFonts w:hint="eastAsia" w:eastAsia="宋体"/>
              </w:rPr>
              <w:t>泥浆不落地</w:t>
            </w:r>
            <w:r>
              <w:rPr>
                <w:rFonts w:hint="default" w:ascii="Times New Roman" w:hAnsi="Times New Roman" w:eastAsia="宋体" w:cs="Times New Roman"/>
              </w:rPr>
              <w:t>”</w:t>
            </w:r>
            <w:r>
              <w:rPr>
                <w:rFonts w:hint="eastAsia" w:eastAsia="宋体"/>
              </w:rPr>
              <w:t>及配套设备、</w:t>
            </w:r>
            <w:r>
              <w:rPr>
                <w:rFonts w:hint="eastAsia" w:eastAsia="宋体"/>
                <w:lang w:val="en-US" w:eastAsia="zh-CN"/>
              </w:rPr>
              <w:t>厕所。</w:t>
            </w:r>
            <w:r>
              <w:rPr>
                <w:rFonts w:hint="eastAsia" w:eastAsia="宋体"/>
                <w:color w:val="000000" w:themeColor="text1"/>
                <w14:textFill>
                  <w14:solidFill>
                    <w14:schemeClr w14:val="tx1"/>
                  </w14:solidFill>
                </w14:textFill>
              </w:rPr>
              <w:t>井场平面</w:t>
            </w:r>
            <w:r>
              <w:rPr>
                <w:rFonts w:hint="eastAsia" w:eastAsia="宋体"/>
                <w:color w:val="000000" w:themeColor="text1"/>
                <w:lang w:val="en-US" w:eastAsia="zh-CN"/>
                <w14:textFill>
                  <w14:solidFill>
                    <w14:schemeClr w14:val="tx1"/>
                  </w14:solidFill>
                </w14:textFill>
              </w:rPr>
              <w:t>统一</w:t>
            </w:r>
            <w:r>
              <w:rPr>
                <w:rFonts w:hint="eastAsia" w:eastAsia="宋体"/>
                <w:color w:val="000000" w:themeColor="text1"/>
                <w14:textFill>
                  <w14:solidFill>
                    <w14:schemeClr w14:val="tx1"/>
                  </w14:solidFill>
                </w14:textFill>
              </w:rPr>
              <w:t>布置</w:t>
            </w:r>
            <w:r>
              <w:rPr>
                <w:rFonts w:hint="eastAsia" w:eastAsia="宋体"/>
                <w:color w:val="000000" w:themeColor="text1"/>
                <w:lang w:val="en-US" w:eastAsia="zh-CN"/>
                <w14:textFill>
                  <w14:solidFill>
                    <w14:schemeClr w14:val="tx1"/>
                  </w14:solidFill>
                </w14:textFill>
              </w:rPr>
              <w:t>，详见</w:t>
            </w:r>
            <w:r>
              <w:rPr>
                <w:rFonts w:hint="eastAsia" w:eastAsia="宋体"/>
                <w:color w:val="000000" w:themeColor="text1"/>
                <w14:textFill>
                  <w14:solidFill>
                    <w14:schemeClr w14:val="tx1"/>
                  </w14:solidFill>
                </w14:textFill>
              </w:rPr>
              <w:t>见附图</w:t>
            </w:r>
            <w:r>
              <w:rPr>
                <w:rFonts w:hint="eastAsia" w:eastAsia="宋体"/>
                <w:color w:val="000000" w:themeColor="text1"/>
                <w:lang w:val="en-US" w:eastAsia="zh-CN"/>
                <w14:textFill>
                  <w14:solidFill>
                    <w14:schemeClr w14:val="tx1"/>
                  </w14:solidFill>
                </w14:textFill>
              </w:rPr>
              <w:t>3</w:t>
            </w:r>
            <w:r>
              <w:rPr>
                <w:rFonts w:hint="eastAsia" w:eastAsia="宋体"/>
                <w:color w:val="000000" w:themeColor="text1"/>
                <w14:textFill>
                  <w14:solidFill>
                    <w14:schemeClr w14:val="tx1"/>
                  </w14:solidFill>
                </w14:textFill>
              </w:rPr>
              <w:t>。</w:t>
            </w:r>
          </w:p>
          <w:p w14:paraId="2038C1F6">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《钻前工程及井场布置技术要求》（SY/T5466-2013）</w:t>
            </w:r>
            <w:r>
              <w:rPr>
                <w:rFonts w:hint="eastAsia" w:cs="Times New Roman"/>
                <w:color w:val="auto"/>
                <w:kern w:val="0"/>
                <w:sz w:val="24"/>
                <w:szCs w:val="24"/>
                <w:lang w:val="en-US" w:eastAsia="zh-CN" w:bidi="ar-SA"/>
              </w:rPr>
              <w:t>中</w:t>
            </w:r>
            <w:r>
              <w:rPr>
                <w:rFonts w:hint="eastAsia" w:ascii="Times New Roman" w:hAnsi="Times New Roman" w:eastAsia="宋体" w:cs="Times New Roman"/>
                <w:color w:val="auto"/>
                <w:kern w:val="0"/>
                <w:sz w:val="24"/>
                <w:szCs w:val="24"/>
                <w:lang w:val="en-US" w:eastAsia="zh-CN" w:bidi="ar-SA"/>
              </w:rPr>
              <w:t>要求</w:t>
            </w:r>
            <w:r>
              <w:rPr>
                <w:rFonts w:hint="eastAsia"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发电房与井口距离不小于30m、油罐区与井口距离不小于30m及发电房与油罐区的距离不小于20m的要求</w:t>
            </w:r>
            <w:r>
              <w:rPr>
                <w:rFonts w:hint="eastAsia" w:cs="Times New Roman"/>
                <w:color w:val="auto"/>
                <w:kern w:val="0"/>
                <w:sz w:val="24"/>
                <w:szCs w:val="24"/>
                <w:lang w:val="en-US" w:eastAsia="zh-CN" w:bidi="ar-SA"/>
              </w:rPr>
              <w:t>。</w:t>
            </w:r>
          </w:p>
          <w:p w14:paraId="19F28686">
            <w:pPr>
              <w:pStyle w:val="3"/>
              <w:ind w:firstLine="480"/>
              <w:rPr>
                <w:rFonts w:eastAsia="宋体"/>
              </w:rPr>
            </w:pPr>
            <w:r>
              <w:rPr>
                <w:rFonts w:hint="eastAsia" w:ascii="Times New Roman" w:hAnsi="Times New Roman" w:eastAsia="宋体" w:cs="Times New Roman"/>
                <w:color w:val="000000" w:themeColor="text1"/>
                <w:lang w:val="en-US" w:eastAsia="zh-CN"/>
                <w14:textFill>
                  <w14:solidFill>
                    <w14:schemeClr w14:val="tx1"/>
                  </w14:solidFill>
                </w14:textFill>
              </w:rPr>
              <w:t>本项目发电房与井口距离约50m，油罐区与井口距离约40m，发电房与油罐区的距离约</w:t>
            </w:r>
            <w:r>
              <w:rPr>
                <w:rFonts w:hint="eastAsia" w:eastAsia="宋体" w:cs="Times New Roman"/>
                <w:color w:val="000000" w:themeColor="text1"/>
                <w:lang w:val="en-US" w:eastAsia="zh-CN"/>
                <w14:textFill>
                  <w14:solidFill>
                    <w14:schemeClr w14:val="tx1"/>
                  </w14:solidFill>
                </w14:textFill>
              </w:rPr>
              <w:t>3</w:t>
            </w:r>
            <w:r>
              <w:rPr>
                <w:rFonts w:hint="eastAsia" w:ascii="Times New Roman" w:hAnsi="Times New Roman" w:eastAsia="宋体" w:cs="Times New Roman"/>
                <w:color w:val="000000" w:themeColor="text1"/>
                <w:lang w:val="en-US" w:eastAsia="zh-CN"/>
                <w14:textFill>
                  <w14:solidFill>
                    <w14:schemeClr w14:val="tx1"/>
                  </w14:solidFill>
                </w14:textFill>
              </w:rPr>
              <w:t>0m，发电房、值班房、录井房和储油罐等的摆放满足安全要求；钻台上下、机泵房周围不放置杂物及易燃易爆物；不使用电焊、气焊等设备，满足防火防爆安全要求。所以本勘探井布局总体合理。</w:t>
            </w:r>
          </w:p>
        </w:tc>
      </w:tr>
      <w:tr w14:paraId="1E3DCD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8" w:type="pct"/>
            <w:vMerge w:val="restart"/>
            <w:vAlign w:val="center"/>
          </w:tcPr>
          <w:p w14:paraId="02FBD496">
            <w:pPr>
              <w:adjustRightInd w:val="0"/>
              <w:snapToGrid w:val="0"/>
              <w:jc w:val="center"/>
              <w:rPr>
                <w:rFonts w:eastAsia="宋体"/>
                <w:kern w:val="0"/>
                <w:sz w:val="24"/>
              </w:rPr>
            </w:pPr>
            <w:r>
              <w:rPr>
                <w:rFonts w:eastAsia="宋体"/>
                <w:kern w:val="0"/>
                <w:sz w:val="24"/>
              </w:rPr>
              <w:t>施工方案</w:t>
            </w:r>
          </w:p>
          <w:p w14:paraId="7C63A8D3">
            <w:pPr>
              <w:adjustRightInd w:val="0"/>
              <w:snapToGrid w:val="0"/>
              <w:jc w:val="center"/>
              <w:rPr>
                <w:rFonts w:eastAsia="宋体"/>
                <w:kern w:val="0"/>
                <w:sz w:val="24"/>
              </w:rPr>
            </w:pPr>
          </w:p>
          <w:p w14:paraId="20304300">
            <w:pPr>
              <w:adjustRightInd w:val="0"/>
              <w:snapToGrid w:val="0"/>
              <w:jc w:val="center"/>
              <w:rPr>
                <w:rFonts w:eastAsia="宋体"/>
                <w:kern w:val="0"/>
                <w:sz w:val="24"/>
              </w:rPr>
            </w:pPr>
          </w:p>
          <w:p w14:paraId="5A4A8AA2">
            <w:pPr>
              <w:adjustRightInd w:val="0"/>
              <w:snapToGrid w:val="0"/>
              <w:jc w:val="center"/>
              <w:rPr>
                <w:rFonts w:eastAsia="宋体"/>
                <w:kern w:val="0"/>
                <w:sz w:val="24"/>
              </w:rPr>
            </w:pPr>
          </w:p>
          <w:p w14:paraId="0F41C07E">
            <w:pPr>
              <w:adjustRightInd w:val="0"/>
              <w:snapToGrid w:val="0"/>
              <w:jc w:val="center"/>
              <w:rPr>
                <w:rFonts w:eastAsia="宋体"/>
                <w:kern w:val="0"/>
                <w:sz w:val="24"/>
              </w:rPr>
            </w:pPr>
          </w:p>
          <w:p w14:paraId="7346FF1C">
            <w:pPr>
              <w:adjustRightInd w:val="0"/>
              <w:snapToGrid w:val="0"/>
              <w:jc w:val="center"/>
              <w:rPr>
                <w:rFonts w:eastAsia="宋体"/>
                <w:kern w:val="0"/>
                <w:sz w:val="24"/>
              </w:rPr>
            </w:pPr>
          </w:p>
          <w:p w14:paraId="33F6D464">
            <w:pPr>
              <w:adjustRightInd w:val="0"/>
              <w:snapToGrid w:val="0"/>
              <w:jc w:val="center"/>
              <w:rPr>
                <w:rFonts w:eastAsia="宋体"/>
                <w:kern w:val="0"/>
                <w:sz w:val="24"/>
              </w:rPr>
            </w:pPr>
          </w:p>
          <w:p w14:paraId="0BA82CE6">
            <w:pPr>
              <w:adjustRightInd w:val="0"/>
              <w:snapToGrid w:val="0"/>
              <w:jc w:val="center"/>
              <w:rPr>
                <w:rFonts w:eastAsia="宋体"/>
                <w:kern w:val="0"/>
                <w:sz w:val="24"/>
              </w:rPr>
            </w:pPr>
          </w:p>
          <w:p w14:paraId="1BD7A137">
            <w:pPr>
              <w:adjustRightInd w:val="0"/>
              <w:snapToGrid w:val="0"/>
              <w:jc w:val="center"/>
              <w:rPr>
                <w:rFonts w:eastAsia="宋体"/>
                <w:kern w:val="0"/>
                <w:sz w:val="24"/>
              </w:rPr>
            </w:pPr>
          </w:p>
          <w:p w14:paraId="278703D5">
            <w:pPr>
              <w:adjustRightInd w:val="0"/>
              <w:snapToGrid w:val="0"/>
              <w:jc w:val="center"/>
              <w:rPr>
                <w:rFonts w:eastAsia="宋体"/>
                <w:kern w:val="0"/>
                <w:sz w:val="24"/>
              </w:rPr>
            </w:pPr>
          </w:p>
          <w:p w14:paraId="55BA7870">
            <w:pPr>
              <w:adjustRightInd w:val="0"/>
              <w:snapToGrid w:val="0"/>
              <w:jc w:val="center"/>
              <w:rPr>
                <w:rFonts w:eastAsia="宋体"/>
                <w:kern w:val="0"/>
                <w:sz w:val="24"/>
              </w:rPr>
            </w:pPr>
          </w:p>
          <w:p w14:paraId="28D2C7DF">
            <w:pPr>
              <w:adjustRightInd w:val="0"/>
              <w:snapToGrid w:val="0"/>
              <w:jc w:val="center"/>
              <w:rPr>
                <w:rFonts w:eastAsia="宋体"/>
                <w:kern w:val="0"/>
                <w:sz w:val="24"/>
              </w:rPr>
            </w:pPr>
          </w:p>
          <w:p w14:paraId="53D70C1E">
            <w:pPr>
              <w:adjustRightInd w:val="0"/>
              <w:snapToGrid w:val="0"/>
              <w:jc w:val="center"/>
              <w:rPr>
                <w:rFonts w:eastAsia="宋体"/>
                <w:kern w:val="0"/>
                <w:sz w:val="24"/>
              </w:rPr>
            </w:pPr>
          </w:p>
          <w:p w14:paraId="069EB798">
            <w:pPr>
              <w:adjustRightInd w:val="0"/>
              <w:snapToGrid w:val="0"/>
              <w:jc w:val="center"/>
              <w:rPr>
                <w:rFonts w:eastAsia="宋体"/>
                <w:kern w:val="0"/>
                <w:sz w:val="24"/>
              </w:rPr>
            </w:pPr>
          </w:p>
          <w:p w14:paraId="2206D6D4">
            <w:pPr>
              <w:adjustRightInd w:val="0"/>
              <w:snapToGrid w:val="0"/>
              <w:jc w:val="center"/>
              <w:rPr>
                <w:rFonts w:eastAsia="宋体"/>
                <w:kern w:val="0"/>
                <w:sz w:val="24"/>
              </w:rPr>
            </w:pPr>
          </w:p>
          <w:p w14:paraId="3DA325E3">
            <w:pPr>
              <w:adjustRightInd w:val="0"/>
              <w:snapToGrid w:val="0"/>
              <w:jc w:val="center"/>
              <w:rPr>
                <w:rFonts w:eastAsia="宋体"/>
                <w:kern w:val="0"/>
                <w:sz w:val="24"/>
              </w:rPr>
            </w:pPr>
          </w:p>
          <w:p w14:paraId="2A3CB480">
            <w:pPr>
              <w:adjustRightInd w:val="0"/>
              <w:snapToGrid w:val="0"/>
              <w:jc w:val="center"/>
              <w:rPr>
                <w:rFonts w:eastAsia="宋体"/>
                <w:kern w:val="0"/>
                <w:sz w:val="24"/>
              </w:rPr>
            </w:pPr>
          </w:p>
          <w:p w14:paraId="316424B4">
            <w:pPr>
              <w:adjustRightInd w:val="0"/>
              <w:snapToGrid w:val="0"/>
              <w:jc w:val="center"/>
              <w:rPr>
                <w:rFonts w:eastAsia="宋体"/>
                <w:kern w:val="0"/>
                <w:sz w:val="24"/>
              </w:rPr>
            </w:pPr>
          </w:p>
          <w:p w14:paraId="07C1ED00">
            <w:pPr>
              <w:adjustRightInd w:val="0"/>
              <w:snapToGrid w:val="0"/>
              <w:jc w:val="center"/>
              <w:rPr>
                <w:rFonts w:eastAsia="宋体"/>
                <w:kern w:val="0"/>
                <w:sz w:val="24"/>
              </w:rPr>
            </w:pPr>
          </w:p>
          <w:p w14:paraId="408CB12A">
            <w:pPr>
              <w:adjustRightInd w:val="0"/>
              <w:snapToGrid w:val="0"/>
              <w:jc w:val="center"/>
              <w:rPr>
                <w:rFonts w:eastAsia="宋体"/>
                <w:kern w:val="0"/>
                <w:sz w:val="24"/>
              </w:rPr>
            </w:pPr>
          </w:p>
          <w:p w14:paraId="53C2F6BD">
            <w:pPr>
              <w:adjustRightInd w:val="0"/>
              <w:snapToGrid w:val="0"/>
              <w:jc w:val="center"/>
              <w:rPr>
                <w:rFonts w:eastAsia="宋体"/>
                <w:kern w:val="0"/>
                <w:sz w:val="24"/>
              </w:rPr>
            </w:pPr>
          </w:p>
          <w:p w14:paraId="6CF189ED">
            <w:pPr>
              <w:adjustRightInd w:val="0"/>
              <w:snapToGrid w:val="0"/>
              <w:jc w:val="center"/>
              <w:rPr>
                <w:rFonts w:eastAsia="宋体"/>
                <w:kern w:val="0"/>
                <w:sz w:val="24"/>
              </w:rPr>
            </w:pPr>
          </w:p>
          <w:p w14:paraId="4D69E903">
            <w:pPr>
              <w:adjustRightInd w:val="0"/>
              <w:snapToGrid w:val="0"/>
              <w:jc w:val="center"/>
              <w:rPr>
                <w:rFonts w:eastAsia="宋体"/>
                <w:kern w:val="0"/>
                <w:sz w:val="24"/>
              </w:rPr>
            </w:pPr>
          </w:p>
          <w:p w14:paraId="681A234D">
            <w:pPr>
              <w:adjustRightInd w:val="0"/>
              <w:snapToGrid w:val="0"/>
              <w:jc w:val="center"/>
              <w:rPr>
                <w:rFonts w:eastAsia="宋体"/>
                <w:kern w:val="0"/>
                <w:sz w:val="24"/>
              </w:rPr>
            </w:pPr>
          </w:p>
          <w:p w14:paraId="13F3ED73">
            <w:pPr>
              <w:adjustRightInd w:val="0"/>
              <w:snapToGrid w:val="0"/>
              <w:jc w:val="center"/>
              <w:rPr>
                <w:rFonts w:eastAsia="宋体"/>
                <w:kern w:val="0"/>
                <w:sz w:val="24"/>
              </w:rPr>
            </w:pPr>
          </w:p>
          <w:p w14:paraId="254FCE55">
            <w:pPr>
              <w:adjustRightInd w:val="0"/>
              <w:snapToGrid w:val="0"/>
              <w:jc w:val="center"/>
              <w:rPr>
                <w:rFonts w:eastAsia="宋体"/>
                <w:kern w:val="0"/>
                <w:sz w:val="24"/>
              </w:rPr>
            </w:pPr>
          </w:p>
          <w:p w14:paraId="3D0D0ECD">
            <w:pPr>
              <w:adjustRightInd w:val="0"/>
              <w:snapToGrid w:val="0"/>
              <w:jc w:val="center"/>
              <w:rPr>
                <w:rFonts w:eastAsia="宋体"/>
                <w:kern w:val="0"/>
                <w:sz w:val="24"/>
              </w:rPr>
            </w:pPr>
          </w:p>
          <w:p w14:paraId="0F613F2B">
            <w:pPr>
              <w:adjustRightInd w:val="0"/>
              <w:snapToGrid w:val="0"/>
              <w:jc w:val="center"/>
              <w:rPr>
                <w:rFonts w:eastAsia="宋体"/>
                <w:kern w:val="0"/>
                <w:sz w:val="24"/>
              </w:rPr>
            </w:pPr>
          </w:p>
          <w:p w14:paraId="7B984D5D">
            <w:pPr>
              <w:adjustRightInd w:val="0"/>
              <w:snapToGrid w:val="0"/>
              <w:jc w:val="center"/>
              <w:rPr>
                <w:rFonts w:eastAsia="宋体"/>
                <w:kern w:val="0"/>
                <w:sz w:val="24"/>
              </w:rPr>
            </w:pPr>
          </w:p>
          <w:p w14:paraId="742DF292">
            <w:pPr>
              <w:adjustRightInd w:val="0"/>
              <w:snapToGrid w:val="0"/>
              <w:jc w:val="center"/>
              <w:rPr>
                <w:rFonts w:eastAsia="宋体"/>
                <w:kern w:val="0"/>
                <w:sz w:val="24"/>
              </w:rPr>
            </w:pPr>
          </w:p>
          <w:p w14:paraId="49301F02">
            <w:pPr>
              <w:adjustRightInd w:val="0"/>
              <w:snapToGrid w:val="0"/>
              <w:jc w:val="center"/>
              <w:rPr>
                <w:rFonts w:eastAsia="宋体"/>
                <w:kern w:val="0"/>
                <w:sz w:val="24"/>
              </w:rPr>
            </w:pPr>
          </w:p>
          <w:p w14:paraId="7D508CBA">
            <w:pPr>
              <w:adjustRightInd w:val="0"/>
              <w:snapToGrid w:val="0"/>
              <w:jc w:val="center"/>
              <w:rPr>
                <w:rFonts w:eastAsia="宋体"/>
                <w:kern w:val="0"/>
                <w:sz w:val="24"/>
              </w:rPr>
            </w:pPr>
          </w:p>
          <w:p w14:paraId="497EB815">
            <w:pPr>
              <w:adjustRightInd w:val="0"/>
              <w:snapToGrid w:val="0"/>
              <w:jc w:val="center"/>
              <w:rPr>
                <w:rFonts w:eastAsia="宋体"/>
                <w:kern w:val="0"/>
                <w:sz w:val="24"/>
              </w:rPr>
            </w:pPr>
          </w:p>
          <w:p w14:paraId="45CF644D">
            <w:pPr>
              <w:adjustRightInd w:val="0"/>
              <w:snapToGrid w:val="0"/>
              <w:jc w:val="center"/>
              <w:rPr>
                <w:rFonts w:eastAsia="宋体"/>
                <w:kern w:val="0"/>
                <w:sz w:val="24"/>
              </w:rPr>
            </w:pPr>
          </w:p>
          <w:p w14:paraId="18262701">
            <w:pPr>
              <w:adjustRightInd w:val="0"/>
              <w:snapToGrid w:val="0"/>
              <w:jc w:val="center"/>
              <w:rPr>
                <w:rFonts w:eastAsia="宋体"/>
                <w:kern w:val="0"/>
                <w:sz w:val="24"/>
              </w:rPr>
            </w:pPr>
          </w:p>
          <w:p w14:paraId="6C12C3B3">
            <w:pPr>
              <w:adjustRightInd w:val="0"/>
              <w:snapToGrid w:val="0"/>
              <w:jc w:val="center"/>
              <w:rPr>
                <w:rFonts w:eastAsia="宋体"/>
                <w:kern w:val="0"/>
                <w:sz w:val="24"/>
              </w:rPr>
            </w:pPr>
          </w:p>
        </w:tc>
        <w:tc>
          <w:tcPr>
            <w:tcW w:w="4611" w:type="pct"/>
          </w:tcPr>
          <w:p w14:paraId="0415CBD7">
            <w:pPr>
              <w:pStyle w:val="2"/>
              <w:ind w:firstLine="482" w:firstLineChars="200"/>
              <w:rPr>
                <w:rFonts w:eastAsia="宋体"/>
              </w:rPr>
            </w:pPr>
            <w:r>
              <w:rPr>
                <w:rFonts w:hint="eastAsia" w:eastAsia="宋体"/>
              </w:rPr>
              <w:t>1、施工工艺</w:t>
            </w:r>
          </w:p>
          <w:p w14:paraId="56C794BB">
            <w:pPr>
              <w:pStyle w:val="3"/>
              <w:ind w:firstLine="480"/>
              <w:rPr>
                <w:rFonts w:eastAsia="宋体"/>
              </w:rPr>
            </w:pPr>
            <w:r>
              <w:rPr>
                <w:rFonts w:eastAsia="宋体"/>
              </w:rPr>
              <w:t>勘探期主要施工活动为钻前工程</w:t>
            </w:r>
            <w:r>
              <w:rPr>
                <w:rFonts w:hint="eastAsia" w:eastAsia="宋体"/>
              </w:rPr>
              <w:t>（井场场地平整、设备搬运及安装</w:t>
            </w:r>
            <w:r>
              <w:rPr>
                <w:rFonts w:hint="eastAsia" w:eastAsia="宋体"/>
                <w:lang w:val="en-US" w:eastAsia="zh-CN"/>
              </w:rPr>
              <w:t>等</w:t>
            </w:r>
            <w:r>
              <w:rPr>
                <w:rFonts w:hint="eastAsia" w:eastAsia="宋体"/>
              </w:rPr>
              <w:t>）</w:t>
            </w:r>
            <w:r>
              <w:rPr>
                <w:rFonts w:eastAsia="宋体"/>
              </w:rPr>
              <w:t>、钻井</w:t>
            </w:r>
            <w:r>
              <w:rPr>
                <w:rFonts w:hint="eastAsia" w:eastAsia="宋体"/>
              </w:rPr>
              <w:t>工程（</w:t>
            </w:r>
            <w:r>
              <w:rPr>
                <w:rFonts w:hint="eastAsia" w:eastAsia="宋体"/>
                <w:lang w:val="en-US" w:eastAsia="zh-CN"/>
              </w:rPr>
              <w:t>开</w:t>
            </w:r>
            <w:r>
              <w:rPr>
                <w:rFonts w:hint="eastAsia" w:eastAsia="宋体"/>
              </w:rPr>
              <w:t>钻、钻井取芯、</w:t>
            </w:r>
            <w:r>
              <w:rPr>
                <w:rFonts w:hint="eastAsia" w:eastAsia="宋体"/>
                <w:lang w:eastAsia="zh-CN"/>
              </w:rPr>
              <w:t>录井、</w:t>
            </w:r>
            <w:r>
              <w:rPr>
                <w:rFonts w:hint="eastAsia" w:eastAsia="宋体"/>
              </w:rPr>
              <w:t>测井、</w:t>
            </w:r>
            <w:r>
              <w:rPr>
                <w:rFonts w:hint="eastAsia" w:eastAsia="宋体"/>
                <w:lang w:eastAsia="zh-CN"/>
              </w:rPr>
              <w:t>固井</w:t>
            </w:r>
            <w:r>
              <w:rPr>
                <w:rFonts w:hint="eastAsia" w:eastAsia="宋体"/>
              </w:rPr>
              <w:t>等）</w:t>
            </w:r>
            <w:r>
              <w:rPr>
                <w:rFonts w:eastAsia="宋体"/>
              </w:rPr>
              <w:t>、完井</w:t>
            </w:r>
            <w:r>
              <w:rPr>
                <w:rFonts w:hint="eastAsia" w:eastAsia="宋体"/>
              </w:rPr>
              <w:t>工程（洗井、测井、井壁取芯、通井、下套管、固井、射孔、设井口装置等）</w:t>
            </w:r>
            <w:r>
              <w:rPr>
                <w:rFonts w:eastAsia="宋体"/>
              </w:rPr>
              <w:t>，完井</w:t>
            </w:r>
            <w:r>
              <w:rPr>
                <w:rFonts w:hint="eastAsia" w:eastAsia="宋体"/>
                <w:lang w:val="en-US" w:eastAsia="zh-CN"/>
              </w:rPr>
              <w:t>工程</w:t>
            </w:r>
            <w:r>
              <w:rPr>
                <w:rFonts w:eastAsia="宋体"/>
              </w:rPr>
              <w:t>后如确定为油井则留井，进行</w:t>
            </w:r>
            <w:r>
              <w:rPr>
                <w:rFonts w:hint="eastAsia" w:eastAsia="宋体"/>
              </w:rPr>
              <w:t>压裂</w:t>
            </w:r>
            <w:r>
              <w:rPr>
                <w:rFonts w:eastAsia="宋体"/>
              </w:rPr>
              <w:t>、试</w:t>
            </w:r>
            <w:r>
              <w:rPr>
                <w:rFonts w:hint="eastAsia" w:eastAsia="宋体"/>
                <w:lang w:val="en-US" w:eastAsia="zh-CN"/>
              </w:rPr>
              <w:t>采</w:t>
            </w:r>
            <w:r>
              <w:rPr>
                <w:rFonts w:eastAsia="宋体"/>
              </w:rPr>
              <w:t>作业；如确定为无开采价值，则进行</w:t>
            </w:r>
            <w:r>
              <w:rPr>
                <w:rFonts w:hint="eastAsia" w:eastAsia="宋体"/>
                <w:lang w:val="en-US" w:eastAsia="zh-CN"/>
              </w:rPr>
              <w:t>封</w:t>
            </w:r>
            <w:r>
              <w:rPr>
                <w:rFonts w:eastAsia="宋体"/>
              </w:rPr>
              <w:t>井作业</w:t>
            </w:r>
            <w:r>
              <w:rPr>
                <w:rFonts w:hint="eastAsia" w:eastAsia="宋体"/>
              </w:rPr>
              <w:t>。</w:t>
            </w:r>
            <w:r>
              <w:rPr>
                <w:rFonts w:eastAsia="宋体"/>
              </w:rPr>
              <w:t>主要工程流程及产污环节见图</w:t>
            </w:r>
            <w:r>
              <w:rPr>
                <w:rFonts w:hint="eastAsia" w:eastAsia="宋体"/>
              </w:rPr>
              <w:t>2-2</w:t>
            </w:r>
            <w:r>
              <w:rPr>
                <w:rFonts w:eastAsia="宋体"/>
              </w:rPr>
              <w:t>。</w:t>
            </w:r>
          </w:p>
          <w:p w14:paraId="30DF0CB7">
            <w:pPr>
              <w:pStyle w:val="3"/>
              <w:ind w:firstLine="0" w:firstLineChars="0"/>
              <w:jc w:val="center"/>
              <w:rPr>
                <w:rFonts w:eastAsia="宋体"/>
              </w:rPr>
            </w:pPr>
            <w:r>
              <w:rPr>
                <w:rFonts w:hint="eastAsia" w:eastAsia="宋体"/>
              </w:rPr>
              <w:object>
                <v:shape id="_x0000_i1025" o:spt="75" type="#_x0000_t75" style="height:359.9pt;width:346.35pt;" o:ole="t" filled="f" o:preferrelative="t" stroked="f" coordsize="21600,21600">
                  <v:path/>
                  <v:fill on="f" focussize="0,0"/>
                  <v:stroke on="f"/>
                  <v:imagedata r:id="rId8" o:title=""/>
                  <o:lock v:ext="edit" aspectratio="f"/>
                  <w10:wrap type="none"/>
                  <w10:anchorlock/>
                </v:shape>
                <o:OLEObject Type="Embed" ProgID="Visio.Drawing.15" ShapeID="_x0000_i1025" DrawAspect="Content" ObjectID="_1468075725" r:id="rId7">
                  <o:LockedField>false</o:LockedField>
                </o:OLEObject>
              </w:object>
            </w:r>
          </w:p>
          <w:p w14:paraId="703F8BF7">
            <w:pPr>
              <w:pStyle w:val="3"/>
              <w:ind w:firstLine="480"/>
              <w:jc w:val="center"/>
              <w:rPr>
                <w:rFonts w:hint="eastAsia" w:eastAsia="宋体"/>
                <w:b/>
                <w:bCs/>
                <w:color w:val="000000" w:themeColor="text1"/>
                <w14:textFill>
                  <w14:solidFill>
                    <w14:schemeClr w14:val="tx1"/>
                  </w14:solidFill>
                </w14:textFill>
              </w:rPr>
            </w:pPr>
            <w:r>
              <w:rPr>
                <w:rFonts w:hint="eastAsia" w:eastAsia="宋体"/>
                <w:b/>
                <w:bCs/>
                <w:color w:val="000000" w:themeColor="text1"/>
                <w14:textFill>
                  <w14:solidFill>
                    <w14:schemeClr w14:val="tx1"/>
                  </w14:solidFill>
                </w14:textFill>
              </w:rPr>
              <w:t>图2-2  施工工艺及产污流程图</w:t>
            </w:r>
          </w:p>
          <w:p w14:paraId="6F6B7EA2">
            <w:pPr>
              <w:pStyle w:val="2"/>
              <w:rPr>
                <w:rFonts w:hint="eastAsia" w:eastAsia="宋体"/>
                <w:color w:val="000000" w:themeColor="text1"/>
                <w14:textFill>
                  <w14:solidFill>
                    <w14:schemeClr w14:val="tx1"/>
                  </w14:solidFill>
                </w14:textFill>
              </w:rPr>
            </w:pPr>
            <w:r>
              <w:rPr>
                <w:rFonts w:hint="eastAsia" w:eastAsia="宋体"/>
              </w:rPr>
              <w:t>工艺流程简述：</w:t>
            </w:r>
          </w:p>
        </w:tc>
      </w:tr>
      <w:tr w14:paraId="3800E7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9" w:hRule="atLeast"/>
          <w:jc w:val="center"/>
        </w:trPr>
        <w:tc>
          <w:tcPr>
            <w:tcW w:w="388" w:type="pct"/>
            <w:vMerge w:val="continue"/>
            <w:vAlign w:val="center"/>
          </w:tcPr>
          <w:p w14:paraId="049E256E">
            <w:pPr>
              <w:adjustRightInd w:val="0"/>
              <w:snapToGrid w:val="0"/>
              <w:jc w:val="center"/>
              <w:rPr>
                <w:rFonts w:eastAsia="宋体"/>
                <w:kern w:val="0"/>
                <w:sz w:val="24"/>
              </w:rPr>
            </w:pPr>
          </w:p>
        </w:tc>
        <w:tc>
          <w:tcPr>
            <w:tcW w:w="4611" w:type="pct"/>
          </w:tcPr>
          <w:p w14:paraId="46CDC709">
            <w:pPr>
              <w:pStyle w:val="3"/>
              <w:ind w:firstLine="480"/>
              <w:rPr>
                <w:rFonts w:eastAsia="宋体"/>
              </w:rPr>
            </w:pPr>
            <w:r>
              <w:rPr>
                <w:rFonts w:hint="eastAsia" w:eastAsia="宋体"/>
              </w:rPr>
              <w:t>（1）钻前工程</w:t>
            </w:r>
          </w:p>
          <w:p w14:paraId="395EEFBE">
            <w:pPr>
              <w:pStyle w:val="3"/>
              <w:ind w:firstLine="480"/>
              <w:rPr>
                <w:rFonts w:eastAsia="宋体"/>
              </w:rPr>
            </w:pPr>
            <w:r>
              <w:rPr>
                <w:rFonts w:eastAsia="宋体"/>
              </w:rPr>
              <w:t>钻前工程包括</w:t>
            </w:r>
            <w:r>
              <w:rPr>
                <w:rFonts w:hint="eastAsia" w:eastAsia="宋体"/>
                <w:lang w:eastAsia="zh-CN"/>
              </w:rPr>
              <w:t>井场钻杆排铺设、</w:t>
            </w:r>
            <w:r>
              <w:rPr>
                <w:rFonts w:eastAsia="宋体"/>
              </w:rPr>
              <w:t>钻井场地平整、设备搬运及安装。</w:t>
            </w:r>
            <w:r>
              <w:rPr>
                <w:rFonts w:hint="eastAsia" w:eastAsia="宋体"/>
              </w:rPr>
              <w:t>井场道路</w:t>
            </w:r>
            <w:r>
              <w:rPr>
                <w:rFonts w:eastAsia="宋体"/>
              </w:rPr>
              <w:t>采用4m宽钻杆排铺设，临时占压土壤，满足进场条件后用汽车将钻井设备运到井场安装，钻井物料运至井场存放，同时修建排水沟，铺设防渗膜。</w:t>
            </w:r>
            <w:r>
              <w:rPr>
                <w:rFonts w:hint="eastAsia" w:eastAsia="宋体"/>
              </w:rPr>
              <w:t>本项目主要依托现有的道路，不需施工便道。</w:t>
            </w:r>
          </w:p>
          <w:p w14:paraId="16CE1BAC">
            <w:pPr>
              <w:pStyle w:val="3"/>
              <w:ind w:firstLine="480"/>
              <w:rPr>
                <w:rFonts w:eastAsia="宋体"/>
              </w:rPr>
            </w:pPr>
            <w:r>
              <w:rPr>
                <w:rStyle w:val="20"/>
                <w:rFonts w:eastAsia="宋体"/>
              </w:rPr>
              <w:t>钻前工程主要的环境影响为占用土地并造成土壤和地表植被破坏，地表裸露可能导致水土流失。</w:t>
            </w:r>
            <w:r>
              <w:rPr>
                <w:rStyle w:val="20"/>
                <w:rFonts w:hint="eastAsia" w:eastAsia="宋体"/>
                <w:color w:val="000000" w:themeColor="text1"/>
                <w:lang w:eastAsia="zh-CN"/>
                <w14:textFill>
                  <w14:solidFill>
                    <w14:schemeClr w14:val="tx1"/>
                  </w14:solidFill>
                </w14:textFill>
              </w:rPr>
              <w:t>因项目地为农</w:t>
            </w:r>
            <w:r>
              <w:rPr>
                <w:rStyle w:val="20"/>
                <w:rFonts w:hint="eastAsia" w:eastAsia="宋体"/>
                <w:color w:val="000000" w:themeColor="text1"/>
                <w:lang w:val="en-US" w:eastAsia="zh-CN"/>
                <w14:textFill>
                  <w14:solidFill>
                    <w14:schemeClr w14:val="tx1"/>
                  </w14:solidFill>
                </w14:textFill>
              </w:rPr>
              <w:t>用地</w:t>
            </w:r>
            <w:r>
              <w:rPr>
                <w:rStyle w:val="20"/>
                <w:rFonts w:hint="eastAsia" w:eastAsia="宋体"/>
                <w:color w:val="000000" w:themeColor="text1"/>
                <w:lang w:eastAsia="zh-CN"/>
                <w14:textFill>
                  <w14:solidFill>
                    <w14:schemeClr w14:val="tx1"/>
                  </w14:solidFill>
                </w14:textFill>
              </w:rPr>
              <w:t>，因此要将表层耕作层剥离，之后单独堆存，其表面要播洒草籽，及时复绿，防止扬尘和水土流失；</w:t>
            </w:r>
            <w:r>
              <w:rPr>
                <w:rStyle w:val="20"/>
                <w:rFonts w:eastAsia="宋体"/>
              </w:rPr>
              <w:t>车辆行驶和设备装卸噪声可能导致区域声环境质量超标，施工机械尾气和扬尘可能对区域大气环境造成不良影响。</w:t>
            </w:r>
          </w:p>
          <w:p w14:paraId="328DA715">
            <w:pPr>
              <w:pStyle w:val="3"/>
              <w:ind w:firstLine="480"/>
              <w:rPr>
                <w:rFonts w:eastAsia="宋体"/>
              </w:rPr>
            </w:pPr>
            <w:r>
              <w:rPr>
                <w:rFonts w:eastAsia="宋体"/>
              </w:rPr>
              <w:t>（2）钻井工程</w:t>
            </w:r>
          </w:p>
          <w:p w14:paraId="65D4B8DA">
            <w:pPr>
              <w:pStyle w:val="3"/>
              <w:ind w:firstLine="480"/>
              <w:rPr>
                <w:rFonts w:eastAsia="宋体"/>
              </w:rPr>
            </w:pPr>
            <w:r>
              <w:rPr>
                <w:rFonts w:eastAsia="宋体"/>
              </w:rPr>
              <w:t>钻井工程是指开钻到</w:t>
            </w:r>
            <w:r>
              <w:rPr>
                <w:rFonts w:hint="eastAsia" w:eastAsia="宋体"/>
                <w:lang w:val="en-US" w:eastAsia="zh-CN"/>
              </w:rPr>
              <w:t>钻达目的层</w:t>
            </w:r>
            <w:r>
              <w:rPr>
                <w:rFonts w:eastAsia="宋体"/>
              </w:rPr>
              <w:t>所进行的施工。根据地质与工程设计的不同要求，</w:t>
            </w:r>
            <w:r>
              <w:rPr>
                <w:rFonts w:hint="eastAsia" w:eastAsia="宋体"/>
              </w:rPr>
              <w:t>本项目</w:t>
            </w:r>
            <w:r>
              <w:rPr>
                <w:rFonts w:eastAsia="宋体"/>
              </w:rPr>
              <w:t>为一次开钻</w:t>
            </w:r>
            <w:r>
              <w:rPr>
                <w:rFonts w:hint="eastAsia" w:eastAsia="宋体"/>
                <w:lang w:val="en-US" w:eastAsia="zh-CN"/>
              </w:rPr>
              <w:t>和</w:t>
            </w:r>
            <w:r>
              <w:rPr>
                <w:rFonts w:eastAsia="宋体"/>
              </w:rPr>
              <w:t>二次开钻。钻井工程的具体内容包括</w:t>
            </w:r>
            <w:r>
              <w:rPr>
                <w:rFonts w:hint="eastAsia" w:eastAsia="宋体"/>
                <w:lang w:val="en-US" w:eastAsia="zh-CN"/>
              </w:rPr>
              <w:t>开钻</w:t>
            </w:r>
            <w:r>
              <w:rPr>
                <w:rFonts w:eastAsia="宋体"/>
              </w:rPr>
              <w:t>（</w:t>
            </w:r>
            <w:r>
              <w:rPr>
                <w:rFonts w:hint="eastAsia" w:eastAsia="宋体"/>
              </w:rPr>
              <w:t>一次开钻</w:t>
            </w:r>
            <w:r>
              <w:rPr>
                <w:rFonts w:eastAsia="宋体"/>
              </w:rPr>
              <w:t>）、</w:t>
            </w:r>
            <w:r>
              <w:rPr>
                <w:rFonts w:hint="eastAsia" w:eastAsia="宋体"/>
              </w:rPr>
              <w:t>下表层套管</w:t>
            </w:r>
            <w:r>
              <w:rPr>
                <w:rFonts w:hint="eastAsia" w:eastAsia="宋体"/>
                <w:lang w:eastAsia="zh-CN"/>
              </w:rPr>
              <w:t>、表</w:t>
            </w:r>
            <w:r>
              <w:rPr>
                <w:rFonts w:hint="eastAsia" w:eastAsia="宋体"/>
              </w:rPr>
              <w:t>层套管固井、</w:t>
            </w:r>
            <w:r>
              <w:rPr>
                <w:rFonts w:hint="eastAsia" w:eastAsia="宋体"/>
                <w:lang w:val="en-US" w:eastAsia="zh-CN"/>
              </w:rPr>
              <w:t>开钻</w:t>
            </w:r>
            <w:r>
              <w:rPr>
                <w:rFonts w:hint="eastAsia" w:eastAsia="宋体"/>
                <w:lang w:eastAsia="zh-CN"/>
              </w:rPr>
              <w:t>（</w:t>
            </w:r>
            <w:r>
              <w:rPr>
                <w:rFonts w:hint="eastAsia" w:eastAsia="宋体"/>
                <w:lang w:val="en-US" w:eastAsia="zh-CN"/>
              </w:rPr>
              <w:t>二次开钻</w:t>
            </w:r>
            <w:r>
              <w:rPr>
                <w:rFonts w:hint="eastAsia" w:eastAsia="宋体"/>
                <w:lang w:eastAsia="zh-CN"/>
              </w:rPr>
              <w:t>）</w:t>
            </w:r>
            <w:r>
              <w:rPr>
                <w:rFonts w:hint="eastAsia" w:eastAsia="宋体"/>
                <w:lang w:val="en-US" w:eastAsia="zh-CN"/>
              </w:rPr>
              <w:t>、钻井取芯、</w:t>
            </w:r>
            <w:r>
              <w:rPr>
                <w:rFonts w:hint="eastAsia" w:eastAsia="宋体"/>
                <w:lang w:eastAsia="zh-CN"/>
              </w:rPr>
              <w:t>录井</w:t>
            </w:r>
            <w:r>
              <w:rPr>
                <w:rFonts w:hint="eastAsia" w:eastAsia="宋体"/>
                <w:lang w:val="en-US" w:eastAsia="zh-CN"/>
              </w:rPr>
              <w:t>、</w:t>
            </w:r>
            <w:r>
              <w:rPr>
                <w:rFonts w:hint="eastAsia" w:eastAsia="宋体"/>
              </w:rPr>
              <w:t>测井</w:t>
            </w:r>
            <w:r>
              <w:rPr>
                <w:rFonts w:eastAsia="宋体"/>
              </w:rPr>
              <w:t>等。</w:t>
            </w:r>
          </w:p>
          <w:p w14:paraId="49974D33">
            <w:pPr>
              <w:spacing w:line="360" w:lineRule="auto"/>
              <w:jc w:val="center"/>
              <w:rPr>
                <w:rFonts w:hAnsi="宋体" w:eastAsia="宋体"/>
                <w:bCs/>
                <w:sz w:val="24"/>
              </w:rPr>
            </w:pPr>
            <w:r>
              <w:rPr>
                <w:rFonts w:hAnsi="宋体" w:eastAsia="宋体"/>
                <w:bCs/>
                <w:sz w:val="24"/>
              </w:rPr>
              <w:object>
                <v:shape id="_x0000_i1026" o:spt="75" type="#_x0000_t75" style="height:295.5pt;width:79.9pt;" o:ole="t" filled="f" o:preferrelative="t" stroked="f" coordsize="21600,21600">
                  <v:path/>
                  <v:fill on="f" focussize="0,0"/>
                  <v:stroke on="f"/>
                  <v:imagedata r:id="rId10" o:title=""/>
                  <o:lock v:ext="edit" aspectratio="f"/>
                  <w10:wrap type="none"/>
                  <w10:anchorlock/>
                </v:shape>
                <o:OLEObject Type="Embed" ProgID="Visio.Drawing.15" ShapeID="_x0000_i1026" DrawAspect="Content" ObjectID="_1468075726" r:id="rId9">
                  <o:LockedField>false</o:LockedField>
                </o:OLEObject>
              </w:object>
            </w:r>
          </w:p>
          <w:p w14:paraId="13D9BFD8">
            <w:pPr>
              <w:pStyle w:val="16"/>
              <w:rPr>
                <w:rFonts w:eastAsia="宋体"/>
                <w:kern w:val="0"/>
                <w:sz w:val="24"/>
              </w:rPr>
            </w:pPr>
            <w:r>
              <w:rPr>
                <w:rFonts w:hint="eastAsia" w:eastAsia="宋体"/>
                <w:color w:val="000000" w:themeColor="text1"/>
                <w14:textFill>
                  <w14:solidFill>
                    <w14:schemeClr w14:val="tx1"/>
                  </w14:solidFill>
                </w14:textFill>
              </w:rPr>
              <w:t>图2-3  钻井工艺流程</w:t>
            </w:r>
            <w:r>
              <w:rPr>
                <w:rFonts w:hint="eastAsia" w:eastAsia="宋体"/>
                <w:color w:val="000000" w:themeColor="text1"/>
                <w:lang w:val="en-US" w:eastAsia="zh-CN"/>
                <w14:textFill>
                  <w14:solidFill>
                    <w14:schemeClr w14:val="tx1"/>
                  </w14:solidFill>
                </w14:textFill>
              </w:rPr>
              <w:t>图</w:t>
            </w:r>
          </w:p>
        </w:tc>
      </w:tr>
      <w:tr w14:paraId="254E87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9" w:hRule="atLeast"/>
          <w:jc w:val="center"/>
        </w:trPr>
        <w:tc>
          <w:tcPr>
            <w:tcW w:w="388" w:type="pct"/>
            <w:vMerge w:val="continue"/>
            <w:vAlign w:val="center"/>
          </w:tcPr>
          <w:p w14:paraId="051760BE">
            <w:pPr>
              <w:adjustRightInd w:val="0"/>
              <w:snapToGrid w:val="0"/>
              <w:jc w:val="center"/>
              <w:rPr>
                <w:rFonts w:eastAsia="宋体"/>
                <w:kern w:val="0"/>
                <w:sz w:val="24"/>
              </w:rPr>
            </w:pPr>
          </w:p>
        </w:tc>
        <w:tc>
          <w:tcPr>
            <w:tcW w:w="4611" w:type="pct"/>
          </w:tcPr>
          <w:p w14:paraId="7B0DE97F">
            <w:pPr>
              <w:pStyle w:val="3"/>
              <w:ind w:firstLine="482"/>
              <w:rPr>
                <w:rFonts w:hint="default" w:eastAsia="宋体"/>
                <w:b/>
                <w:bCs/>
                <w:lang w:val="en-US" w:eastAsia="zh-CN"/>
              </w:rPr>
            </w:pPr>
            <w:r>
              <w:rPr>
                <w:rFonts w:hint="eastAsia" w:eastAsia="宋体"/>
                <w:b w:val="0"/>
                <w:bCs w:val="0"/>
              </w:rPr>
              <w:t>①</w:t>
            </w:r>
            <w:r>
              <w:rPr>
                <w:rFonts w:hint="eastAsia" w:eastAsia="宋体"/>
                <w:b w:val="0"/>
                <w:bCs w:val="0"/>
                <w:lang w:eastAsia="zh-CN"/>
              </w:rPr>
              <w:t>钻</w:t>
            </w:r>
            <w:r>
              <w:rPr>
                <w:rFonts w:hint="eastAsia" w:eastAsia="宋体"/>
                <w:b w:val="0"/>
                <w:bCs w:val="0"/>
                <w:lang w:val="en-US" w:eastAsia="zh-CN"/>
              </w:rPr>
              <w:t>井</w:t>
            </w:r>
          </w:p>
          <w:p w14:paraId="2D14A0D5">
            <w:pPr>
              <w:pStyle w:val="3"/>
              <w:ind w:firstLine="482"/>
              <w:rPr>
                <w:rFonts w:eastAsia="宋体"/>
                <w:color w:val="FF0000"/>
              </w:rPr>
            </w:pPr>
            <w:r>
              <w:rPr>
                <w:rFonts w:eastAsia="宋体"/>
                <w:b/>
                <w:bCs/>
              </w:rPr>
              <w:t>本项目</w:t>
            </w:r>
            <w:r>
              <w:rPr>
                <w:rFonts w:hint="eastAsia" w:eastAsia="宋体"/>
                <w:b/>
                <w:bCs/>
                <w:lang w:val="en-US" w:eastAsia="zh-CN"/>
              </w:rPr>
              <w:t>各井场</w:t>
            </w:r>
            <w:r>
              <w:rPr>
                <w:rFonts w:hint="eastAsia" w:eastAsia="宋体"/>
                <w:b/>
                <w:bCs/>
              </w:rPr>
              <w:t>一次开钻和二次开钻采用水基泥浆。</w:t>
            </w:r>
          </w:p>
          <w:p w14:paraId="6D601014">
            <w:pPr>
              <w:pStyle w:val="3"/>
              <w:ind w:firstLine="480"/>
              <w:rPr>
                <w:rFonts w:eastAsia="宋体"/>
              </w:rPr>
            </w:pPr>
            <w:r>
              <w:rPr>
                <w:rFonts w:eastAsia="宋体"/>
              </w:rPr>
              <w:t>钻井工程依托当地电网，</w:t>
            </w:r>
            <w:r>
              <w:rPr>
                <w:rFonts w:hint="eastAsia" w:eastAsia="宋体"/>
              </w:rPr>
              <w:t>应急状态情况下</w:t>
            </w:r>
            <w:r>
              <w:rPr>
                <w:rFonts w:eastAsia="宋体"/>
              </w:rPr>
              <w:t>则使用柴油发电机。</w:t>
            </w:r>
            <w:r>
              <w:rPr>
                <w:rFonts w:hint="eastAsia" w:eastAsia="宋体"/>
                <w:lang w:val="en-US" w:eastAsia="zh-CN"/>
              </w:rPr>
              <w:t>柴油发电过程中产生少量的柴油燃烧废气，由于当地电网供电稳定，极少数出现停电的情况，预计本项目只会产生极少量的柴油燃烧废气，因此不予定量评价。</w:t>
            </w:r>
            <w:r>
              <w:rPr>
                <w:rFonts w:eastAsia="宋体"/>
              </w:rPr>
              <w:t>钻机以电机为动力，通过转盘带动钻杆切削地层，同时将钻井液泵入钻杆注入井内高压冲刷井底地层，将切削下的岩屑经钻杆外环空不断地带入地面，经</w:t>
            </w:r>
            <w:r>
              <w:rPr>
                <w:rFonts w:hint="eastAsia" w:eastAsia="宋体"/>
              </w:rPr>
              <w:t>泥浆四级固控系统和泥浆不落地设备对泥浆</w:t>
            </w:r>
            <w:r>
              <w:rPr>
                <w:rFonts w:eastAsia="宋体"/>
              </w:rPr>
              <w:t>进行</w:t>
            </w:r>
            <w:r>
              <w:rPr>
                <w:rFonts w:hint="eastAsia" w:eastAsia="宋体"/>
              </w:rPr>
              <w:t>固液</w:t>
            </w:r>
            <w:r>
              <w:rPr>
                <w:rFonts w:eastAsia="宋体"/>
              </w:rPr>
              <w:t>分离处理，钻井液重复利用于后续钻井，使整个钻井过程得以循环进行，使井身不断加深，直至钻至目的层。钻井作业为24h连续作业，钻井中途会停钻，以便起下钻具更换钻头、固井和设备检修。</w:t>
            </w:r>
          </w:p>
          <w:p w14:paraId="04B99C28">
            <w:pPr>
              <w:pStyle w:val="3"/>
              <w:ind w:firstLine="480"/>
              <w:rPr>
                <w:rFonts w:eastAsia="宋体"/>
              </w:rPr>
            </w:pPr>
            <w:r>
              <w:rPr>
                <w:rFonts w:eastAsia="宋体"/>
              </w:rPr>
              <w:t>钻井期间钻井液在井筒和地面间循环，将钻头切削下的岩屑带至地面，同时钻井液还可以预防漏失、保证井壁稳定，预防卡钻以及保护油气层。</w:t>
            </w:r>
          </w:p>
          <w:p w14:paraId="6417F4D6">
            <w:pPr>
              <w:pStyle w:val="3"/>
              <w:ind w:firstLine="480"/>
              <w:rPr>
                <w:rFonts w:eastAsia="宋体"/>
              </w:rPr>
            </w:pPr>
            <w:r>
              <w:rPr>
                <w:rFonts w:eastAsia="宋体"/>
              </w:rPr>
              <w:t>钻井过程中会产生钻井平台冲洗及</w:t>
            </w:r>
            <w:r>
              <w:rPr>
                <w:rFonts w:hint="eastAsia" w:eastAsia="宋体"/>
              </w:rPr>
              <w:t>废弃</w:t>
            </w:r>
            <w:r>
              <w:rPr>
                <w:rFonts w:eastAsia="宋体"/>
              </w:rPr>
              <w:t>钻井液产生的</w:t>
            </w:r>
            <w:r>
              <w:rPr>
                <w:rFonts w:hint="eastAsia" w:eastAsia="宋体"/>
              </w:rPr>
              <w:t>不可回用的</w:t>
            </w:r>
            <w:r>
              <w:rPr>
                <w:rFonts w:eastAsia="宋体"/>
              </w:rPr>
              <w:t>钻井废水；钻井过程产生的</w:t>
            </w:r>
            <w:r>
              <w:rPr>
                <w:rFonts w:hint="eastAsia" w:eastAsia="宋体"/>
              </w:rPr>
              <w:t>废弃</w:t>
            </w:r>
            <w:r>
              <w:rPr>
                <w:rFonts w:eastAsia="宋体"/>
              </w:rPr>
              <w:t>钻井泥浆和岩屑；钻井过程产生的钻井噪声。</w:t>
            </w:r>
          </w:p>
          <w:p w14:paraId="18DFAD75">
            <w:pPr>
              <w:pStyle w:val="3"/>
              <w:bidi w:val="0"/>
              <w:rPr>
                <w:rFonts w:hint="eastAsia" w:eastAsia="宋体"/>
                <w:lang w:eastAsia="zh-CN"/>
              </w:rPr>
            </w:pPr>
            <w:r>
              <w:rPr>
                <w:rFonts w:hint="eastAsia" w:eastAsia="宋体"/>
              </w:rPr>
              <w:t>②</w:t>
            </w:r>
            <w:r>
              <w:rPr>
                <w:rFonts w:hint="eastAsia" w:eastAsia="宋体"/>
                <w:lang w:eastAsia="zh-CN"/>
              </w:rPr>
              <w:t>固井</w:t>
            </w:r>
          </w:p>
          <w:p w14:paraId="6084CE20">
            <w:pPr>
              <w:pStyle w:val="3"/>
              <w:ind w:firstLine="480"/>
              <w:rPr>
                <w:rFonts w:eastAsia="宋体"/>
              </w:rPr>
            </w:pPr>
            <w:r>
              <w:rPr>
                <w:rFonts w:eastAsia="宋体"/>
              </w:rPr>
              <w:t>固井是在已钻成的井眼内下入钢制套管，然后在套管与井壁之间空隙内注入水泥浆，将套管和地层固结在一起的工艺过程。目的是防止井下复杂情况，保证安全继续钻进下一段井眼，同时封隔发达地下水系，防止钻井液漏失。</w:t>
            </w:r>
            <w:r>
              <w:rPr>
                <w:rFonts w:hint="eastAsia" w:eastAsia="宋体"/>
              </w:rPr>
              <w:t>固井作业主要包括下套管和注固井液两个过程</w:t>
            </w:r>
            <w:r>
              <w:rPr>
                <w:rFonts w:eastAsia="宋体"/>
              </w:rPr>
              <w:t>。固井现场施工前根据实际情况要作固井液配方及性能复核试验，若钻进中井漏严重，则应考虑采用双凝水泥浆体系固井，从而提高固井质量，防止因为井漏事故造成地下水环境污染。</w:t>
            </w:r>
          </w:p>
          <w:p w14:paraId="14EEF19F">
            <w:pPr>
              <w:pStyle w:val="3"/>
              <w:ind w:firstLine="480"/>
              <w:rPr>
                <w:rFonts w:hint="eastAsia" w:eastAsia="宋体"/>
                <w:lang w:val="en-US" w:eastAsia="zh-CN"/>
              </w:rPr>
            </w:pPr>
            <w:r>
              <w:rPr>
                <w:rFonts w:eastAsia="宋体"/>
              </w:rPr>
              <w:fldChar w:fldCharType="begin"/>
            </w:r>
            <w:r>
              <w:rPr>
                <w:rFonts w:eastAsia="宋体"/>
              </w:rPr>
              <w:instrText xml:space="preserve"> = 3 \* GB3 \* MERGEFORMAT </w:instrText>
            </w:r>
            <w:r>
              <w:rPr>
                <w:rFonts w:eastAsia="宋体"/>
              </w:rPr>
              <w:fldChar w:fldCharType="separate"/>
            </w:r>
            <w:r>
              <w:t>③</w:t>
            </w:r>
            <w:r>
              <w:rPr>
                <w:rFonts w:eastAsia="宋体"/>
              </w:rPr>
              <w:fldChar w:fldCharType="end"/>
            </w:r>
            <w:r>
              <w:rPr>
                <w:rFonts w:hint="eastAsia" w:eastAsia="宋体"/>
                <w:lang w:val="en-US" w:eastAsia="zh-CN"/>
              </w:rPr>
              <w:t>钻井取芯</w:t>
            </w:r>
          </w:p>
          <w:p w14:paraId="3E5AF8FA">
            <w:pPr>
              <w:pStyle w:val="3"/>
              <w:ind w:firstLine="480"/>
              <w:rPr>
                <w:rFonts w:hint="eastAsia" w:eastAsia="宋体"/>
                <w:lang w:val="en-US" w:eastAsia="zh-CN"/>
              </w:rPr>
            </w:pPr>
            <w:r>
              <w:rPr>
                <w:rFonts w:hint="eastAsia" w:eastAsia="宋体"/>
                <w:lang w:val="en-US" w:eastAsia="zh-CN"/>
              </w:rPr>
              <w:t>将取芯桶接在钻杆靠近钻头的的底端，取芯切割头切割进入地层后，可用取芯桶连续取芯，然后从钻杆里连续取出。取芯的目的为：1、发现油气层，油气情况与储集特征，并确定油气层岩性、物性、厚度、面积等基础数据；2、建立地层剖面，研究岩相特征；3、了解岩性与电性关系。</w:t>
            </w:r>
          </w:p>
        </w:tc>
      </w:tr>
      <w:tr w14:paraId="572A3C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9" w:hRule="atLeast"/>
          <w:jc w:val="center"/>
        </w:trPr>
        <w:tc>
          <w:tcPr>
            <w:tcW w:w="388" w:type="pct"/>
            <w:vMerge w:val="continue"/>
            <w:vAlign w:val="center"/>
          </w:tcPr>
          <w:p w14:paraId="61F1B44F">
            <w:pPr>
              <w:adjustRightInd w:val="0"/>
              <w:snapToGrid w:val="0"/>
              <w:jc w:val="center"/>
              <w:rPr>
                <w:rFonts w:eastAsia="宋体"/>
                <w:kern w:val="0"/>
                <w:sz w:val="24"/>
              </w:rPr>
            </w:pPr>
          </w:p>
        </w:tc>
        <w:tc>
          <w:tcPr>
            <w:tcW w:w="4611" w:type="pct"/>
          </w:tcPr>
          <w:p w14:paraId="7FE7A5F5">
            <w:pPr>
              <w:pStyle w:val="3"/>
              <w:keepNext w:val="0"/>
              <w:keepLines w:val="0"/>
              <w:pageBreakBefore w:val="0"/>
              <w:widowControl/>
              <w:kinsoku/>
              <w:wordWrap/>
              <w:overflowPunct/>
              <w:topLinePunct w:val="0"/>
              <w:autoSpaceDE/>
              <w:autoSpaceDN/>
              <w:bidi w:val="0"/>
              <w:adjustRightInd/>
              <w:snapToGrid/>
              <w:spacing w:line="430" w:lineRule="exact"/>
              <w:ind w:firstLine="480"/>
              <w:textAlignment w:val="auto"/>
              <w:rPr>
                <w:rFonts w:hint="eastAsia" w:eastAsia="宋体"/>
                <w:lang w:val="en-US" w:eastAsia="zh-CN"/>
              </w:rPr>
            </w:pPr>
            <w:r>
              <w:rPr>
                <w:rFonts w:hint="eastAsia" w:eastAsia="宋体"/>
                <w:lang w:val="en-US" w:eastAsia="zh-CN"/>
              </w:rPr>
              <w:fldChar w:fldCharType="begin"/>
            </w:r>
            <w:r>
              <w:rPr>
                <w:rFonts w:hint="eastAsia" w:eastAsia="宋体"/>
                <w:lang w:val="en-US" w:eastAsia="zh-CN"/>
              </w:rPr>
              <w:instrText xml:space="preserve"> = 4 \* GB3 \* MERGEFORMAT </w:instrText>
            </w:r>
            <w:r>
              <w:rPr>
                <w:rFonts w:hint="eastAsia" w:eastAsia="宋体"/>
                <w:lang w:val="en-US" w:eastAsia="zh-CN"/>
              </w:rPr>
              <w:fldChar w:fldCharType="separate"/>
            </w:r>
            <w:r>
              <w:t>④</w:t>
            </w:r>
            <w:r>
              <w:rPr>
                <w:rFonts w:hint="eastAsia" w:eastAsia="宋体"/>
                <w:lang w:val="en-US" w:eastAsia="zh-CN"/>
              </w:rPr>
              <w:fldChar w:fldCharType="end"/>
            </w:r>
            <w:r>
              <w:rPr>
                <w:rFonts w:hint="eastAsia" w:eastAsia="宋体"/>
                <w:lang w:val="en-US" w:eastAsia="zh-CN"/>
              </w:rPr>
              <w:t>录井、测井</w:t>
            </w:r>
          </w:p>
          <w:p w14:paraId="7CDD9645">
            <w:pPr>
              <w:pStyle w:val="3"/>
              <w:keepNext w:val="0"/>
              <w:keepLines w:val="0"/>
              <w:pageBreakBefore w:val="0"/>
              <w:widowControl/>
              <w:kinsoku/>
              <w:wordWrap/>
              <w:overflowPunct/>
              <w:topLinePunct w:val="0"/>
              <w:autoSpaceDE/>
              <w:autoSpaceDN/>
              <w:bidi w:val="0"/>
              <w:adjustRightInd/>
              <w:snapToGrid/>
              <w:spacing w:line="430" w:lineRule="exact"/>
              <w:ind w:firstLine="480"/>
              <w:textAlignment w:val="auto"/>
              <w:rPr>
                <w:rFonts w:hint="eastAsia" w:eastAsia="宋体"/>
                <w:lang w:val="en-US" w:eastAsia="zh-CN"/>
              </w:rPr>
            </w:pPr>
            <w:r>
              <w:rPr>
                <w:rFonts w:hint="eastAsia" w:eastAsia="宋体"/>
                <w:lang w:val="en-US" w:eastAsia="zh-CN"/>
              </w:rPr>
              <w:t>录井：钻井到一定深度，用岩矿分析、地球化学、地球物理等方法，观察、采集、记录、分析随钻过程中的固体、液体等井筒返回物信息，以此建立录井地质剖面、发现油气显示、评价油气层，该过程称为录井。录井功能是根据现场录井数据及综合分析数据进行岩性解释、归位，确定含油、气、水的产量状况。</w:t>
            </w:r>
          </w:p>
          <w:p w14:paraId="52B67D5B">
            <w:pPr>
              <w:pStyle w:val="3"/>
              <w:keepNext w:val="0"/>
              <w:keepLines w:val="0"/>
              <w:pageBreakBefore w:val="0"/>
              <w:widowControl/>
              <w:kinsoku/>
              <w:wordWrap/>
              <w:overflowPunct/>
              <w:topLinePunct w:val="0"/>
              <w:autoSpaceDE/>
              <w:autoSpaceDN/>
              <w:bidi w:val="0"/>
              <w:adjustRightInd/>
              <w:snapToGrid/>
              <w:spacing w:line="430" w:lineRule="exact"/>
              <w:ind w:firstLine="480"/>
              <w:textAlignment w:val="auto"/>
              <w:rPr>
                <w:rFonts w:eastAsia="宋体"/>
              </w:rPr>
            </w:pPr>
            <w:r>
              <w:rPr>
                <w:rFonts w:hint="eastAsia" w:eastAsia="宋体"/>
                <w:lang w:val="en-US" w:eastAsia="zh-CN"/>
              </w:rPr>
              <w:t>测井：测井是利用专用仪器设备测量岩层的电化学特性、导电特性、声学特性、放射性等地球物理特性，以获取岩层的孔隙度、渗透率以及含油气情况等地层信息。本项目采用Eclips5700以上组合测井系统，对全井段进行电传测井，Eclips5700测井系统分为地面装备（井下电传信号收集设备、计算机分析终端组成）、电缆、井下仪器（地层微电阻率扫描仪、偶极横波声波、超声波成像仪、地震成像仪、地层动态检测仪、方位电阻率成像、核孔隙度岩性仪、自然伽马测井、阵列声波仪等）。</w:t>
            </w:r>
          </w:p>
          <w:p w14:paraId="49E27E92">
            <w:pPr>
              <w:pStyle w:val="3"/>
              <w:keepNext w:val="0"/>
              <w:keepLines w:val="0"/>
              <w:pageBreakBefore w:val="0"/>
              <w:widowControl/>
              <w:kinsoku/>
              <w:wordWrap/>
              <w:overflowPunct/>
              <w:topLinePunct w:val="0"/>
              <w:autoSpaceDE/>
              <w:autoSpaceDN/>
              <w:bidi w:val="0"/>
              <w:adjustRightInd/>
              <w:snapToGrid/>
              <w:spacing w:line="430" w:lineRule="exact"/>
              <w:ind w:firstLine="480" w:firstLineChars="200"/>
              <w:textAlignment w:val="auto"/>
              <w:rPr>
                <w:rFonts w:hint="eastAsia" w:eastAsia="宋体"/>
                <w:lang w:val="en-US" w:eastAsia="zh-CN"/>
              </w:rPr>
            </w:pPr>
            <w:r>
              <w:rPr>
                <w:rFonts w:eastAsia="宋体"/>
              </w:rPr>
              <w:t>（3）完井</w:t>
            </w:r>
            <w:r>
              <w:rPr>
                <w:rFonts w:hint="eastAsia" w:eastAsia="宋体"/>
                <w:lang w:val="en-US" w:eastAsia="zh-CN"/>
              </w:rPr>
              <w:t>工程</w:t>
            </w:r>
          </w:p>
          <w:p w14:paraId="0FD918CA">
            <w:pPr>
              <w:pStyle w:val="3"/>
              <w:keepNext w:val="0"/>
              <w:keepLines w:val="0"/>
              <w:pageBreakBefore w:val="0"/>
              <w:widowControl/>
              <w:kinsoku/>
              <w:wordWrap/>
              <w:overflowPunct/>
              <w:topLinePunct w:val="0"/>
              <w:autoSpaceDE/>
              <w:autoSpaceDN/>
              <w:bidi w:val="0"/>
              <w:adjustRightInd/>
              <w:snapToGrid/>
              <w:spacing w:line="430" w:lineRule="exact"/>
              <w:ind w:firstLine="480"/>
              <w:textAlignment w:val="auto"/>
              <w:rPr>
                <w:rFonts w:hint="eastAsia" w:eastAsia="宋体"/>
              </w:rPr>
            </w:pPr>
            <w:r>
              <w:rPr>
                <w:rFonts w:eastAsia="宋体"/>
              </w:rPr>
              <w:t>当钻至目的层后，对钻井进行完井作业，以取得该井施工段流体性能、测试产能、地层压力等详细工程资料，如目的层中有石油，</w:t>
            </w:r>
            <w:r>
              <w:rPr>
                <w:rFonts w:hint="eastAsia" w:eastAsia="宋体"/>
              </w:rPr>
              <w:t>则</w:t>
            </w:r>
            <w:r>
              <w:rPr>
                <w:rFonts w:eastAsia="宋体"/>
              </w:rPr>
              <w:t>设置简易井口装置，戴好井口护帽点焊牢并标记井号</w:t>
            </w:r>
            <w:r>
              <w:rPr>
                <w:rFonts w:hint="eastAsia" w:eastAsia="宋体"/>
              </w:rPr>
              <w:t>。完井作业主要包括洗井、测井、取芯、通井、下套管、固井、</w:t>
            </w:r>
            <w:r>
              <w:rPr>
                <w:rFonts w:hint="eastAsia" w:eastAsia="宋体"/>
                <w:lang w:val="en-US" w:eastAsia="zh-CN"/>
              </w:rPr>
              <w:t>射孔、</w:t>
            </w:r>
            <w:r>
              <w:rPr>
                <w:rFonts w:hint="eastAsia" w:eastAsia="宋体"/>
              </w:rPr>
              <w:t>设井口装置等过程。</w:t>
            </w:r>
          </w:p>
          <w:p w14:paraId="056D1D36">
            <w:pPr>
              <w:pStyle w:val="3"/>
              <w:keepNext w:val="0"/>
              <w:keepLines w:val="0"/>
              <w:pageBreakBefore w:val="0"/>
              <w:widowControl/>
              <w:kinsoku/>
              <w:wordWrap/>
              <w:overflowPunct/>
              <w:topLinePunct w:val="0"/>
              <w:autoSpaceDE/>
              <w:autoSpaceDN/>
              <w:bidi w:val="0"/>
              <w:adjustRightInd/>
              <w:snapToGrid/>
              <w:spacing w:line="430" w:lineRule="exact"/>
              <w:ind w:firstLine="480"/>
              <w:textAlignment w:val="auto"/>
              <w:rPr>
                <w:rFonts w:hint="eastAsia" w:eastAsia="宋体"/>
                <w:lang w:eastAsia="zh-CN"/>
              </w:rPr>
            </w:pPr>
            <w:r>
              <w:rPr>
                <w:rFonts w:hint="eastAsia" w:eastAsia="宋体"/>
              </w:rPr>
              <w:t>①</w:t>
            </w:r>
            <w:r>
              <w:rPr>
                <w:rFonts w:hint="eastAsia" w:eastAsia="宋体"/>
                <w:lang w:eastAsia="zh-CN"/>
              </w:rPr>
              <w:t>洗井、</w:t>
            </w:r>
            <w:r>
              <w:rPr>
                <w:rFonts w:hint="eastAsia" w:eastAsia="宋体"/>
                <w:lang w:val="en-US" w:eastAsia="zh-CN"/>
              </w:rPr>
              <w:t>电测、取芯</w:t>
            </w:r>
          </w:p>
          <w:p w14:paraId="28FC1BFA">
            <w:pPr>
              <w:pStyle w:val="3"/>
              <w:keepNext w:val="0"/>
              <w:keepLines w:val="0"/>
              <w:pageBreakBefore w:val="0"/>
              <w:widowControl/>
              <w:kinsoku/>
              <w:wordWrap/>
              <w:overflowPunct/>
              <w:topLinePunct w:val="0"/>
              <w:autoSpaceDE/>
              <w:autoSpaceDN/>
              <w:bidi w:val="0"/>
              <w:adjustRightInd/>
              <w:snapToGrid/>
              <w:spacing w:line="430" w:lineRule="exact"/>
              <w:ind w:firstLine="480"/>
              <w:textAlignment w:val="auto"/>
              <w:rPr>
                <w:rFonts w:hint="eastAsia" w:eastAsia="宋体"/>
                <w:lang w:eastAsia="zh-CN"/>
              </w:rPr>
            </w:pPr>
            <w:r>
              <w:rPr>
                <w:rFonts w:hint="eastAsia" w:eastAsia="宋体"/>
                <w:lang w:eastAsia="zh-CN"/>
              </w:rPr>
              <w:t>将洗井介质由泵注设备经井筒或钻杆注入，把井筒内的物质（液相、固相、</w:t>
            </w:r>
            <w:r>
              <w:rPr>
                <w:rFonts w:hint="eastAsia" w:eastAsia="宋体"/>
                <w:lang w:eastAsia="zh-CN"/>
              </w:rPr>
              <w:fldChar w:fldCharType="begin"/>
            </w:r>
            <w:r>
              <w:rPr>
                <w:rFonts w:hint="eastAsia"/>
                <w:lang w:eastAsia="zh-CN"/>
              </w:rPr>
              <w:instrText xml:space="preserve"> HYPERLINK "https://baike.so.com/doc/7697335-7971430.html" \t "https://baike.so.com/doc/_blank" </w:instrText>
            </w:r>
            <w:r>
              <w:rPr>
                <w:rFonts w:hint="eastAsia" w:eastAsia="宋体"/>
                <w:lang w:eastAsia="zh-CN"/>
              </w:rPr>
              <w:fldChar w:fldCharType="separate"/>
            </w:r>
            <w:r>
              <w:rPr>
                <w:rFonts w:hint="eastAsia" w:eastAsia="宋体"/>
                <w:lang w:eastAsia="zh-CN"/>
              </w:rPr>
              <w:t>气相</w:t>
            </w:r>
            <w:r>
              <w:rPr>
                <w:rFonts w:hint="eastAsia" w:eastAsia="宋体"/>
                <w:lang w:eastAsia="zh-CN"/>
              </w:rPr>
              <w:fldChar w:fldCharType="end"/>
            </w:r>
            <w:r>
              <w:rPr>
                <w:rFonts w:hint="eastAsia" w:eastAsia="宋体"/>
                <w:lang w:eastAsia="zh-CN"/>
              </w:rPr>
              <w:t>）携带至地面，从而改变井筒内的介质性质达到作业要求的过程。洗井后进行测试，然后使用测井电缆将取心器下入井中，用炸药将取心器打入井壁，取下小块岩石以了解岩石及其中流体性质。</w:t>
            </w:r>
          </w:p>
          <w:p w14:paraId="21981C20">
            <w:pPr>
              <w:pStyle w:val="3"/>
              <w:keepNext w:val="0"/>
              <w:keepLines w:val="0"/>
              <w:pageBreakBefore w:val="0"/>
              <w:widowControl/>
              <w:kinsoku/>
              <w:wordWrap/>
              <w:overflowPunct/>
              <w:topLinePunct w:val="0"/>
              <w:autoSpaceDE/>
              <w:autoSpaceDN/>
              <w:bidi w:val="0"/>
              <w:adjustRightInd/>
              <w:snapToGrid/>
              <w:spacing w:line="430" w:lineRule="exact"/>
              <w:ind w:firstLine="480"/>
              <w:textAlignment w:val="auto"/>
              <w:rPr>
                <w:rFonts w:hint="eastAsia" w:eastAsia="宋体"/>
                <w:lang w:eastAsia="zh-CN"/>
              </w:rPr>
            </w:pPr>
            <w:r>
              <w:rPr>
                <w:rFonts w:hint="eastAsia" w:eastAsia="宋体"/>
                <w:lang w:eastAsia="zh-CN"/>
              </w:rPr>
              <w:t>②通井、</w:t>
            </w:r>
            <w:r>
              <w:rPr>
                <w:rFonts w:hint="eastAsia" w:eastAsia="宋体"/>
                <w:lang w:val="en-US" w:eastAsia="zh-CN"/>
              </w:rPr>
              <w:t>固井、测试</w:t>
            </w:r>
          </w:p>
          <w:p w14:paraId="4C1CFF62">
            <w:pPr>
              <w:pStyle w:val="3"/>
              <w:keepNext w:val="0"/>
              <w:keepLines w:val="0"/>
              <w:pageBreakBefore w:val="0"/>
              <w:widowControl/>
              <w:kinsoku/>
              <w:wordWrap/>
              <w:overflowPunct/>
              <w:topLinePunct w:val="0"/>
              <w:autoSpaceDE/>
              <w:autoSpaceDN/>
              <w:bidi w:val="0"/>
              <w:adjustRightInd/>
              <w:snapToGrid/>
              <w:spacing w:line="430" w:lineRule="exact"/>
              <w:ind w:firstLine="480"/>
              <w:textAlignment w:val="auto"/>
              <w:rPr>
                <w:rFonts w:hint="eastAsia" w:eastAsia="宋体"/>
                <w:lang w:eastAsia="zh-CN"/>
              </w:rPr>
            </w:pPr>
            <w:r>
              <w:rPr>
                <w:rFonts w:hint="eastAsia" w:eastAsia="宋体"/>
                <w:lang w:eastAsia="zh-CN"/>
              </w:rPr>
              <w:t>通井是对井径的检查，能够了解井筒能否顺利下入各种井下工具的一种检测手段。通井完成后，下油层套管，用水泥固井。</w:t>
            </w:r>
          </w:p>
          <w:p w14:paraId="4AFA06A5">
            <w:pPr>
              <w:pStyle w:val="3"/>
              <w:keepNext w:val="0"/>
              <w:keepLines w:val="0"/>
              <w:pageBreakBefore w:val="0"/>
              <w:widowControl/>
              <w:kinsoku/>
              <w:wordWrap/>
              <w:overflowPunct/>
              <w:topLinePunct w:val="0"/>
              <w:autoSpaceDE/>
              <w:autoSpaceDN/>
              <w:bidi w:val="0"/>
              <w:adjustRightInd/>
              <w:snapToGrid/>
              <w:spacing w:line="430" w:lineRule="exact"/>
              <w:ind w:firstLine="480"/>
              <w:textAlignment w:val="auto"/>
              <w:rPr>
                <w:rFonts w:hint="default" w:eastAsia="宋体"/>
                <w:lang w:val="en-US" w:eastAsia="zh-CN"/>
              </w:rPr>
            </w:pPr>
            <w:r>
              <w:rPr>
                <w:rFonts w:hint="eastAsia" w:eastAsia="宋体"/>
                <w:lang w:eastAsia="zh-CN"/>
              </w:rPr>
              <w:fldChar w:fldCharType="begin"/>
            </w:r>
            <w:r>
              <w:rPr>
                <w:rFonts w:hint="eastAsia" w:eastAsia="宋体"/>
                <w:lang w:eastAsia="zh-CN"/>
              </w:rPr>
              <w:instrText xml:space="preserve"> = 3 \* GB3 \* MERGEFORMAT </w:instrText>
            </w:r>
            <w:r>
              <w:rPr>
                <w:rFonts w:hint="eastAsia" w:eastAsia="宋体"/>
                <w:lang w:eastAsia="zh-CN"/>
              </w:rPr>
              <w:fldChar w:fldCharType="separate"/>
            </w:r>
            <w:r>
              <w:t>③</w:t>
            </w:r>
            <w:r>
              <w:rPr>
                <w:rFonts w:hint="eastAsia" w:eastAsia="宋体"/>
                <w:lang w:eastAsia="zh-CN"/>
              </w:rPr>
              <w:fldChar w:fldCharType="end"/>
            </w:r>
            <w:r>
              <w:rPr>
                <w:rFonts w:hint="eastAsia" w:eastAsia="宋体"/>
                <w:lang w:val="en-US" w:eastAsia="zh-CN"/>
              </w:rPr>
              <w:t>射孔</w:t>
            </w:r>
          </w:p>
          <w:p w14:paraId="49595D9C">
            <w:pPr>
              <w:pStyle w:val="3"/>
              <w:keepNext w:val="0"/>
              <w:keepLines w:val="0"/>
              <w:pageBreakBefore w:val="0"/>
              <w:widowControl/>
              <w:kinsoku/>
              <w:wordWrap/>
              <w:overflowPunct/>
              <w:topLinePunct w:val="0"/>
              <w:autoSpaceDE/>
              <w:autoSpaceDN/>
              <w:bidi w:val="0"/>
              <w:adjustRightInd/>
              <w:snapToGrid/>
              <w:spacing w:line="430" w:lineRule="exact"/>
              <w:ind w:firstLine="480"/>
              <w:textAlignment w:val="auto"/>
              <w:rPr>
                <w:rFonts w:eastAsia="宋体"/>
              </w:rPr>
            </w:pPr>
            <w:r>
              <w:rPr>
                <w:rFonts w:eastAsia="宋体"/>
              </w:rPr>
              <w:t>射孔是指下入生产套管封固产层后用射孔弹将套管、水泥环、部分产层射穿，形成油气流通道。射孔孔眼是沟通产层和产油井筒的唯一通道，射孔工艺可以获得更理想的产能。射孔采用电缆输送射孔。</w:t>
            </w:r>
            <w:r>
              <w:rPr>
                <w:rFonts w:hint="eastAsia" w:eastAsia="宋体"/>
                <w:lang w:eastAsia="zh-CN"/>
              </w:rPr>
              <w:t>最后完成井的测试、安装装置等工序。</w:t>
            </w:r>
          </w:p>
          <w:p w14:paraId="54B27CE0">
            <w:pPr>
              <w:pStyle w:val="3"/>
              <w:keepNext w:val="0"/>
              <w:keepLines w:val="0"/>
              <w:pageBreakBefore w:val="0"/>
              <w:widowControl/>
              <w:kinsoku/>
              <w:wordWrap/>
              <w:overflowPunct/>
              <w:topLinePunct w:val="0"/>
              <w:autoSpaceDE/>
              <w:autoSpaceDN/>
              <w:bidi w:val="0"/>
              <w:adjustRightInd/>
              <w:snapToGrid/>
              <w:spacing w:line="430" w:lineRule="exact"/>
              <w:ind w:firstLine="480"/>
              <w:textAlignment w:val="auto"/>
              <w:rPr>
                <w:rFonts w:hint="eastAsia" w:eastAsia="宋体"/>
              </w:rPr>
            </w:pPr>
            <w:r>
              <w:rPr>
                <w:rFonts w:eastAsia="宋体"/>
              </w:rPr>
              <w:t>完井</w:t>
            </w:r>
            <w:r>
              <w:rPr>
                <w:rFonts w:hint="eastAsia" w:eastAsia="宋体"/>
              </w:rPr>
              <w:t>过程</w:t>
            </w:r>
            <w:r>
              <w:rPr>
                <w:rFonts w:eastAsia="宋体"/>
              </w:rPr>
              <w:t>产生洗井废水</w:t>
            </w:r>
            <w:r>
              <w:rPr>
                <w:rFonts w:hint="eastAsia" w:eastAsia="宋体"/>
              </w:rPr>
              <w:t>、完井</w:t>
            </w:r>
            <w:r>
              <w:rPr>
                <w:rFonts w:eastAsia="宋体"/>
              </w:rPr>
              <w:t>噪声。</w:t>
            </w:r>
          </w:p>
          <w:p w14:paraId="7510EA5F">
            <w:pPr>
              <w:pStyle w:val="3"/>
              <w:ind w:firstLine="480"/>
              <w:jc w:val="center"/>
              <w:rPr>
                <w:rFonts w:hAnsi="宋体" w:eastAsia="宋体"/>
                <w:sz w:val="24"/>
              </w:rPr>
            </w:pPr>
            <w:r>
              <w:object>
                <v:shape id="_x0000_i1027" o:spt="75" type="#_x0000_t75" style="height:328.1pt;width:94.5pt;" o:ole="t" filled="f" o:preferrelative="t" stroked="f" coordsize="21600,21600">
                  <v:path/>
                  <v:fill on="f" focussize="0,0"/>
                  <v:stroke on="f"/>
                  <v:imagedata r:id="rId12" o:title=""/>
                  <o:lock v:ext="edit" aspectratio="f"/>
                  <w10:wrap type="none"/>
                  <w10:anchorlock/>
                </v:shape>
                <o:OLEObject Type="Embed" ProgID="Visio.Drawing.15" ShapeID="_x0000_i1027" DrawAspect="Content" ObjectID="_1468075727" r:id="rId11">
                  <o:LockedField>false</o:LockedField>
                </o:OLEObject>
              </w:object>
            </w:r>
          </w:p>
          <w:p w14:paraId="09CD153F">
            <w:pPr>
              <w:pStyle w:val="16"/>
              <w:bidi w:val="0"/>
              <w:rPr>
                <w:rFonts w:eastAsia="宋体"/>
              </w:rPr>
            </w:pPr>
            <w:r>
              <w:rPr>
                <w:rFonts w:hint="eastAsia" w:eastAsia="宋体"/>
                <w:color w:val="000000" w:themeColor="text1"/>
                <w14:textFill>
                  <w14:solidFill>
                    <w14:schemeClr w14:val="tx1"/>
                  </w14:solidFill>
                </w14:textFill>
              </w:rPr>
              <w:t>图2-4  完井</w:t>
            </w:r>
            <w:r>
              <w:rPr>
                <w:rFonts w:hint="eastAsia" w:eastAsia="宋体"/>
                <w:color w:val="000000" w:themeColor="text1"/>
                <w:lang w:val="en-US" w:eastAsia="zh-CN"/>
                <w14:textFill>
                  <w14:solidFill>
                    <w14:schemeClr w14:val="tx1"/>
                  </w14:solidFill>
                </w14:textFill>
              </w:rPr>
              <w:t>工程</w:t>
            </w:r>
            <w:r>
              <w:rPr>
                <w:rFonts w:hint="eastAsia" w:eastAsia="宋体"/>
                <w:color w:val="000000" w:themeColor="text1"/>
                <w14:textFill>
                  <w14:solidFill>
                    <w14:schemeClr w14:val="tx1"/>
                  </w14:solidFill>
                </w14:textFill>
              </w:rPr>
              <w:t>工艺流程</w:t>
            </w:r>
            <w:r>
              <w:rPr>
                <w:rFonts w:hint="eastAsia" w:eastAsia="宋体"/>
                <w:color w:val="000000" w:themeColor="text1"/>
                <w:lang w:val="en-US" w:eastAsia="zh-CN"/>
                <w14:textFill>
                  <w14:solidFill>
                    <w14:schemeClr w14:val="tx1"/>
                  </w14:solidFill>
                </w14:textFill>
              </w:rPr>
              <w:t>图</w:t>
            </w:r>
          </w:p>
          <w:p w14:paraId="3A97BDBF">
            <w:pPr>
              <w:pStyle w:val="3"/>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eastAsia="宋体"/>
              </w:rPr>
            </w:pPr>
            <w:r>
              <w:rPr>
                <w:rFonts w:eastAsia="宋体"/>
              </w:rPr>
              <w:t>（4）</w:t>
            </w:r>
            <w:r>
              <w:rPr>
                <w:rFonts w:hint="eastAsia" w:eastAsia="宋体"/>
              </w:rPr>
              <w:t>压裂</w:t>
            </w:r>
          </w:p>
          <w:p w14:paraId="6DB95F03">
            <w:pPr>
              <w:pStyle w:val="3"/>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eastAsia="宋体"/>
              </w:rPr>
            </w:pPr>
            <w:r>
              <w:rPr>
                <w:rFonts w:eastAsia="宋体"/>
              </w:rPr>
              <w:t>射孔后，为提高产层的渗透能力，需实施压裂作业。本工程采用水力压裂，利用地面压裂车组将一定粘度的液体以足够高的压力和足够大的排量沿</w:t>
            </w:r>
            <w:r>
              <w:rPr>
                <w:rFonts w:hint="eastAsia" w:eastAsia="宋体"/>
              </w:rPr>
              <w:t>井筒</w:t>
            </w:r>
            <w:r>
              <w:rPr>
                <w:rFonts w:eastAsia="宋体"/>
              </w:rPr>
              <w:t>注入井中。由于注入速度远远大于油气层的吸收速度，所以多余的液体在井底憋起高压，当压力超过岩石抗张强度后，油气层就会开始破裂形成裂缝。当裂缝延伸一段时间后，继续注入携带有支撑剂的混</w:t>
            </w:r>
            <w:r>
              <w:rPr>
                <w:rFonts w:hint="eastAsia" w:eastAsia="宋体"/>
              </w:rPr>
              <w:t>砂</w:t>
            </w:r>
            <w:r>
              <w:rPr>
                <w:rFonts w:eastAsia="宋体"/>
              </w:rPr>
              <w:t>液扩展延伸裂缝，并使之充填支撑剂。施工完成后，由于支撑剂的支撑作用，裂缝不致闭合或至少不完全闭合，因此即可在油气层中形成一条具有足够长度、宽度和高度的填砂裂缝。此裂缝具有很高的渗滤能力，并且扩大了</w:t>
            </w:r>
            <w:r>
              <w:rPr>
                <w:rFonts w:hint="eastAsia" w:eastAsia="宋体"/>
              </w:rPr>
              <w:t>。</w:t>
            </w:r>
            <w:r>
              <w:rPr>
                <w:rFonts w:eastAsia="宋体"/>
              </w:rPr>
              <w:t>油气水的渗滤面积，故油气可畅流入井，注入水可沿裂缝顺利进入地层，从而达到增产增注的目的。</w:t>
            </w:r>
          </w:p>
          <w:p w14:paraId="64CD7752">
            <w:pPr>
              <w:pStyle w:val="3"/>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eastAsia="宋体"/>
              </w:rPr>
            </w:pPr>
            <w:r>
              <w:rPr>
                <w:rFonts w:eastAsia="宋体"/>
              </w:rPr>
              <w:t>压裂过程产生压裂废水、噪声。</w:t>
            </w:r>
          </w:p>
          <w:p w14:paraId="7E5D9467">
            <w:pPr>
              <w:pStyle w:val="3"/>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hint="eastAsia" w:eastAsia="宋体"/>
                <w:lang w:eastAsia="zh-CN"/>
              </w:rPr>
            </w:pPr>
            <w:r>
              <w:rPr>
                <w:rFonts w:eastAsia="宋体"/>
              </w:rPr>
              <w:t>（</w:t>
            </w:r>
            <w:r>
              <w:rPr>
                <w:rFonts w:hint="eastAsia" w:eastAsia="宋体"/>
              </w:rPr>
              <w:t>5</w:t>
            </w:r>
            <w:r>
              <w:rPr>
                <w:rFonts w:eastAsia="宋体"/>
              </w:rPr>
              <w:t>）</w:t>
            </w:r>
            <w:r>
              <w:rPr>
                <w:rFonts w:hint="eastAsia" w:eastAsia="宋体"/>
              </w:rPr>
              <w:t>试</w:t>
            </w:r>
            <w:r>
              <w:rPr>
                <w:rFonts w:hint="eastAsia" w:eastAsia="宋体"/>
                <w:lang w:val="en-US" w:eastAsia="zh-CN"/>
              </w:rPr>
              <w:t>采</w:t>
            </w:r>
          </w:p>
          <w:p w14:paraId="655F7611">
            <w:pPr>
              <w:pStyle w:val="3"/>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hint="eastAsia" w:eastAsia="宋体"/>
                <w:lang w:val="en-US" w:eastAsia="zh-CN"/>
              </w:rPr>
            </w:pPr>
            <w:r>
              <w:rPr>
                <w:rFonts w:eastAsia="宋体"/>
              </w:rPr>
              <w:t>一口井完钻后即移交</w:t>
            </w:r>
            <w:r>
              <w:rPr>
                <w:rFonts w:hint="eastAsia" w:eastAsia="宋体"/>
              </w:rPr>
              <w:t>试采</w:t>
            </w:r>
            <w:r>
              <w:rPr>
                <w:rFonts w:eastAsia="宋体"/>
              </w:rPr>
              <w:t>，</w:t>
            </w:r>
            <w:r>
              <w:rPr>
                <w:rFonts w:hint="eastAsia" w:eastAsia="宋体"/>
              </w:rPr>
              <w:t>试</w:t>
            </w:r>
            <w:r>
              <w:rPr>
                <w:rFonts w:hint="eastAsia" w:eastAsia="宋体"/>
                <w:lang w:val="en-US" w:eastAsia="zh-CN"/>
              </w:rPr>
              <w:t>采</w:t>
            </w:r>
            <w:r>
              <w:rPr>
                <w:rFonts w:eastAsia="宋体"/>
              </w:rPr>
              <w:t>队接到</w:t>
            </w:r>
            <w:r>
              <w:rPr>
                <w:rFonts w:hint="eastAsia" w:eastAsia="宋体"/>
              </w:rPr>
              <w:t>试采</w:t>
            </w:r>
            <w:r>
              <w:rPr>
                <w:rFonts w:eastAsia="宋体"/>
              </w:rPr>
              <w:t>方案，首先必须做好井况调查，待立井架、穿大绳、接管线</w:t>
            </w:r>
            <w:r>
              <w:rPr>
                <w:rFonts w:hint="eastAsia" w:eastAsia="宋体"/>
              </w:rPr>
              <w:t>、</w:t>
            </w:r>
            <w:r>
              <w:rPr>
                <w:rFonts w:eastAsia="宋体"/>
              </w:rPr>
              <w:t>放丈量油管等准备工作之后，就可以</w:t>
            </w:r>
          </w:p>
        </w:tc>
      </w:tr>
      <w:tr w14:paraId="6295CF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9" w:hRule="atLeast"/>
          <w:jc w:val="center"/>
        </w:trPr>
        <w:tc>
          <w:tcPr>
            <w:tcW w:w="388" w:type="pct"/>
            <w:vMerge w:val="continue"/>
            <w:vAlign w:val="center"/>
          </w:tcPr>
          <w:p w14:paraId="208EAEBE">
            <w:pPr>
              <w:adjustRightInd w:val="0"/>
              <w:snapToGrid w:val="0"/>
              <w:jc w:val="center"/>
              <w:rPr>
                <w:rFonts w:eastAsia="宋体"/>
                <w:kern w:val="0"/>
                <w:sz w:val="24"/>
              </w:rPr>
            </w:pPr>
          </w:p>
        </w:tc>
        <w:tc>
          <w:tcPr>
            <w:tcW w:w="4611" w:type="pct"/>
          </w:tcPr>
          <w:p w14:paraId="008B7F17">
            <w:pPr>
              <w:pStyle w:val="3"/>
              <w:keepNext w:val="0"/>
              <w:keepLines w:val="0"/>
              <w:pageBreakBefore w:val="0"/>
              <w:widowControl/>
              <w:kinsoku/>
              <w:wordWrap/>
              <w:overflowPunct/>
              <w:topLinePunct w:val="0"/>
              <w:autoSpaceDE/>
              <w:autoSpaceDN/>
              <w:bidi w:val="0"/>
              <w:adjustRightInd/>
              <w:snapToGrid/>
              <w:spacing w:line="440" w:lineRule="exact"/>
              <w:ind w:left="0" w:leftChars="0" w:firstLine="0" w:firstLineChars="0"/>
              <w:textAlignment w:val="auto"/>
              <w:rPr>
                <w:rFonts w:hint="eastAsia" w:eastAsia="宋体"/>
                <w:lang w:val="en-US" w:eastAsia="zh-CN"/>
              </w:rPr>
            </w:pPr>
            <w:r>
              <w:rPr>
                <w:rFonts w:eastAsia="宋体"/>
              </w:rPr>
              <w:t>开始施工。</w:t>
            </w:r>
            <w:r>
              <w:rPr>
                <w:rFonts w:hint="eastAsia" w:eastAsia="宋体"/>
              </w:rPr>
              <w:t>试采</w:t>
            </w:r>
            <w:r>
              <w:rPr>
                <w:rFonts w:hint="eastAsia" w:eastAsia="宋体"/>
                <w:lang w:val="en-US" w:eastAsia="zh-CN"/>
              </w:rPr>
              <w:t>人员在地面安装</w:t>
            </w:r>
            <w:r>
              <w:rPr>
                <w:rFonts w:hint="eastAsia" w:eastAsia="宋体"/>
              </w:rPr>
              <w:t>试采</w:t>
            </w:r>
            <w:r>
              <w:rPr>
                <w:rFonts w:hint="eastAsia" w:eastAsia="宋体"/>
                <w:lang w:val="en-US" w:eastAsia="zh-CN"/>
              </w:rPr>
              <w:t>架，打开井口，在井口安装采油树，利用通井规对油管进行通井。通井后在井下安装抽吸泵，将井筒内的流体输送地面，经两相分离器分离，液体采出物在储罐内暂存，气体经管道输送至井口集气罐收集。根据一段时间内的采出量计算油气产量。</w:t>
            </w:r>
            <w:r>
              <w:rPr>
                <w:rFonts w:hint="eastAsia" w:eastAsia="宋体"/>
              </w:rPr>
              <w:t>试采</w:t>
            </w:r>
            <w:r>
              <w:rPr>
                <w:rFonts w:hint="eastAsia" w:eastAsia="宋体"/>
                <w:lang w:val="en-US" w:eastAsia="zh-CN"/>
              </w:rPr>
              <w:t>结束后，具有开采价值的井口保留采油树，试采报废井口拆除试采设备。</w:t>
            </w:r>
          </w:p>
          <w:p w14:paraId="4D166C09">
            <w:pPr>
              <w:pStyle w:val="3"/>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hint="eastAsia" w:eastAsia="宋体"/>
                <w:lang w:val="en-US" w:eastAsia="zh-CN"/>
              </w:rPr>
            </w:pPr>
            <w:r>
              <w:rPr>
                <w:rFonts w:hint="eastAsia" w:eastAsia="宋体"/>
              </w:rPr>
              <w:t>试采</w:t>
            </w:r>
            <w:r>
              <w:rPr>
                <w:rFonts w:hint="eastAsia" w:eastAsia="宋体"/>
                <w:lang w:val="en-US" w:eastAsia="zh-CN"/>
              </w:rPr>
              <w:t>过程中，由井口接密闭的管线进入储罐。整个</w:t>
            </w:r>
            <w:r>
              <w:rPr>
                <w:rFonts w:hint="eastAsia" w:eastAsia="宋体"/>
              </w:rPr>
              <w:t>试采</w:t>
            </w:r>
            <w:r>
              <w:rPr>
                <w:rFonts w:hint="eastAsia" w:eastAsia="宋体"/>
                <w:lang w:val="en-US" w:eastAsia="zh-CN"/>
              </w:rPr>
              <w:t>过程中，严禁井筒出来的流体散落到地面，正常工况下不会产生落地油。</w:t>
            </w:r>
          </w:p>
          <w:p w14:paraId="027E18AD">
            <w:pPr>
              <w:pStyle w:val="3"/>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eastAsia="宋体"/>
                <w:color w:val="000000" w:themeColor="text1"/>
                <w14:textFill>
                  <w14:solidFill>
                    <w14:schemeClr w14:val="tx1"/>
                  </w14:solidFill>
                </w14:textFill>
              </w:rPr>
            </w:pPr>
            <w:r>
              <w:rPr>
                <w:rFonts w:hint="eastAsia" w:eastAsia="宋体"/>
              </w:rPr>
              <w:t>（6）</w:t>
            </w:r>
            <w:r>
              <w:rPr>
                <w:rFonts w:hint="eastAsia" w:eastAsia="宋体"/>
                <w:lang w:val="en-US" w:eastAsia="zh-CN"/>
              </w:rPr>
              <w:t>封井作业</w:t>
            </w:r>
            <w:r>
              <w:rPr>
                <w:rFonts w:hint="eastAsia" w:eastAsia="宋体"/>
                <w:color w:val="000000" w:themeColor="text1"/>
                <w:lang w:val="en-US" w:eastAsia="zh-CN"/>
                <w14:textFill>
                  <w14:solidFill>
                    <w14:schemeClr w14:val="tx1"/>
                  </w14:solidFill>
                </w14:textFill>
              </w:rPr>
              <w:t>和复垦</w:t>
            </w:r>
          </w:p>
          <w:p w14:paraId="62536119">
            <w:pPr>
              <w:pStyle w:val="3"/>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hint="eastAsia" w:eastAsia="宋体"/>
              </w:rPr>
            </w:pPr>
            <w:r>
              <w:rPr>
                <w:rFonts w:eastAsia="宋体"/>
              </w:rPr>
              <w:t>测试完井后，要换装井口装置，其余设施将拆除、搬迁。钻井液材料将全部进行回收，不得遗弃在井场；钻井过程中产生的各类废水拉运处理，废泥浆和岩屑采用不落地工艺</w:t>
            </w:r>
            <w:r>
              <w:rPr>
                <w:rFonts w:hint="eastAsia" w:eastAsia="宋体"/>
              </w:rPr>
              <w:t>处理后</w:t>
            </w:r>
            <w:r>
              <w:rPr>
                <w:rFonts w:eastAsia="宋体"/>
              </w:rPr>
              <w:t>委外</w:t>
            </w:r>
            <w:r>
              <w:rPr>
                <w:rFonts w:hint="eastAsia" w:eastAsia="宋体"/>
              </w:rPr>
              <w:t>处理</w:t>
            </w:r>
            <w:r>
              <w:rPr>
                <w:rFonts w:eastAsia="宋体"/>
              </w:rPr>
              <w:t>。钻井单位负责做到工完、料净、场地清，并对后续可能出现的环保问题负责。若该井无开采价值，</w:t>
            </w:r>
            <w:r>
              <w:rPr>
                <w:rFonts w:hint="eastAsia" w:hAnsi="宋体" w:eastAsia="宋体"/>
              </w:rPr>
              <w:t>则按照苏油分开</w:t>
            </w:r>
            <w:r>
              <w:rPr>
                <w:rFonts w:hint="eastAsia" w:ascii="宋体" w:hAnsi="宋体" w:eastAsia="宋体" w:cs="宋体"/>
              </w:rPr>
              <w:t>〔</w:t>
            </w:r>
            <w:r>
              <w:rPr>
                <w:rFonts w:hint="eastAsia" w:hAnsi="宋体" w:eastAsia="宋体"/>
              </w:rPr>
              <w:t>2020</w:t>
            </w:r>
            <w:r>
              <w:rPr>
                <w:rFonts w:hint="eastAsia" w:ascii="宋体" w:hAnsi="宋体" w:eastAsia="宋体" w:cs="宋体"/>
              </w:rPr>
              <w:t>〕</w:t>
            </w:r>
            <w:r>
              <w:rPr>
                <w:rFonts w:hint="eastAsia" w:hAnsi="宋体" w:eastAsia="宋体"/>
              </w:rPr>
              <w:t>81号《江苏油田井控管理实施细则（试行）》及石化股份油</w:t>
            </w:r>
            <w:r>
              <w:rPr>
                <w:rFonts w:hint="eastAsia" w:ascii="宋体" w:hAnsi="宋体" w:eastAsia="宋体" w:cs="宋体"/>
              </w:rPr>
              <w:t>〔</w:t>
            </w:r>
            <w:r>
              <w:rPr>
                <w:rFonts w:hint="eastAsia" w:hAnsi="宋体" w:eastAsia="宋体"/>
              </w:rPr>
              <w:t>2</w:t>
            </w:r>
            <w:r>
              <w:rPr>
                <w:rFonts w:hAnsi="宋体" w:eastAsia="宋体"/>
              </w:rPr>
              <w:t>016</w:t>
            </w:r>
            <w:r>
              <w:rPr>
                <w:rFonts w:hint="eastAsia" w:ascii="宋体" w:hAnsi="宋体" w:eastAsia="宋体" w:cs="宋体"/>
              </w:rPr>
              <w:t>〕</w:t>
            </w:r>
            <w:r>
              <w:rPr>
                <w:rFonts w:eastAsia="宋体"/>
              </w:rPr>
              <w:t>140</w:t>
            </w:r>
            <w:r>
              <w:rPr>
                <w:rFonts w:hint="eastAsia" w:eastAsia="宋体"/>
              </w:rPr>
              <w:t>号（关于印发《中国石油化工股份有限公司废弃井管理办法》的通知）进行</w:t>
            </w:r>
            <w:r>
              <w:rPr>
                <w:rFonts w:eastAsia="宋体"/>
              </w:rPr>
              <w:t>弃井作业</w:t>
            </w:r>
            <w:r>
              <w:rPr>
                <w:rFonts w:hint="eastAsia" w:eastAsia="宋体"/>
              </w:rPr>
              <w:t>，</w:t>
            </w:r>
            <w:r>
              <w:rPr>
                <w:rFonts w:eastAsia="宋体"/>
              </w:rPr>
              <w:t>将井口用水泥封固，不留井口。</w:t>
            </w:r>
            <w:r>
              <w:rPr>
                <w:rFonts w:hint="eastAsia" w:eastAsia="宋体"/>
                <w:color w:val="000000" w:themeColor="text1"/>
                <w:lang w:eastAsia="zh-CN"/>
                <w14:textFill>
                  <w14:solidFill>
                    <w14:schemeClr w14:val="tx1"/>
                  </w14:solidFill>
                </w14:textFill>
              </w:rPr>
              <w:t>施工场地按照相关政府部门要求进行复垦，恢复原貌。</w:t>
            </w:r>
          </w:p>
          <w:p w14:paraId="7D4A0C0A">
            <w:pPr>
              <w:pStyle w:val="3"/>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hint="default" w:eastAsia="宋体"/>
                <w:lang w:val="en-US" w:eastAsia="zh-CN"/>
              </w:rPr>
            </w:pPr>
            <w:r>
              <w:rPr>
                <w:rFonts w:hint="eastAsia" w:eastAsia="宋体"/>
              </w:rPr>
              <w:t>（</w:t>
            </w:r>
            <w:r>
              <w:rPr>
                <w:rFonts w:hint="eastAsia" w:eastAsia="宋体"/>
                <w:lang w:val="en-US" w:eastAsia="zh-CN"/>
              </w:rPr>
              <w:t>7</w:t>
            </w:r>
            <w:r>
              <w:rPr>
                <w:rFonts w:hint="eastAsia" w:eastAsia="宋体"/>
              </w:rPr>
              <w:t>）</w:t>
            </w:r>
            <w:r>
              <w:rPr>
                <w:rFonts w:hint="eastAsia" w:eastAsia="宋体"/>
                <w:lang w:val="en-US" w:eastAsia="zh-CN"/>
              </w:rPr>
              <w:t>泥浆不落地系统工艺流程</w:t>
            </w:r>
          </w:p>
          <w:p w14:paraId="19F6578A">
            <w:pPr>
              <w:pStyle w:val="3"/>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hint="eastAsia" w:eastAsia="宋体"/>
              </w:rPr>
            </w:pPr>
            <w:r>
              <w:rPr>
                <w:rFonts w:hint="eastAsia" w:eastAsia="宋体"/>
                <w:lang w:val="en-US" w:eastAsia="zh-CN"/>
              </w:rPr>
              <w:t>针对废弃泥浆（不含油）采用</w:t>
            </w:r>
            <w:r>
              <w:rPr>
                <w:rFonts w:hint="default" w:eastAsia="宋体"/>
                <w:lang w:val="en-US" w:eastAsia="zh-CN"/>
              </w:rPr>
              <w:t>“</w:t>
            </w:r>
            <w:r>
              <w:rPr>
                <w:rFonts w:hint="eastAsia" w:eastAsia="宋体"/>
                <w:lang w:val="en-US" w:eastAsia="zh-CN"/>
              </w:rPr>
              <w:t>破胶脱稳+固液分离</w:t>
            </w:r>
            <w:r>
              <w:rPr>
                <w:rFonts w:hint="default" w:eastAsia="宋体"/>
                <w:lang w:val="en-US" w:eastAsia="zh-CN"/>
              </w:rPr>
              <w:t>”</w:t>
            </w:r>
            <w:r>
              <w:rPr>
                <w:rFonts w:hint="eastAsia" w:eastAsia="宋体"/>
                <w:lang w:val="en-US" w:eastAsia="zh-CN"/>
              </w:rPr>
              <w:t>技术，其技术原理为使用撬装式无害化处理装备对废弃泥浆进行无害化处理，采用物理、化学处理相结合的方式实现废弃泥浆中有机污染物降解、重金属污染物稳化，絮凝脱稳后固液分离，分离后固相泥饼达标安全堆存，送至下游单位（非危废处置单位）制成建材，固液分离产生的废水暂存于储液罐，定期</w:t>
            </w:r>
            <w:r>
              <w:rPr>
                <w:rFonts w:hint="eastAsia" w:eastAsia="宋体"/>
              </w:rPr>
              <w:t>由</w:t>
            </w:r>
            <w:r>
              <w:rPr>
                <w:rFonts w:hint="eastAsia" w:eastAsia="宋体"/>
                <w:lang w:val="en-US" w:eastAsia="zh-CN"/>
              </w:rPr>
              <w:t>水</w:t>
            </w:r>
            <w:r>
              <w:rPr>
                <w:rFonts w:hint="eastAsia" w:eastAsia="宋体"/>
              </w:rPr>
              <w:t>罐车就近拉运至联合站进行处理</w:t>
            </w:r>
            <w:r>
              <w:rPr>
                <w:rFonts w:hint="eastAsia" w:eastAsia="宋体"/>
                <w:lang w:eastAsia="zh-CN"/>
              </w:rPr>
              <w:t>。</w:t>
            </w:r>
          </w:p>
          <w:p w14:paraId="1A491B5F">
            <w:pPr>
              <w:pStyle w:val="16"/>
              <w:rPr>
                <w:rFonts w:hint="eastAsia" w:eastAsia="宋体"/>
              </w:rPr>
            </w:pPr>
            <w:r>
              <w:rPr>
                <w:rFonts w:hint="eastAsia" w:eastAsia="宋体"/>
                <w:color w:val="auto"/>
              </w:rPr>
              <w:object>
                <v:shape id="_x0000_i1028" o:spt="75" type="#_x0000_t75" style="height:130.7pt;width:375.45pt;" o:ole="t" filled="f" o:preferrelative="t" stroked="f" coordsize="21600,21600">
                  <v:path/>
                  <v:fill on="f" focussize="0,0"/>
                  <v:stroke on="f"/>
                  <v:imagedata r:id="rId14" croptop="8464f" cropbottom="32420f" o:title=""/>
                  <o:lock v:ext="edit" aspectratio="f"/>
                  <w10:wrap type="none"/>
                  <w10:anchorlock/>
                </v:shape>
                <o:OLEObject Type="Embed" ProgID="Visio.Drawing.15" ShapeID="_x0000_i1028" DrawAspect="Content" ObjectID="_1468075728" r:id="rId13">
                  <o:LockedField>false</o:LockedField>
                </o:OLEObject>
              </w:object>
            </w:r>
          </w:p>
          <w:p w14:paraId="3D1A16DF">
            <w:pPr>
              <w:pStyle w:val="16"/>
              <w:rPr>
                <w:rFonts w:hint="eastAsia" w:eastAsia="宋体"/>
              </w:rPr>
            </w:pPr>
          </w:p>
          <w:p w14:paraId="48377617">
            <w:pPr>
              <w:pStyle w:val="16"/>
              <w:bidi w:val="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图2-5 泥浆不落地系统工艺流程图</w:t>
            </w:r>
          </w:p>
          <w:p w14:paraId="4C5479EE">
            <w:pPr>
              <w:pStyle w:val="16"/>
              <w:rPr>
                <w:rFonts w:hint="eastAsia" w:eastAsia="宋体"/>
              </w:rPr>
            </w:pPr>
          </w:p>
          <w:p w14:paraId="0618B7B8">
            <w:pPr>
              <w:pStyle w:val="16"/>
              <w:jc w:val="both"/>
              <w:rPr>
                <w:rFonts w:hint="eastAsia" w:eastAsia="宋体"/>
              </w:rPr>
            </w:pPr>
          </w:p>
          <w:p w14:paraId="2D12E384">
            <w:pPr>
              <w:pStyle w:val="16"/>
              <w:rPr>
                <w:rFonts w:eastAsia="宋体"/>
              </w:rPr>
            </w:pPr>
            <w:r>
              <w:rPr>
                <w:rFonts w:hint="eastAsia" w:eastAsia="宋体"/>
              </w:rPr>
              <w:t>表2-</w:t>
            </w:r>
            <w:r>
              <w:rPr>
                <w:rFonts w:hint="eastAsia" w:eastAsia="宋体"/>
                <w:lang w:val="en-US" w:eastAsia="zh-CN"/>
              </w:rPr>
              <w:t>10</w:t>
            </w:r>
            <w:r>
              <w:rPr>
                <w:rFonts w:hint="eastAsia" w:eastAsia="宋体"/>
              </w:rPr>
              <w:t xml:space="preserve">  本项目产污汇总表</w:t>
            </w:r>
          </w:p>
          <w:tbl>
            <w:tblPr>
              <w:tblStyle w:val="1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7"/>
              <w:gridCol w:w="804"/>
              <w:gridCol w:w="1300"/>
              <w:gridCol w:w="4780"/>
            </w:tblGrid>
            <w:tr w14:paraId="438871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pct"/>
                  <w:shd w:val="clear" w:color="auto" w:fill="auto"/>
                  <w:vAlign w:val="center"/>
                </w:tcPr>
                <w:p w14:paraId="24176AB1">
                  <w:pPr>
                    <w:pStyle w:val="17"/>
                    <w:rPr>
                      <w:rFonts w:eastAsia="宋体"/>
                      <w:b/>
                      <w:bCs/>
                    </w:rPr>
                  </w:pPr>
                  <w:r>
                    <w:rPr>
                      <w:rFonts w:hint="eastAsia" w:eastAsia="宋体"/>
                      <w:b/>
                      <w:bCs/>
                    </w:rPr>
                    <w:t>序号</w:t>
                  </w:r>
                </w:p>
              </w:tc>
              <w:tc>
                <w:tcPr>
                  <w:tcW w:w="525" w:type="pct"/>
                  <w:shd w:val="clear" w:color="auto" w:fill="auto"/>
                  <w:vAlign w:val="center"/>
                </w:tcPr>
                <w:p w14:paraId="47F794B6">
                  <w:pPr>
                    <w:pStyle w:val="17"/>
                    <w:rPr>
                      <w:rFonts w:eastAsia="宋体"/>
                      <w:b/>
                      <w:bCs/>
                    </w:rPr>
                  </w:pPr>
                  <w:r>
                    <w:rPr>
                      <w:rFonts w:hint="eastAsia" w:eastAsia="宋体"/>
                      <w:b/>
                      <w:bCs/>
                    </w:rPr>
                    <w:t>类别</w:t>
                  </w:r>
                </w:p>
              </w:tc>
              <w:tc>
                <w:tcPr>
                  <w:tcW w:w="850" w:type="pct"/>
                  <w:shd w:val="clear" w:color="auto" w:fill="auto"/>
                  <w:vAlign w:val="center"/>
                </w:tcPr>
                <w:p w14:paraId="34D085C8">
                  <w:pPr>
                    <w:pStyle w:val="17"/>
                    <w:rPr>
                      <w:rFonts w:eastAsia="宋体"/>
                      <w:b/>
                      <w:bCs/>
                    </w:rPr>
                  </w:pPr>
                  <w:r>
                    <w:rPr>
                      <w:rFonts w:hint="eastAsia" w:eastAsia="宋体"/>
                      <w:b/>
                      <w:bCs/>
                    </w:rPr>
                    <w:t>产污环节</w:t>
                  </w:r>
                </w:p>
              </w:tc>
              <w:tc>
                <w:tcPr>
                  <w:tcW w:w="3128" w:type="pct"/>
                  <w:shd w:val="clear" w:color="auto" w:fill="auto"/>
                  <w:vAlign w:val="center"/>
                </w:tcPr>
                <w:p w14:paraId="399305A6">
                  <w:pPr>
                    <w:pStyle w:val="17"/>
                    <w:rPr>
                      <w:rFonts w:eastAsia="宋体"/>
                      <w:b/>
                      <w:bCs/>
                    </w:rPr>
                  </w:pPr>
                  <w:r>
                    <w:rPr>
                      <w:rFonts w:hint="eastAsia" w:eastAsia="宋体"/>
                      <w:b/>
                      <w:bCs/>
                    </w:rPr>
                    <w:t>主要污染因子</w:t>
                  </w:r>
                </w:p>
              </w:tc>
            </w:tr>
            <w:tr w14:paraId="01567F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pct"/>
                  <w:shd w:val="clear" w:color="auto" w:fill="auto"/>
                  <w:vAlign w:val="center"/>
                </w:tcPr>
                <w:p w14:paraId="39B93304">
                  <w:pPr>
                    <w:pStyle w:val="17"/>
                    <w:rPr>
                      <w:rFonts w:eastAsia="宋体"/>
                    </w:rPr>
                  </w:pPr>
                  <w:r>
                    <w:rPr>
                      <w:rFonts w:hint="eastAsia" w:eastAsia="宋体"/>
                    </w:rPr>
                    <w:t>1</w:t>
                  </w:r>
                </w:p>
              </w:tc>
              <w:tc>
                <w:tcPr>
                  <w:tcW w:w="525" w:type="pct"/>
                  <w:vMerge w:val="restart"/>
                  <w:shd w:val="clear" w:color="auto" w:fill="auto"/>
                  <w:vAlign w:val="center"/>
                </w:tcPr>
                <w:p w14:paraId="6489B170">
                  <w:pPr>
                    <w:pStyle w:val="17"/>
                    <w:rPr>
                      <w:rFonts w:eastAsia="宋体"/>
                    </w:rPr>
                  </w:pPr>
                  <w:r>
                    <w:rPr>
                      <w:rFonts w:hint="eastAsia" w:eastAsia="宋体"/>
                    </w:rPr>
                    <w:t>废气</w:t>
                  </w:r>
                </w:p>
              </w:tc>
              <w:tc>
                <w:tcPr>
                  <w:tcW w:w="850" w:type="pct"/>
                  <w:shd w:val="clear" w:color="auto" w:fill="auto"/>
                  <w:vAlign w:val="center"/>
                </w:tcPr>
                <w:p w14:paraId="16F3EF68">
                  <w:pPr>
                    <w:pStyle w:val="17"/>
                    <w:rPr>
                      <w:rFonts w:eastAsia="宋体"/>
                    </w:rPr>
                  </w:pPr>
                  <w:r>
                    <w:rPr>
                      <w:rFonts w:hint="eastAsia" w:eastAsia="宋体"/>
                    </w:rPr>
                    <w:t>施工扬尘</w:t>
                  </w:r>
                </w:p>
              </w:tc>
              <w:tc>
                <w:tcPr>
                  <w:tcW w:w="3128" w:type="pct"/>
                  <w:shd w:val="clear" w:color="auto" w:fill="auto"/>
                  <w:vAlign w:val="center"/>
                </w:tcPr>
                <w:p w14:paraId="06178C84">
                  <w:pPr>
                    <w:pStyle w:val="17"/>
                    <w:rPr>
                      <w:rFonts w:eastAsia="宋体"/>
                    </w:rPr>
                  </w:pPr>
                  <w:r>
                    <w:rPr>
                      <w:rFonts w:hint="eastAsia" w:eastAsia="宋体"/>
                    </w:rPr>
                    <w:t>TSP</w:t>
                  </w:r>
                </w:p>
              </w:tc>
            </w:tr>
            <w:tr w14:paraId="6CC0F1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pct"/>
                  <w:shd w:val="clear" w:color="auto" w:fill="auto"/>
                  <w:vAlign w:val="center"/>
                </w:tcPr>
                <w:p w14:paraId="1B1DDB79">
                  <w:pPr>
                    <w:pStyle w:val="17"/>
                    <w:rPr>
                      <w:rFonts w:eastAsia="宋体"/>
                    </w:rPr>
                  </w:pPr>
                  <w:r>
                    <w:rPr>
                      <w:rFonts w:hint="eastAsia" w:eastAsia="宋体"/>
                    </w:rPr>
                    <w:t>2</w:t>
                  </w:r>
                </w:p>
              </w:tc>
              <w:tc>
                <w:tcPr>
                  <w:tcW w:w="525" w:type="pct"/>
                  <w:vMerge w:val="continue"/>
                  <w:shd w:val="clear" w:color="auto" w:fill="auto"/>
                  <w:vAlign w:val="center"/>
                </w:tcPr>
                <w:p w14:paraId="673291CA">
                  <w:pPr>
                    <w:pStyle w:val="17"/>
                    <w:rPr>
                      <w:rFonts w:eastAsia="宋体"/>
                    </w:rPr>
                  </w:pPr>
                </w:p>
              </w:tc>
              <w:tc>
                <w:tcPr>
                  <w:tcW w:w="850" w:type="pct"/>
                  <w:shd w:val="clear" w:color="auto" w:fill="auto"/>
                  <w:vAlign w:val="center"/>
                </w:tcPr>
                <w:p w14:paraId="03D5BA22">
                  <w:pPr>
                    <w:pStyle w:val="17"/>
                    <w:rPr>
                      <w:rFonts w:eastAsia="宋体"/>
                    </w:rPr>
                  </w:pPr>
                  <w:r>
                    <w:rPr>
                      <w:rFonts w:hint="eastAsia" w:eastAsia="宋体"/>
                    </w:rPr>
                    <w:t>试采</w:t>
                  </w:r>
                </w:p>
              </w:tc>
              <w:tc>
                <w:tcPr>
                  <w:tcW w:w="3128" w:type="pct"/>
                  <w:shd w:val="clear" w:color="auto" w:fill="auto"/>
                  <w:vAlign w:val="center"/>
                </w:tcPr>
                <w:p w14:paraId="42A56EB4">
                  <w:pPr>
                    <w:pStyle w:val="17"/>
                    <w:rPr>
                      <w:rFonts w:eastAsia="宋体"/>
                    </w:rPr>
                  </w:pPr>
                  <w:r>
                    <w:rPr>
                      <w:rFonts w:hint="eastAsia" w:eastAsia="宋体"/>
                    </w:rPr>
                    <w:t>非甲烷总烃</w:t>
                  </w:r>
                </w:p>
              </w:tc>
            </w:tr>
            <w:tr w14:paraId="2A693C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pct"/>
                  <w:shd w:val="clear" w:color="auto" w:fill="auto"/>
                  <w:vAlign w:val="center"/>
                </w:tcPr>
                <w:p w14:paraId="27F5AA52">
                  <w:pPr>
                    <w:pStyle w:val="17"/>
                    <w:rPr>
                      <w:rFonts w:eastAsia="宋体"/>
                    </w:rPr>
                  </w:pPr>
                  <w:r>
                    <w:rPr>
                      <w:rFonts w:hint="eastAsia" w:eastAsia="宋体"/>
                    </w:rPr>
                    <w:t>3</w:t>
                  </w:r>
                </w:p>
              </w:tc>
              <w:tc>
                <w:tcPr>
                  <w:tcW w:w="525" w:type="pct"/>
                  <w:vMerge w:val="continue"/>
                  <w:shd w:val="clear" w:color="auto" w:fill="auto"/>
                  <w:vAlign w:val="center"/>
                </w:tcPr>
                <w:p w14:paraId="205091B6">
                  <w:pPr>
                    <w:pStyle w:val="17"/>
                    <w:rPr>
                      <w:rFonts w:eastAsia="宋体"/>
                    </w:rPr>
                  </w:pPr>
                </w:p>
              </w:tc>
              <w:tc>
                <w:tcPr>
                  <w:tcW w:w="850" w:type="pct"/>
                  <w:shd w:val="clear" w:color="auto" w:fill="auto"/>
                  <w:vAlign w:val="center"/>
                </w:tcPr>
                <w:p w14:paraId="72E154DD">
                  <w:pPr>
                    <w:pStyle w:val="17"/>
                    <w:rPr>
                      <w:rFonts w:eastAsia="宋体"/>
                    </w:rPr>
                  </w:pPr>
                  <w:r>
                    <w:rPr>
                      <w:rFonts w:hint="eastAsia" w:eastAsia="宋体"/>
                    </w:rPr>
                    <w:t>车辆尾气</w:t>
                  </w:r>
                </w:p>
              </w:tc>
              <w:tc>
                <w:tcPr>
                  <w:tcW w:w="3128" w:type="pct"/>
                  <w:shd w:val="clear" w:color="auto" w:fill="auto"/>
                  <w:vAlign w:val="center"/>
                </w:tcPr>
                <w:p w14:paraId="5232E1C8">
                  <w:pPr>
                    <w:pStyle w:val="17"/>
                    <w:rPr>
                      <w:rFonts w:eastAsia="宋体"/>
                    </w:rPr>
                  </w:pPr>
                  <w:r>
                    <w:rPr>
                      <w:rFonts w:eastAsia="宋体"/>
                    </w:rPr>
                    <w:t>CO、碳氢化合物、NOx</w:t>
                  </w:r>
                  <w:r>
                    <w:rPr>
                      <w:rFonts w:hint="eastAsia" w:eastAsia="宋体"/>
                    </w:rPr>
                    <w:t>、颗粒物</w:t>
                  </w:r>
                </w:p>
              </w:tc>
            </w:tr>
            <w:tr w14:paraId="0352C3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pct"/>
                  <w:shd w:val="clear" w:color="auto" w:fill="auto"/>
                  <w:vAlign w:val="center"/>
                </w:tcPr>
                <w:p w14:paraId="76029123">
                  <w:pPr>
                    <w:pStyle w:val="17"/>
                    <w:rPr>
                      <w:rFonts w:eastAsia="宋体"/>
                    </w:rPr>
                  </w:pPr>
                  <w:r>
                    <w:rPr>
                      <w:rFonts w:hint="eastAsia" w:eastAsia="宋体"/>
                    </w:rPr>
                    <w:t>4</w:t>
                  </w:r>
                </w:p>
              </w:tc>
              <w:tc>
                <w:tcPr>
                  <w:tcW w:w="525" w:type="pct"/>
                  <w:vMerge w:val="restart"/>
                  <w:shd w:val="clear" w:color="auto" w:fill="auto"/>
                  <w:vAlign w:val="center"/>
                </w:tcPr>
                <w:p w14:paraId="2E9B0B0D">
                  <w:pPr>
                    <w:pStyle w:val="17"/>
                    <w:rPr>
                      <w:rFonts w:eastAsia="宋体"/>
                    </w:rPr>
                  </w:pPr>
                  <w:r>
                    <w:rPr>
                      <w:rFonts w:hint="eastAsia" w:eastAsia="宋体"/>
                    </w:rPr>
                    <w:t>废水</w:t>
                  </w:r>
                </w:p>
              </w:tc>
              <w:tc>
                <w:tcPr>
                  <w:tcW w:w="850" w:type="pct"/>
                  <w:shd w:val="clear" w:color="auto" w:fill="auto"/>
                  <w:vAlign w:val="center"/>
                </w:tcPr>
                <w:p w14:paraId="13F9822D">
                  <w:pPr>
                    <w:pStyle w:val="17"/>
                    <w:rPr>
                      <w:rFonts w:eastAsia="宋体"/>
                    </w:rPr>
                  </w:pPr>
                  <w:r>
                    <w:rPr>
                      <w:rFonts w:hint="eastAsia" w:eastAsia="宋体"/>
                    </w:rPr>
                    <w:t>钻井废水</w:t>
                  </w:r>
                </w:p>
              </w:tc>
              <w:tc>
                <w:tcPr>
                  <w:tcW w:w="3128" w:type="pct"/>
                  <w:shd w:val="clear" w:color="auto" w:fill="auto"/>
                  <w:vAlign w:val="center"/>
                </w:tcPr>
                <w:p w14:paraId="543DF2F6">
                  <w:pPr>
                    <w:pStyle w:val="17"/>
                    <w:rPr>
                      <w:rFonts w:eastAsia="宋体"/>
                    </w:rPr>
                  </w:pPr>
                  <w:r>
                    <w:rPr>
                      <w:rFonts w:hint="eastAsia" w:eastAsia="宋体"/>
                    </w:rPr>
                    <w:t>COD、SS、石油类</w:t>
                  </w:r>
                </w:p>
              </w:tc>
            </w:tr>
            <w:tr w14:paraId="33B647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pct"/>
                  <w:shd w:val="clear" w:color="auto" w:fill="auto"/>
                  <w:vAlign w:val="center"/>
                </w:tcPr>
                <w:p w14:paraId="15763537">
                  <w:pPr>
                    <w:pStyle w:val="17"/>
                    <w:rPr>
                      <w:rFonts w:eastAsia="宋体"/>
                    </w:rPr>
                  </w:pPr>
                  <w:r>
                    <w:rPr>
                      <w:rFonts w:hint="eastAsia" w:eastAsia="宋体"/>
                    </w:rPr>
                    <w:t>5</w:t>
                  </w:r>
                </w:p>
              </w:tc>
              <w:tc>
                <w:tcPr>
                  <w:tcW w:w="525" w:type="pct"/>
                  <w:vMerge w:val="continue"/>
                  <w:shd w:val="clear" w:color="auto" w:fill="auto"/>
                  <w:vAlign w:val="center"/>
                </w:tcPr>
                <w:p w14:paraId="11797472">
                  <w:pPr>
                    <w:pStyle w:val="17"/>
                    <w:rPr>
                      <w:rFonts w:eastAsia="宋体"/>
                    </w:rPr>
                  </w:pPr>
                </w:p>
              </w:tc>
              <w:tc>
                <w:tcPr>
                  <w:tcW w:w="850" w:type="pct"/>
                  <w:shd w:val="clear" w:color="auto" w:fill="auto"/>
                  <w:vAlign w:val="center"/>
                </w:tcPr>
                <w:p w14:paraId="598F1C26">
                  <w:pPr>
                    <w:pStyle w:val="17"/>
                    <w:rPr>
                      <w:rFonts w:eastAsia="宋体"/>
                    </w:rPr>
                  </w:pPr>
                  <w:r>
                    <w:rPr>
                      <w:rFonts w:hint="eastAsia" w:eastAsia="宋体"/>
                    </w:rPr>
                    <w:t>洗井废水</w:t>
                  </w:r>
                </w:p>
              </w:tc>
              <w:tc>
                <w:tcPr>
                  <w:tcW w:w="3128" w:type="pct"/>
                  <w:shd w:val="clear" w:color="auto" w:fill="auto"/>
                  <w:vAlign w:val="center"/>
                </w:tcPr>
                <w:p w14:paraId="7CB654D4">
                  <w:pPr>
                    <w:pStyle w:val="17"/>
                    <w:rPr>
                      <w:rFonts w:eastAsia="宋体"/>
                    </w:rPr>
                  </w:pPr>
                  <w:r>
                    <w:rPr>
                      <w:rFonts w:hint="eastAsia" w:eastAsia="宋体"/>
                    </w:rPr>
                    <w:t>COD、SS、石油类</w:t>
                  </w:r>
                </w:p>
              </w:tc>
            </w:tr>
            <w:tr w14:paraId="22473C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pct"/>
                  <w:shd w:val="clear" w:color="auto" w:fill="auto"/>
                  <w:vAlign w:val="center"/>
                </w:tcPr>
                <w:p w14:paraId="0E30258F">
                  <w:pPr>
                    <w:pStyle w:val="17"/>
                    <w:rPr>
                      <w:rFonts w:eastAsia="宋体"/>
                    </w:rPr>
                  </w:pPr>
                  <w:r>
                    <w:rPr>
                      <w:rFonts w:hint="eastAsia" w:eastAsia="宋体"/>
                    </w:rPr>
                    <w:t>6</w:t>
                  </w:r>
                </w:p>
              </w:tc>
              <w:tc>
                <w:tcPr>
                  <w:tcW w:w="525" w:type="pct"/>
                  <w:vMerge w:val="continue"/>
                  <w:shd w:val="clear" w:color="auto" w:fill="auto"/>
                  <w:vAlign w:val="center"/>
                </w:tcPr>
                <w:p w14:paraId="5C843517">
                  <w:pPr>
                    <w:pStyle w:val="17"/>
                    <w:rPr>
                      <w:rFonts w:eastAsia="宋体"/>
                    </w:rPr>
                  </w:pPr>
                </w:p>
              </w:tc>
              <w:tc>
                <w:tcPr>
                  <w:tcW w:w="850" w:type="pct"/>
                  <w:shd w:val="clear" w:color="auto" w:fill="auto"/>
                  <w:vAlign w:val="center"/>
                </w:tcPr>
                <w:p w14:paraId="7F32361E">
                  <w:pPr>
                    <w:pStyle w:val="17"/>
                    <w:rPr>
                      <w:rFonts w:eastAsia="宋体"/>
                    </w:rPr>
                  </w:pPr>
                  <w:r>
                    <w:rPr>
                      <w:rFonts w:hint="eastAsia" w:eastAsia="宋体"/>
                    </w:rPr>
                    <w:t>压裂废水</w:t>
                  </w:r>
                </w:p>
              </w:tc>
              <w:tc>
                <w:tcPr>
                  <w:tcW w:w="3128" w:type="pct"/>
                  <w:shd w:val="clear" w:color="auto" w:fill="auto"/>
                  <w:vAlign w:val="center"/>
                </w:tcPr>
                <w:p w14:paraId="72B3CCFC">
                  <w:pPr>
                    <w:pStyle w:val="17"/>
                    <w:rPr>
                      <w:rFonts w:eastAsia="宋体"/>
                    </w:rPr>
                  </w:pPr>
                  <w:r>
                    <w:rPr>
                      <w:rFonts w:hint="eastAsia" w:eastAsia="宋体"/>
                    </w:rPr>
                    <w:t>COD、SS、石油类</w:t>
                  </w:r>
                </w:p>
              </w:tc>
            </w:tr>
            <w:tr w14:paraId="7E4655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pct"/>
                  <w:shd w:val="clear" w:color="auto" w:fill="auto"/>
                  <w:vAlign w:val="center"/>
                </w:tcPr>
                <w:p w14:paraId="06052608">
                  <w:pPr>
                    <w:pStyle w:val="17"/>
                    <w:rPr>
                      <w:rFonts w:eastAsia="宋体"/>
                    </w:rPr>
                  </w:pPr>
                  <w:r>
                    <w:rPr>
                      <w:rFonts w:hint="eastAsia" w:eastAsia="宋体"/>
                    </w:rPr>
                    <w:t>7</w:t>
                  </w:r>
                </w:p>
              </w:tc>
              <w:tc>
                <w:tcPr>
                  <w:tcW w:w="525" w:type="pct"/>
                  <w:vMerge w:val="continue"/>
                  <w:shd w:val="clear" w:color="auto" w:fill="auto"/>
                  <w:vAlign w:val="center"/>
                </w:tcPr>
                <w:p w14:paraId="01BC922B">
                  <w:pPr>
                    <w:pStyle w:val="17"/>
                    <w:rPr>
                      <w:rFonts w:eastAsia="宋体"/>
                    </w:rPr>
                  </w:pPr>
                </w:p>
              </w:tc>
              <w:tc>
                <w:tcPr>
                  <w:tcW w:w="850" w:type="pct"/>
                  <w:shd w:val="clear" w:color="auto" w:fill="auto"/>
                  <w:vAlign w:val="center"/>
                </w:tcPr>
                <w:p w14:paraId="62426D31">
                  <w:pPr>
                    <w:pStyle w:val="17"/>
                    <w:rPr>
                      <w:rFonts w:eastAsia="宋体"/>
                    </w:rPr>
                  </w:pPr>
                  <w:r>
                    <w:rPr>
                      <w:rFonts w:hint="eastAsia" w:eastAsia="宋体"/>
                    </w:rPr>
                    <w:t>生活污水</w:t>
                  </w:r>
                </w:p>
              </w:tc>
              <w:tc>
                <w:tcPr>
                  <w:tcW w:w="3128" w:type="pct"/>
                  <w:shd w:val="clear" w:color="auto" w:fill="auto"/>
                  <w:vAlign w:val="center"/>
                </w:tcPr>
                <w:p w14:paraId="511DBCD5">
                  <w:pPr>
                    <w:pStyle w:val="17"/>
                    <w:rPr>
                      <w:rFonts w:eastAsia="宋体"/>
                    </w:rPr>
                  </w:pPr>
                  <w:r>
                    <w:rPr>
                      <w:rFonts w:hint="eastAsia" w:eastAsia="宋体"/>
                    </w:rPr>
                    <w:t>COD、SS、氨氮、总磷、总氮</w:t>
                  </w:r>
                </w:p>
              </w:tc>
            </w:tr>
            <w:tr w14:paraId="332AC7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pct"/>
                  <w:shd w:val="clear" w:color="auto" w:fill="auto"/>
                  <w:vAlign w:val="center"/>
                </w:tcPr>
                <w:p w14:paraId="237467DD">
                  <w:pPr>
                    <w:pStyle w:val="17"/>
                    <w:rPr>
                      <w:rFonts w:eastAsia="宋体"/>
                    </w:rPr>
                  </w:pPr>
                  <w:r>
                    <w:rPr>
                      <w:rFonts w:hint="eastAsia" w:eastAsia="宋体"/>
                    </w:rPr>
                    <w:t>8</w:t>
                  </w:r>
                </w:p>
              </w:tc>
              <w:tc>
                <w:tcPr>
                  <w:tcW w:w="525" w:type="pct"/>
                  <w:shd w:val="clear" w:color="auto" w:fill="auto"/>
                  <w:vAlign w:val="center"/>
                </w:tcPr>
                <w:p w14:paraId="4FF4C29F">
                  <w:pPr>
                    <w:pStyle w:val="17"/>
                    <w:rPr>
                      <w:rFonts w:eastAsia="宋体"/>
                    </w:rPr>
                  </w:pPr>
                  <w:r>
                    <w:rPr>
                      <w:rFonts w:hint="eastAsia" w:eastAsia="宋体"/>
                    </w:rPr>
                    <w:t>噪声</w:t>
                  </w:r>
                </w:p>
              </w:tc>
              <w:tc>
                <w:tcPr>
                  <w:tcW w:w="850" w:type="pct"/>
                  <w:shd w:val="clear" w:color="auto" w:fill="auto"/>
                  <w:vAlign w:val="center"/>
                </w:tcPr>
                <w:p w14:paraId="42088FEF">
                  <w:pPr>
                    <w:pStyle w:val="17"/>
                    <w:rPr>
                      <w:rFonts w:eastAsia="宋体"/>
                    </w:rPr>
                  </w:pPr>
                  <w:r>
                    <w:rPr>
                      <w:rFonts w:hint="eastAsia" w:eastAsia="宋体"/>
                    </w:rPr>
                    <w:t>设备噪声</w:t>
                  </w:r>
                </w:p>
              </w:tc>
              <w:tc>
                <w:tcPr>
                  <w:tcW w:w="3128" w:type="pct"/>
                  <w:shd w:val="clear" w:color="auto" w:fill="auto"/>
                  <w:vAlign w:val="center"/>
                </w:tcPr>
                <w:p w14:paraId="0F5A9B7C">
                  <w:pPr>
                    <w:pStyle w:val="17"/>
                    <w:rPr>
                      <w:rFonts w:eastAsia="宋体"/>
                    </w:rPr>
                  </w:pPr>
                  <w:r>
                    <w:rPr>
                      <w:rFonts w:hint="eastAsia" w:eastAsia="宋体"/>
                    </w:rPr>
                    <w:t>等效A声级</w:t>
                  </w:r>
                </w:p>
              </w:tc>
            </w:tr>
            <w:tr w14:paraId="347727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pct"/>
                  <w:shd w:val="clear" w:color="auto" w:fill="auto"/>
                  <w:vAlign w:val="center"/>
                </w:tcPr>
                <w:p w14:paraId="5AB8001C">
                  <w:pPr>
                    <w:pStyle w:val="17"/>
                    <w:rPr>
                      <w:rFonts w:eastAsia="宋体"/>
                    </w:rPr>
                  </w:pPr>
                  <w:r>
                    <w:rPr>
                      <w:rFonts w:hint="eastAsia" w:eastAsia="宋体"/>
                    </w:rPr>
                    <w:t>9</w:t>
                  </w:r>
                </w:p>
              </w:tc>
              <w:tc>
                <w:tcPr>
                  <w:tcW w:w="525" w:type="pct"/>
                  <w:vMerge w:val="restart"/>
                  <w:shd w:val="clear" w:color="auto" w:fill="auto"/>
                  <w:vAlign w:val="center"/>
                </w:tcPr>
                <w:p w14:paraId="341EBA09">
                  <w:pPr>
                    <w:pStyle w:val="17"/>
                    <w:rPr>
                      <w:rFonts w:eastAsia="宋体"/>
                    </w:rPr>
                  </w:pPr>
                  <w:r>
                    <w:rPr>
                      <w:rFonts w:hint="eastAsia" w:eastAsia="宋体"/>
                    </w:rPr>
                    <w:t>固废</w:t>
                  </w:r>
                </w:p>
              </w:tc>
              <w:tc>
                <w:tcPr>
                  <w:tcW w:w="850" w:type="pct"/>
                  <w:shd w:val="clear" w:color="auto" w:fill="auto"/>
                  <w:vAlign w:val="center"/>
                </w:tcPr>
                <w:p w14:paraId="1D7635F2">
                  <w:pPr>
                    <w:pStyle w:val="17"/>
                    <w:rPr>
                      <w:rFonts w:eastAsia="宋体"/>
                    </w:rPr>
                  </w:pPr>
                  <w:r>
                    <w:rPr>
                      <w:rFonts w:hint="eastAsia" w:eastAsia="宋体"/>
                    </w:rPr>
                    <w:t>一般固废</w:t>
                  </w:r>
                </w:p>
              </w:tc>
              <w:tc>
                <w:tcPr>
                  <w:tcW w:w="3128" w:type="pct"/>
                  <w:shd w:val="clear" w:color="auto" w:fill="auto"/>
                  <w:vAlign w:val="center"/>
                </w:tcPr>
                <w:p w14:paraId="0AC25534">
                  <w:pPr>
                    <w:pStyle w:val="17"/>
                    <w:rPr>
                      <w:rFonts w:eastAsia="宋体"/>
                    </w:rPr>
                  </w:pPr>
                  <w:r>
                    <w:rPr>
                      <w:rFonts w:hint="eastAsia" w:eastAsia="宋体"/>
                    </w:rPr>
                    <w:t>废弃泥浆、岩屑、施工废料</w:t>
                  </w:r>
                </w:p>
              </w:tc>
            </w:tr>
            <w:tr w14:paraId="512B74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pct"/>
                  <w:shd w:val="clear" w:color="auto" w:fill="auto"/>
                  <w:vAlign w:val="center"/>
                </w:tcPr>
                <w:p w14:paraId="2EA35BE4">
                  <w:pPr>
                    <w:pStyle w:val="17"/>
                    <w:ind w:firstLine="0" w:firstLineChars="0"/>
                    <w:rPr>
                      <w:rFonts w:hint="eastAsia" w:ascii="Times New Roman" w:hAnsi="Times New Roman" w:eastAsia="宋体" w:cs="Times New Roman"/>
                      <w:kern w:val="0"/>
                      <w:sz w:val="21"/>
                      <w:szCs w:val="21"/>
                      <w:lang w:val="en-US" w:eastAsia="zh-CN" w:bidi="ar-SA"/>
                    </w:rPr>
                  </w:pPr>
                  <w:r>
                    <w:rPr>
                      <w:rFonts w:hint="eastAsia" w:eastAsia="宋体"/>
                    </w:rPr>
                    <w:t>1</w:t>
                  </w:r>
                  <w:r>
                    <w:rPr>
                      <w:rFonts w:hint="eastAsia" w:eastAsia="宋体"/>
                      <w:lang w:val="en-US" w:eastAsia="zh-CN"/>
                    </w:rPr>
                    <w:t>0</w:t>
                  </w:r>
                </w:p>
              </w:tc>
              <w:tc>
                <w:tcPr>
                  <w:tcW w:w="525" w:type="pct"/>
                  <w:vMerge w:val="continue"/>
                  <w:shd w:val="clear" w:color="auto" w:fill="auto"/>
                  <w:vAlign w:val="center"/>
                </w:tcPr>
                <w:p w14:paraId="23EC46B3">
                  <w:pPr>
                    <w:pStyle w:val="17"/>
                    <w:rPr>
                      <w:rFonts w:hint="eastAsia" w:eastAsia="宋体"/>
                    </w:rPr>
                  </w:pPr>
                </w:p>
              </w:tc>
              <w:tc>
                <w:tcPr>
                  <w:tcW w:w="850" w:type="pct"/>
                  <w:shd w:val="clear" w:color="auto" w:fill="auto"/>
                  <w:vAlign w:val="center"/>
                </w:tcPr>
                <w:p w14:paraId="123B962A">
                  <w:pPr>
                    <w:pStyle w:val="17"/>
                    <w:rPr>
                      <w:rFonts w:hint="eastAsia" w:eastAsia="宋体"/>
                      <w:lang w:val="en-US" w:eastAsia="zh-CN"/>
                    </w:rPr>
                  </w:pPr>
                  <w:r>
                    <w:rPr>
                      <w:rFonts w:hint="eastAsia" w:eastAsia="宋体"/>
                      <w:lang w:val="en-US" w:eastAsia="zh-CN"/>
                    </w:rPr>
                    <w:t>危险废物</w:t>
                  </w:r>
                </w:p>
              </w:tc>
              <w:tc>
                <w:tcPr>
                  <w:tcW w:w="3128" w:type="pct"/>
                  <w:shd w:val="clear" w:color="auto" w:fill="auto"/>
                  <w:vAlign w:val="center"/>
                </w:tcPr>
                <w:p w14:paraId="71809524">
                  <w:pPr>
                    <w:pStyle w:val="17"/>
                    <w:rPr>
                      <w:rFonts w:hint="eastAsia" w:eastAsia="宋体"/>
                    </w:rPr>
                  </w:pPr>
                  <w:r>
                    <w:rPr>
                      <w:rFonts w:hint="eastAsia" w:eastAsia="宋体"/>
                      <w:color w:val="auto"/>
                    </w:rPr>
                    <w:t>废润滑油</w:t>
                  </w:r>
                  <w:r>
                    <w:rPr>
                      <w:rFonts w:hint="eastAsia" w:eastAsia="宋体"/>
                      <w:color w:val="auto"/>
                      <w:lang w:eastAsia="zh-CN"/>
                    </w:rPr>
                    <w:t>、</w:t>
                  </w:r>
                  <w:r>
                    <w:rPr>
                      <w:rFonts w:hint="eastAsia" w:eastAsia="宋体"/>
                      <w:color w:val="auto"/>
                      <w:lang w:val="en-US" w:eastAsia="zh-CN"/>
                    </w:rPr>
                    <w:t>废沾油防渗膜</w:t>
                  </w:r>
                </w:p>
              </w:tc>
            </w:tr>
            <w:tr w14:paraId="45799E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pct"/>
                  <w:shd w:val="clear" w:color="auto" w:fill="auto"/>
                  <w:vAlign w:val="center"/>
                </w:tcPr>
                <w:p w14:paraId="669978F9">
                  <w:pPr>
                    <w:pStyle w:val="17"/>
                    <w:ind w:firstLine="0" w:firstLineChars="0"/>
                    <w:rPr>
                      <w:rFonts w:hint="eastAsia" w:ascii="Times New Roman" w:hAnsi="Times New Roman" w:eastAsia="宋体" w:cs="Times New Roman"/>
                      <w:kern w:val="0"/>
                      <w:sz w:val="21"/>
                      <w:szCs w:val="21"/>
                      <w:lang w:val="en-US" w:eastAsia="zh-CN" w:bidi="ar-SA"/>
                    </w:rPr>
                  </w:pPr>
                  <w:r>
                    <w:rPr>
                      <w:rFonts w:hint="eastAsia" w:eastAsia="宋体"/>
                    </w:rPr>
                    <w:t>1</w:t>
                  </w:r>
                  <w:r>
                    <w:rPr>
                      <w:rFonts w:hint="eastAsia" w:eastAsia="宋体"/>
                      <w:lang w:val="en-US" w:eastAsia="zh-CN"/>
                    </w:rPr>
                    <w:t>1</w:t>
                  </w:r>
                </w:p>
              </w:tc>
              <w:tc>
                <w:tcPr>
                  <w:tcW w:w="525" w:type="pct"/>
                  <w:vMerge w:val="continue"/>
                  <w:shd w:val="clear" w:color="auto" w:fill="auto"/>
                  <w:vAlign w:val="center"/>
                </w:tcPr>
                <w:p w14:paraId="46DFF55B">
                  <w:pPr>
                    <w:pStyle w:val="17"/>
                    <w:ind w:firstLine="0" w:firstLineChars="0"/>
                    <w:rPr>
                      <w:rFonts w:hint="eastAsia" w:ascii="Times New Roman" w:hAnsi="Times New Roman" w:eastAsia="宋体" w:cs="Times New Roman"/>
                      <w:kern w:val="0"/>
                      <w:sz w:val="21"/>
                      <w:szCs w:val="21"/>
                      <w:lang w:val="en-US" w:eastAsia="zh-CN" w:bidi="ar-SA"/>
                    </w:rPr>
                  </w:pPr>
                </w:p>
              </w:tc>
              <w:tc>
                <w:tcPr>
                  <w:tcW w:w="850" w:type="pct"/>
                  <w:shd w:val="clear" w:color="auto" w:fill="auto"/>
                  <w:vAlign w:val="center"/>
                </w:tcPr>
                <w:p w14:paraId="08C31086">
                  <w:pPr>
                    <w:pStyle w:val="17"/>
                    <w:ind w:firstLine="0" w:firstLineChars="0"/>
                    <w:rPr>
                      <w:rFonts w:hint="eastAsia" w:ascii="Times New Roman" w:hAnsi="Times New Roman" w:eastAsia="宋体" w:cs="Times New Roman"/>
                      <w:kern w:val="0"/>
                      <w:sz w:val="21"/>
                      <w:szCs w:val="21"/>
                      <w:lang w:val="en-US" w:eastAsia="zh-CN" w:bidi="ar-SA"/>
                    </w:rPr>
                  </w:pPr>
                  <w:r>
                    <w:rPr>
                      <w:rFonts w:hint="eastAsia" w:eastAsia="宋体"/>
                    </w:rPr>
                    <w:t>生活垃圾</w:t>
                  </w:r>
                </w:p>
              </w:tc>
              <w:tc>
                <w:tcPr>
                  <w:tcW w:w="3128" w:type="pct"/>
                  <w:shd w:val="clear" w:color="auto" w:fill="auto"/>
                  <w:vAlign w:val="center"/>
                </w:tcPr>
                <w:p w14:paraId="1440EE4E">
                  <w:pPr>
                    <w:pStyle w:val="17"/>
                    <w:ind w:firstLine="0" w:firstLineChars="0"/>
                    <w:rPr>
                      <w:rFonts w:hint="eastAsia" w:ascii="Times New Roman" w:hAnsi="Times New Roman" w:eastAsia="宋体" w:cs="Times New Roman"/>
                      <w:kern w:val="0"/>
                      <w:sz w:val="21"/>
                      <w:szCs w:val="21"/>
                      <w:lang w:val="en-US" w:eastAsia="zh-CN" w:bidi="ar-SA"/>
                    </w:rPr>
                  </w:pPr>
                  <w:r>
                    <w:rPr>
                      <w:rFonts w:hint="eastAsia" w:eastAsia="宋体"/>
                    </w:rPr>
                    <w:t>塑料、纸等</w:t>
                  </w:r>
                </w:p>
              </w:tc>
            </w:tr>
            <w:tr w14:paraId="5615A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pct"/>
                  <w:shd w:val="clear" w:color="auto" w:fill="auto"/>
                  <w:vAlign w:val="center"/>
                </w:tcPr>
                <w:p w14:paraId="36B5C457">
                  <w:pPr>
                    <w:pStyle w:val="17"/>
                    <w:ind w:firstLine="0" w:firstLineChars="0"/>
                    <w:rPr>
                      <w:rFonts w:hint="default" w:ascii="Times New Roman" w:hAnsi="Times New Roman" w:eastAsia="宋体" w:cs="Times New Roman"/>
                      <w:kern w:val="0"/>
                      <w:sz w:val="21"/>
                      <w:szCs w:val="21"/>
                      <w:lang w:val="en-US" w:eastAsia="zh-CN" w:bidi="ar-SA"/>
                    </w:rPr>
                  </w:pPr>
                  <w:r>
                    <w:rPr>
                      <w:rFonts w:hint="eastAsia" w:eastAsia="宋体" w:cs="Times New Roman"/>
                      <w:kern w:val="0"/>
                      <w:sz w:val="21"/>
                      <w:szCs w:val="21"/>
                      <w:lang w:val="en-US" w:eastAsia="zh-CN" w:bidi="ar-SA"/>
                    </w:rPr>
                    <w:t>12</w:t>
                  </w:r>
                </w:p>
              </w:tc>
              <w:tc>
                <w:tcPr>
                  <w:tcW w:w="525" w:type="pct"/>
                  <w:shd w:val="clear" w:color="auto" w:fill="auto"/>
                  <w:vAlign w:val="center"/>
                </w:tcPr>
                <w:p w14:paraId="12196DF2">
                  <w:pPr>
                    <w:pStyle w:val="17"/>
                    <w:ind w:firstLine="0" w:firstLineChars="0"/>
                    <w:rPr>
                      <w:rFonts w:hint="eastAsia" w:ascii="Times New Roman" w:hAnsi="Times New Roman" w:eastAsia="宋体" w:cs="Times New Roman"/>
                      <w:kern w:val="0"/>
                      <w:sz w:val="21"/>
                      <w:szCs w:val="21"/>
                      <w:lang w:val="en-US" w:eastAsia="zh-CN" w:bidi="ar-SA"/>
                    </w:rPr>
                  </w:pPr>
                  <w:r>
                    <w:rPr>
                      <w:rFonts w:hint="eastAsia" w:eastAsia="宋体"/>
                    </w:rPr>
                    <w:t>生态</w:t>
                  </w:r>
                </w:p>
              </w:tc>
              <w:tc>
                <w:tcPr>
                  <w:tcW w:w="850" w:type="pct"/>
                  <w:shd w:val="clear" w:color="auto" w:fill="auto"/>
                  <w:vAlign w:val="center"/>
                </w:tcPr>
                <w:p w14:paraId="640D38E5">
                  <w:pPr>
                    <w:pStyle w:val="17"/>
                    <w:ind w:firstLine="0" w:firstLineChars="0"/>
                    <w:rPr>
                      <w:rFonts w:hint="eastAsia" w:ascii="Times New Roman" w:hAnsi="Times New Roman" w:eastAsia="宋体" w:cs="Times New Roman"/>
                      <w:kern w:val="0"/>
                      <w:sz w:val="21"/>
                      <w:szCs w:val="21"/>
                      <w:lang w:val="en-US" w:eastAsia="zh-CN" w:bidi="ar-SA"/>
                    </w:rPr>
                  </w:pPr>
                  <w:r>
                    <w:rPr>
                      <w:rFonts w:hint="eastAsia" w:eastAsia="宋体"/>
                    </w:rPr>
                    <w:t>场地平整</w:t>
                  </w:r>
                </w:p>
              </w:tc>
              <w:tc>
                <w:tcPr>
                  <w:tcW w:w="3128" w:type="pct"/>
                  <w:shd w:val="clear" w:color="auto" w:fill="auto"/>
                  <w:vAlign w:val="center"/>
                </w:tcPr>
                <w:p w14:paraId="3C6835FF">
                  <w:pPr>
                    <w:pStyle w:val="17"/>
                    <w:ind w:firstLine="0" w:firstLineChars="0"/>
                    <w:rPr>
                      <w:rFonts w:hint="eastAsia" w:ascii="Times New Roman" w:hAnsi="Times New Roman" w:eastAsia="宋体" w:cs="Times New Roman"/>
                      <w:kern w:val="0"/>
                      <w:sz w:val="21"/>
                      <w:szCs w:val="21"/>
                      <w:lang w:val="en-US" w:eastAsia="zh-CN" w:bidi="ar-SA"/>
                    </w:rPr>
                  </w:pPr>
                  <w:r>
                    <w:rPr>
                      <w:rFonts w:hint="eastAsia" w:eastAsia="宋体"/>
                    </w:rPr>
                    <w:t>植被破坏、水土流失</w:t>
                  </w:r>
                </w:p>
              </w:tc>
            </w:tr>
          </w:tbl>
          <w:p w14:paraId="2B9E2AD4">
            <w:pPr>
              <w:pStyle w:val="3"/>
              <w:ind w:firstLine="482"/>
              <w:rPr>
                <w:rFonts w:eastAsia="宋体"/>
                <w:b/>
                <w:bCs/>
                <w:color w:val="auto"/>
              </w:rPr>
            </w:pPr>
            <w:r>
              <w:rPr>
                <w:rFonts w:hint="eastAsia" w:eastAsia="宋体"/>
                <w:b/>
                <w:bCs/>
                <w:color w:val="auto"/>
              </w:rPr>
              <w:t>2、建设周期</w:t>
            </w:r>
          </w:p>
          <w:p w14:paraId="4A21EDC9">
            <w:pPr>
              <w:pStyle w:val="3"/>
              <w:ind w:firstLine="480"/>
              <w:rPr>
                <w:rFonts w:hint="default" w:eastAsia="宋体"/>
                <w:lang w:val="en-US" w:eastAsia="zh-CN"/>
              </w:rPr>
            </w:pPr>
            <w:r>
              <w:rPr>
                <w:rFonts w:hint="eastAsia" w:eastAsia="宋体"/>
                <w:color w:val="auto"/>
              </w:rPr>
              <w:t>建设周期为</w:t>
            </w:r>
            <w:r>
              <w:rPr>
                <w:rFonts w:hint="eastAsia" w:eastAsia="宋体"/>
                <w:color w:val="auto"/>
                <w:lang w:val="en-US" w:eastAsia="zh-CN"/>
              </w:rPr>
              <w:t>60</w:t>
            </w:r>
            <w:r>
              <w:rPr>
                <w:rFonts w:hint="eastAsia" w:eastAsia="宋体"/>
                <w:color w:val="auto"/>
              </w:rPr>
              <w:t>天。井场施工人员50人，每天工作24小时，3班2倒。</w:t>
            </w:r>
          </w:p>
        </w:tc>
      </w:tr>
      <w:tr w14:paraId="6E145E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388" w:type="pct"/>
            <w:vAlign w:val="center"/>
          </w:tcPr>
          <w:p w14:paraId="28B5DA1E">
            <w:pPr>
              <w:adjustRightInd w:val="0"/>
              <w:snapToGrid w:val="0"/>
              <w:jc w:val="center"/>
              <w:rPr>
                <w:rFonts w:eastAsia="宋体"/>
                <w:kern w:val="0"/>
                <w:sz w:val="24"/>
              </w:rPr>
            </w:pPr>
            <w:r>
              <w:rPr>
                <w:rFonts w:eastAsia="宋体"/>
                <w:kern w:val="0"/>
                <w:sz w:val="24"/>
              </w:rPr>
              <w:t>其他</w:t>
            </w:r>
          </w:p>
        </w:tc>
        <w:tc>
          <w:tcPr>
            <w:tcW w:w="4611" w:type="pct"/>
            <w:vAlign w:val="center"/>
          </w:tcPr>
          <w:p w14:paraId="4DEF9B70">
            <w:pPr>
              <w:adjustRightInd w:val="0"/>
              <w:snapToGrid w:val="0"/>
              <w:ind w:firstLine="0" w:firstLineChars="0"/>
              <w:jc w:val="center"/>
              <w:rPr>
                <w:rFonts w:hint="eastAsia"/>
              </w:rPr>
            </w:pPr>
          </w:p>
          <w:p w14:paraId="55463E8F">
            <w:pPr>
              <w:adjustRightInd w:val="0"/>
              <w:snapToGrid w:val="0"/>
              <w:ind w:firstLine="0" w:firstLineChars="0"/>
              <w:jc w:val="center"/>
              <w:rPr>
                <w:rFonts w:hint="eastAsia"/>
                <w:sz w:val="24"/>
                <w:szCs w:val="24"/>
              </w:rPr>
            </w:pPr>
          </w:p>
          <w:p w14:paraId="0B2EB436">
            <w:pPr>
              <w:adjustRightInd w:val="0"/>
              <w:snapToGrid w:val="0"/>
              <w:ind w:firstLine="0" w:firstLineChars="0"/>
              <w:jc w:val="center"/>
              <w:rPr>
                <w:rFonts w:hint="eastAsia"/>
                <w:sz w:val="24"/>
                <w:szCs w:val="24"/>
              </w:rPr>
            </w:pPr>
          </w:p>
          <w:p w14:paraId="72109ED1">
            <w:pPr>
              <w:adjustRightInd w:val="0"/>
              <w:snapToGrid w:val="0"/>
              <w:ind w:firstLine="0" w:firstLineChars="0"/>
              <w:jc w:val="center"/>
              <w:rPr>
                <w:rFonts w:hint="eastAsia"/>
                <w:sz w:val="24"/>
                <w:szCs w:val="24"/>
              </w:rPr>
            </w:pPr>
          </w:p>
          <w:p w14:paraId="7086B7C1">
            <w:pPr>
              <w:adjustRightInd w:val="0"/>
              <w:snapToGrid w:val="0"/>
              <w:ind w:firstLine="0" w:firstLineChars="0"/>
              <w:jc w:val="center"/>
              <w:rPr>
                <w:rFonts w:hint="eastAsia"/>
                <w:sz w:val="24"/>
                <w:szCs w:val="24"/>
              </w:rPr>
            </w:pPr>
          </w:p>
          <w:p w14:paraId="726755A7">
            <w:pPr>
              <w:adjustRightInd w:val="0"/>
              <w:snapToGrid w:val="0"/>
              <w:ind w:firstLine="0" w:firstLineChars="0"/>
              <w:jc w:val="center"/>
              <w:rPr>
                <w:rFonts w:hint="eastAsia"/>
                <w:sz w:val="24"/>
                <w:szCs w:val="24"/>
              </w:rPr>
            </w:pPr>
          </w:p>
          <w:p w14:paraId="7A2A3A4B">
            <w:pPr>
              <w:adjustRightInd w:val="0"/>
              <w:snapToGrid w:val="0"/>
              <w:ind w:firstLine="0" w:firstLineChars="0"/>
              <w:jc w:val="center"/>
              <w:rPr>
                <w:rFonts w:hint="eastAsia"/>
                <w:sz w:val="24"/>
                <w:szCs w:val="24"/>
              </w:rPr>
            </w:pPr>
          </w:p>
          <w:p w14:paraId="5C3F1A43">
            <w:pPr>
              <w:adjustRightInd w:val="0"/>
              <w:snapToGrid w:val="0"/>
              <w:ind w:firstLine="0" w:firstLineChars="0"/>
              <w:jc w:val="center"/>
              <w:rPr>
                <w:rFonts w:hint="eastAsia"/>
                <w:sz w:val="24"/>
                <w:szCs w:val="24"/>
              </w:rPr>
            </w:pPr>
          </w:p>
          <w:p w14:paraId="664C7D20">
            <w:pPr>
              <w:adjustRightInd w:val="0"/>
              <w:snapToGrid w:val="0"/>
              <w:ind w:firstLine="0" w:firstLineChars="0"/>
              <w:jc w:val="center"/>
              <w:rPr>
                <w:rFonts w:hint="eastAsia"/>
                <w:sz w:val="24"/>
                <w:szCs w:val="24"/>
              </w:rPr>
            </w:pPr>
          </w:p>
          <w:p w14:paraId="44D37ED6">
            <w:pPr>
              <w:adjustRightInd w:val="0"/>
              <w:snapToGrid w:val="0"/>
              <w:ind w:firstLine="0" w:firstLineChars="0"/>
              <w:jc w:val="center"/>
              <w:rPr>
                <w:rFonts w:hint="eastAsia"/>
                <w:sz w:val="24"/>
                <w:szCs w:val="24"/>
              </w:rPr>
            </w:pPr>
            <w:r>
              <w:rPr>
                <w:rFonts w:hint="eastAsia"/>
                <w:sz w:val="24"/>
                <w:szCs w:val="24"/>
              </w:rPr>
              <w:t>无</w:t>
            </w:r>
          </w:p>
          <w:p w14:paraId="17857758">
            <w:pPr>
              <w:pStyle w:val="3"/>
              <w:jc w:val="center"/>
              <w:rPr>
                <w:rFonts w:hint="eastAsia"/>
                <w:sz w:val="24"/>
                <w:szCs w:val="24"/>
              </w:rPr>
            </w:pPr>
          </w:p>
          <w:p w14:paraId="0DB63108">
            <w:pPr>
              <w:jc w:val="center"/>
              <w:rPr>
                <w:rFonts w:hint="eastAsia"/>
                <w:sz w:val="24"/>
                <w:szCs w:val="24"/>
              </w:rPr>
            </w:pPr>
          </w:p>
          <w:p w14:paraId="1BCF1DCC">
            <w:pPr>
              <w:pStyle w:val="3"/>
              <w:jc w:val="center"/>
              <w:rPr>
                <w:rFonts w:hint="eastAsia"/>
                <w:sz w:val="24"/>
                <w:szCs w:val="24"/>
              </w:rPr>
            </w:pPr>
          </w:p>
          <w:p w14:paraId="08EA9B57">
            <w:pPr>
              <w:jc w:val="center"/>
              <w:rPr>
                <w:rFonts w:hint="eastAsia"/>
                <w:sz w:val="24"/>
                <w:szCs w:val="24"/>
              </w:rPr>
            </w:pPr>
          </w:p>
          <w:p w14:paraId="078E0960">
            <w:pPr>
              <w:pStyle w:val="3"/>
              <w:rPr>
                <w:rFonts w:hint="eastAsia"/>
                <w:sz w:val="24"/>
                <w:szCs w:val="24"/>
              </w:rPr>
            </w:pPr>
          </w:p>
          <w:p w14:paraId="59EB1AB1">
            <w:pPr>
              <w:rPr>
                <w:rFonts w:hint="eastAsia"/>
                <w:sz w:val="24"/>
                <w:szCs w:val="24"/>
              </w:rPr>
            </w:pPr>
          </w:p>
          <w:p w14:paraId="2043C4EE">
            <w:pPr>
              <w:pStyle w:val="3"/>
              <w:rPr>
                <w:rFonts w:hint="eastAsia"/>
                <w:sz w:val="24"/>
                <w:szCs w:val="24"/>
              </w:rPr>
            </w:pPr>
          </w:p>
          <w:p w14:paraId="28B40B49">
            <w:pPr>
              <w:rPr>
                <w:rFonts w:hint="eastAsia"/>
              </w:rPr>
            </w:pPr>
          </w:p>
          <w:p w14:paraId="60B2CEE5">
            <w:pPr>
              <w:pStyle w:val="3"/>
              <w:jc w:val="center"/>
              <w:rPr>
                <w:rFonts w:hint="eastAsia"/>
                <w:sz w:val="24"/>
                <w:szCs w:val="24"/>
              </w:rPr>
            </w:pPr>
          </w:p>
          <w:p w14:paraId="7D1C437C">
            <w:pPr>
              <w:jc w:val="center"/>
              <w:rPr>
                <w:rFonts w:hint="eastAsia"/>
                <w:sz w:val="24"/>
                <w:szCs w:val="24"/>
              </w:rPr>
            </w:pPr>
          </w:p>
          <w:p w14:paraId="7E99D3A7">
            <w:pPr>
              <w:pStyle w:val="3"/>
              <w:jc w:val="center"/>
              <w:rPr>
                <w:rFonts w:hint="eastAsia"/>
                <w:lang w:val="en-US" w:eastAsia="zh-CN"/>
              </w:rPr>
            </w:pPr>
          </w:p>
        </w:tc>
      </w:tr>
    </w:tbl>
    <w:p w14:paraId="52AC0F99">
      <w:pPr>
        <w:pStyle w:val="9"/>
        <w:spacing w:before="0" w:beforeAutospacing="0" w:after="0" w:afterAutospacing="0"/>
        <w:jc w:val="center"/>
        <w:outlineLvl w:val="0"/>
        <w:rPr>
          <w:rFonts w:hint="eastAsia" w:ascii="黑体" w:hAnsi="黑体" w:eastAsia="黑体" w:cs="黑体"/>
          <w:b w:val="0"/>
          <w:bCs w:val="0"/>
          <w:snapToGrid w:val="0"/>
          <w:sz w:val="30"/>
          <w:szCs w:val="30"/>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AE973A5">
      <w:pPr>
        <w:pStyle w:val="9"/>
        <w:spacing w:before="0" w:beforeAutospacing="0" w:after="0" w:afterAutospacing="0"/>
        <w:jc w:val="center"/>
        <w:outlineLvl w:val="0"/>
        <w:rPr>
          <w:rFonts w:ascii="Times New Roman" w:hAnsi="Times New Roman" w:eastAsia="宋体"/>
          <w:snapToGrid w:val="0"/>
          <w:sz w:val="30"/>
          <w:szCs w:val="30"/>
        </w:rPr>
      </w:pPr>
      <w:r>
        <w:rPr>
          <w:rFonts w:hint="eastAsia" w:ascii="黑体" w:hAnsi="黑体" w:eastAsia="黑体" w:cs="黑体"/>
          <w:b w:val="0"/>
          <w:bCs w:val="0"/>
          <w:snapToGrid w:val="0"/>
          <w:sz w:val="30"/>
          <w:szCs w:val="30"/>
        </w:rPr>
        <w:t>三、生态环境现状、保护目标及评价标准</w:t>
      </w:r>
    </w:p>
    <w:tbl>
      <w:tblPr>
        <w:tblStyle w:val="1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54"/>
        <w:gridCol w:w="7459"/>
      </w:tblGrid>
      <w:tr w14:paraId="357ACE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5" w:type="pct"/>
            <w:vAlign w:val="center"/>
          </w:tcPr>
          <w:p w14:paraId="38215425">
            <w:pPr>
              <w:adjustRightInd w:val="0"/>
              <w:snapToGrid w:val="0"/>
              <w:jc w:val="center"/>
              <w:rPr>
                <w:rFonts w:eastAsia="宋体"/>
                <w:kern w:val="0"/>
                <w:sz w:val="24"/>
              </w:rPr>
            </w:pPr>
            <w:r>
              <w:rPr>
                <w:rFonts w:eastAsia="宋体"/>
                <w:kern w:val="0"/>
                <w:sz w:val="24"/>
              </w:rPr>
              <w:t>生态环境现状</w:t>
            </w:r>
          </w:p>
        </w:tc>
        <w:tc>
          <w:tcPr>
            <w:tcW w:w="4584" w:type="pct"/>
            <w:gridSpan w:val="2"/>
          </w:tcPr>
          <w:p w14:paraId="6C52D6B5">
            <w:pPr>
              <w:pStyle w:val="2"/>
              <w:ind w:firstLine="482" w:firstLineChars="200"/>
              <w:rPr>
                <w:rFonts w:eastAsia="宋体"/>
              </w:rPr>
            </w:pPr>
            <w:r>
              <w:rPr>
                <w:rFonts w:hint="eastAsia" w:eastAsia="宋体"/>
              </w:rPr>
              <w:t>1、主体功能区规划</w:t>
            </w:r>
          </w:p>
          <w:p w14:paraId="6FE5BC2D">
            <w:pPr>
              <w:pStyle w:val="3"/>
              <w:ind w:firstLine="480"/>
              <w:rPr>
                <w:rFonts w:hint="eastAsia" w:ascii="Times New Roman" w:hAnsi="Times New Roman" w:eastAsia="宋体" w:cs="Times New Roman"/>
              </w:rPr>
            </w:pPr>
            <w:r>
              <w:rPr>
                <w:rFonts w:hint="eastAsia" w:ascii="Times New Roman" w:hAnsi="Times New Roman" w:eastAsia="宋体" w:cs="Times New Roman"/>
              </w:rPr>
              <w:t>根据《江苏省主体功能区规划》，本项目所在地高邮市汤庄镇位于限制开发区域（农产品主产区），该区域耕地较多、农业发展条件较好，尽管也适宜工业化城镇化开发，但从保障粮食安全的需要出发，必须把增强农业综合生产能力作为发展的首要任务，应该限制进行大规模高强度工业化城镇化开发。本区域重点发展特色优势农业，鼓励发展生态旅游、商贸等服务经济。因地制宜发展资源环境可承载的加工制造业，推进工业向有限的特色园区集中布局，实施点状集聚开发。合理控制开发强度和规模，加强生态环境保护和修复，保障地区生态安全。建设成为区域的重要农产品主产区和生态经济区。</w:t>
            </w:r>
          </w:p>
          <w:p w14:paraId="0D4CCDD5">
            <w:pPr>
              <w:pStyle w:val="3"/>
              <w:ind w:firstLine="480"/>
              <w:rPr>
                <w:rFonts w:hint="eastAsia" w:eastAsia="宋体"/>
              </w:rPr>
            </w:pPr>
            <w:r>
              <w:rPr>
                <w:rFonts w:hint="eastAsia" w:eastAsia="宋体"/>
                <w:color w:val="auto"/>
              </w:rPr>
              <w:t>本项目临时占地类型主要为耕地，取得临时占地手续后方才开工建设，在工程结束后，对占用土地进行复垦，恢复土地的原有生态功能。项目实施对当地影响较小，符合主体功能区规划。</w:t>
            </w:r>
          </w:p>
          <w:p w14:paraId="4B000D57">
            <w:pPr>
              <w:pStyle w:val="2"/>
              <w:ind w:firstLine="482" w:firstLineChars="200"/>
              <w:rPr>
                <w:rFonts w:eastAsia="宋体"/>
              </w:rPr>
            </w:pPr>
            <w:r>
              <w:rPr>
                <w:rFonts w:hint="eastAsia" w:eastAsia="宋体"/>
              </w:rPr>
              <w:t>2、生态功能区划</w:t>
            </w:r>
          </w:p>
          <w:p w14:paraId="28CF4C0F">
            <w:pPr>
              <w:pStyle w:val="3"/>
              <w:ind w:firstLine="480"/>
              <w:rPr>
                <w:rFonts w:eastAsia="宋体"/>
              </w:rPr>
            </w:pPr>
            <w:r>
              <w:rPr>
                <w:rFonts w:hint="eastAsia" w:eastAsia="宋体"/>
              </w:rPr>
              <w:t>对照《全国生态功能区划（修编版）》（2015年11月），本项目所在区域生态功能区划为</w:t>
            </w:r>
            <w:r>
              <w:rPr>
                <w:rFonts w:hint="default" w:ascii="Times New Roman" w:hAnsi="Times New Roman" w:eastAsia="宋体" w:cs="Times New Roman"/>
              </w:rPr>
              <w:t>“Ⅲ</w:t>
            </w:r>
            <w:r>
              <w:rPr>
                <w:rFonts w:hint="eastAsia" w:eastAsia="宋体"/>
              </w:rPr>
              <w:t>-01-02长三角大都市群</w:t>
            </w:r>
            <w:r>
              <w:rPr>
                <w:rFonts w:hint="default" w:ascii="Times New Roman" w:hAnsi="Times New Roman" w:eastAsia="宋体" w:cs="Times New Roman"/>
              </w:rPr>
              <w:t>”</w:t>
            </w:r>
            <w:r>
              <w:rPr>
                <w:rFonts w:hint="eastAsia" w:eastAsia="宋体"/>
              </w:rPr>
              <w:t>。</w:t>
            </w:r>
          </w:p>
          <w:p w14:paraId="6EA9576C">
            <w:pPr>
              <w:pStyle w:val="3"/>
              <w:ind w:firstLine="480"/>
              <w:rPr>
                <w:rFonts w:eastAsia="宋体"/>
              </w:rPr>
            </w:pPr>
            <w:r>
              <w:rPr>
                <w:rFonts w:hint="eastAsia" w:eastAsia="宋体"/>
              </w:rPr>
              <w:t xml:space="preserve">该类型区的主要生态问题：城市无限制扩张，生态承载力严重超载，生态功能低，污染严重，人居环境质量下降。 </w:t>
            </w:r>
          </w:p>
          <w:p w14:paraId="3F210CCD">
            <w:pPr>
              <w:pStyle w:val="3"/>
              <w:ind w:firstLine="480"/>
              <w:rPr>
                <w:rFonts w:eastAsia="宋体"/>
              </w:rPr>
            </w:pPr>
            <w:r>
              <w:rPr>
                <w:rFonts w:hint="eastAsia" w:eastAsia="宋体"/>
              </w:rPr>
              <w:t>该类型区生态保护主要方向：加强城市发展规划，控制城市规模，合理布局城市功能组团；加强生态城市建设，大力调整产业结构，提高资源利用效率，控制城市污染，推进循环经济和循环社会的建设。</w:t>
            </w:r>
          </w:p>
          <w:p w14:paraId="5E9ADF09">
            <w:pPr>
              <w:pStyle w:val="3"/>
              <w:ind w:firstLine="480"/>
              <w:rPr>
                <w:rFonts w:eastAsia="宋体"/>
              </w:rPr>
            </w:pPr>
            <w:r>
              <w:rPr>
                <w:rFonts w:hint="eastAsia" w:eastAsia="宋体"/>
              </w:rPr>
              <w:t>本项目在建设过程中尽可能减少对周边生态环境的影响，采取一系列措施，保证废水、废气、固废等均合理妥善处置，将对周边环境的影响降至最低，不会改变当地的生态功能。</w:t>
            </w:r>
          </w:p>
          <w:p w14:paraId="10F9D86E">
            <w:pPr>
              <w:pStyle w:val="2"/>
              <w:ind w:firstLine="482" w:firstLineChars="200"/>
              <w:rPr>
                <w:rFonts w:eastAsia="宋体"/>
              </w:rPr>
            </w:pPr>
            <w:r>
              <w:rPr>
                <w:rFonts w:hint="eastAsia" w:eastAsia="宋体"/>
              </w:rPr>
              <w:t>3、生态环境现状</w:t>
            </w:r>
          </w:p>
          <w:p w14:paraId="7197682B">
            <w:pPr>
              <w:pStyle w:val="3"/>
              <w:ind w:firstLine="480"/>
              <w:rPr>
                <w:rFonts w:eastAsia="宋体"/>
                <w:color w:val="auto"/>
              </w:rPr>
            </w:pPr>
            <w:r>
              <w:rPr>
                <w:rFonts w:hint="eastAsia" w:eastAsia="宋体"/>
                <w:color w:val="auto"/>
              </w:rPr>
              <w:t>（1）土地利用类型</w:t>
            </w:r>
          </w:p>
          <w:p w14:paraId="334B054B">
            <w:pPr>
              <w:pStyle w:val="3"/>
              <w:ind w:firstLine="480"/>
              <w:rPr>
                <w:rFonts w:eastAsia="宋体"/>
                <w:color w:val="auto"/>
              </w:rPr>
            </w:pPr>
            <w:r>
              <w:rPr>
                <w:rFonts w:hint="eastAsia" w:eastAsia="宋体"/>
                <w:color w:val="auto"/>
              </w:rPr>
              <w:t>对照《高邮市国土空间总体规划（20</w:t>
            </w:r>
            <w:r>
              <w:rPr>
                <w:rFonts w:hint="eastAsia" w:eastAsia="宋体"/>
                <w:color w:val="auto"/>
                <w:lang w:val="en-US" w:eastAsia="zh-CN"/>
              </w:rPr>
              <w:t>21</w:t>
            </w:r>
            <w:r>
              <w:rPr>
                <w:rFonts w:hint="eastAsia" w:eastAsia="宋体"/>
                <w:color w:val="auto"/>
              </w:rPr>
              <w:t>~20</w:t>
            </w:r>
            <w:r>
              <w:rPr>
                <w:rFonts w:hint="eastAsia" w:eastAsia="宋体"/>
                <w:color w:val="auto"/>
                <w:lang w:val="en-US" w:eastAsia="zh-CN"/>
              </w:rPr>
              <w:t>35</w:t>
            </w:r>
            <w:r>
              <w:rPr>
                <w:rFonts w:hint="eastAsia" w:eastAsia="宋体"/>
                <w:color w:val="auto"/>
              </w:rPr>
              <w:t>）》，本项目临时占地类型为基本农田，以种植水稻、小麦为主。</w:t>
            </w:r>
          </w:p>
          <w:p w14:paraId="1BC71642">
            <w:pPr>
              <w:pStyle w:val="3"/>
              <w:ind w:firstLine="480"/>
              <w:rPr>
                <w:rFonts w:eastAsia="宋体"/>
                <w:color w:val="auto"/>
              </w:rPr>
            </w:pPr>
            <w:r>
              <w:rPr>
                <w:rFonts w:hint="eastAsia" w:eastAsia="宋体"/>
                <w:color w:val="auto"/>
              </w:rPr>
              <w:t>（2）植被类型</w:t>
            </w:r>
          </w:p>
          <w:p w14:paraId="278D22C2">
            <w:pPr>
              <w:pStyle w:val="3"/>
              <w:ind w:firstLine="480"/>
              <w:rPr>
                <w:rFonts w:eastAsia="宋体"/>
                <w:color w:val="auto"/>
              </w:rPr>
            </w:pPr>
            <w:r>
              <w:rPr>
                <w:rFonts w:hint="eastAsia" w:eastAsia="宋体"/>
                <w:color w:val="auto"/>
              </w:rPr>
              <w:t>据记载，高邮市植被属于落叶阔叶与常绿阔叶混交林类型，由于长期的农业生产及开发活动，自然植被已不复存在，目前本区域植被以人工植被为主，主要种植绿化草木，自然植物品种主要包括以下三种：</w:t>
            </w:r>
          </w:p>
          <w:p w14:paraId="5286E3DF">
            <w:pPr>
              <w:pStyle w:val="3"/>
              <w:ind w:firstLine="480"/>
              <w:rPr>
                <w:rFonts w:eastAsia="宋体"/>
                <w:color w:val="auto"/>
              </w:rPr>
            </w:pPr>
            <w:r>
              <w:rPr>
                <w:rFonts w:hint="eastAsia" w:eastAsia="宋体"/>
                <w:color w:val="auto"/>
              </w:rPr>
              <w:t>①树木类：主要乡土树种有柳树、刺槐、榆树、杨、乔木桑、柏树、女真椿、杏、李、桃、石榴、银杏等；</w:t>
            </w:r>
          </w:p>
          <w:p w14:paraId="0EB3DE85">
            <w:pPr>
              <w:pStyle w:val="3"/>
              <w:ind w:firstLine="480"/>
              <w:rPr>
                <w:rFonts w:eastAsia="宋体"/>
                <w:color w:val="auto"/>
              </w:rPr>
            </w:pPr>
            <w:r>
              <w:rPr>
                <w:rFonts w:hint="eastAsia" w:eastAsia="宋体"/>
                <w:color w:val="auto"/>
              </w:rPr>
              <w:t>②草类：高邮市境内约有草类60科，140属，200种；</w:t>
            </w:r>
          </w:p>
          <w:p w14:paraId="7834196D">
            <w:pPr>
              <w:pStyle w:val="3"/>
              <w:ind w:firstLine="480"/>
              <w:rPr>
                <w:rFonts w:eastAsia="宋体"/>
                <w:color w:val="auto"/>
              </w:rPr>
            </w:pPr>
            <w:r>
              <w:rPr>
                <w:rFonts w:hint="eastAsia" w:eastAsia="宋体"/>
                <w:color w:val="auto"/>
              </w:rPr>
              <w:t>③藻类：水体中共有三门（蓝藻门、绿藻门、硅藻门）63 属。</w:t>
            </w:r>
          </w:p>
          <w:p w14:paraId="6A88C375">
            <w:pPr>
              <w:pStyle w:val="3"/>
              <w:ind w:firstLine="480"/>
              <w:rPr>
                <w:rFonts w:eastAsia="宋体"/>
                <w:color w:val="auto"/>
              </w:rPr>
            </w:pPr>
            <w:r>
              <w:rPr>
                <w:rFonts w:hint="eastAsia" w:eastAsia="宋体"/>
                <w:color w:val="auto"/>
              </w:rPr>
              <w:t>林木有人工林地、农田林网、还有在圩堤、滩地、民宅四周和沟渠、道路两侧种植的树木，主要树种包括泡桐、水杉、意杨、池杉等经济用材林和果树。农田作物主要有小麦、水稻、油菜等，其次还有藕、大豆、芝麻等经济作物。</w:t>
            </w:r>
          </w:p>
          <w:p w14:paraId="453792E5">
            <w:pPr>
              <w:pStyle w:val="3"/>
              <w:ind w:firstLine="480"/>
              <w:rPr>
                <w:rFonts w:eastAsia="宋体"/>
                <w:color w:val="auto"/>
              </w:rPr>
            </w:pPr>
            <w:r>
              <w:rPr>
                <w:rFonts w:hint="eastAsia" w:eastAsia="宋体"/>
                <w:color w:val="auto"/>
              </w:rPr>
              <w:t>本次评价区域植被类型属常绿阔叶林带。由于规划区人口密集且活动频繁，长期的开发使得原生植被已不复存在，代之以人工植被为主，包括农作物、防护林等。农作物品种主要有水稻、小麦、蚕豌豆、玉米、大豆、薯类、油菜及瓜果、蔬菜等。防护林主要为河堤、道路两侧的防护林，以杨树、水衫为主。</w:t>
            </w:r>
          </w:p>
          <w:p w14:paraId="0AC3AD5E">
            <w:pPr>
              <w:pStyle w:val="3"/>
              <w:ind w:firstLine="480"/>
              <w:rPr>
                <w:rFonts w:eastAsia="宋体"/>
                <w:color w:val="auto"/>
              </w:rPr>
            </w:pPr>
            <w:r>
              <w:rPr>
                <w:rFonts w:hint="eastAsia" w:eastAsia="宋体"/>
                <w:color w:val="auto"/>
              </w:rPr>
              <w:t>经调查，本次评价范围内无古树名木和珍稀濒危植物资源。</w:t>
            </w:r>
          </w:p>
          <w:p w14:paraId="7CBF6314">
            <w:pPr>
              <w:pStyle w:val="3"/>
              <w:ind w:firstLine="480"/>
              <w:rPr>
                <w:rFonts w:eastAsia="宋体"/>
                <w:color w:val="auto"/>
              </w:rPr>
            </w:pPr>
            <w:r>
              <w:rPr>
                <w:rFonts w:hint="eastAsia" w:eastAsia="宋体"/>
                <w:color w:val="auto"/>
              </w:rPr>
              <w:t>（3）野生动物类型</w:t>
            </w:r>
          </w:p>
          <w:p w14:paraId="06FE8C97">
            <w:pPr>
              <w:pStyle w:val="3"/>
              <w:ind w:firstLine="480"/>
              <w:rPr>
                <w:rFonts w:eastAsia="宋体"/>
                <w:color w:val="auto"/>
              </w:rPr>
            </w:pPr>
            <w:r>
              <w:rPr>
                <w:rFonts w:hint="eastAsia" w:eastAsia="宋体"/>
                <w:color w:val="auto"/>
              </w:rPr>
              <w:t>本次项目陆域评价范围内受人类活动影响，地表植被已由人工植被替代，大型野生动物已相继绝迹，区域内现有野生动物以两栖爬行动物、鸟类和小型哺乳动物为主。</w:t>
            </w:r>
          </w:p>
          <w:p w14:paraId="055048B3">
            <w:pPr>
              <w:pStyle w:val="2"/>
              <w:ind w:firstLine="482" w:firstLineChars="200"/>
              <w:rPr>
                <w:rFonts w:eastAsia="宋体"/>
                <w:color w:val="auto"/>
              </w:rPr>
            </w:pPr>
            <w:r>
              <w:rPr>
                <w:rFonts w:hint="eastAsia" w:eastAsia="宋体"/>
                <w:color w:val="auto"/>
              </w:rPr>
              <w:t>4、环境空气质量现状</w:t>
            </w:r>
          </w:p>
          <w:p w14:paraId="05B17DC5">
            <w:pPr>
              <w:pStyle w:val="3"/>
              <w:ind w:firstLine="480"/>
              <w:rPr>
                <w:rFonts w:eastAsia="宋体"/>
                <w:color w:val="auto"/>
              </w:rPr>
            </w:pPr>
            <w:r>
              <w:rPr>
                <w:rFonts w:hint="eastAsia" w:eastAsia="宋体"/>
                <w:color w:val="auto"/>
              </w:rPr>
              <w:t>（1）空气质量达标区判定</w:t>
            </w:r>
          </w:p>
          <w:p w14:paraId="77C1A9A7">
            <w:pPr>
              <w:pStyle w:val="3"/>
              <w:ind w:firstLine="480"/>
              <w:rPr>
                <w:rFonts w:hint="eastAsia" w:ascii="Times New Roman" w:hAnsi="Times New Roman" w:eastAsia="宋体" w:cs="Times New Roman"/>
                <w:color w:val="auto"/>
              </w:rPr>
            </w:pPr>
            <w:r>
              <w:rPr>
                <w:rFonts w:hint="eastAsia" w:ascii="Times New Roman" w:hAnsi="Times New Roman" w:eastAsia="宋体" w:cs="Times New Roman"/>
                <w:color w:val="auto"/>
              </w:rPr>
              <w:t>根据《2023年高邮市生态环境质量公报》，2023年环境空气有效监测天数为364天，环境空气质量优良天数为288天，占全年有效监测天数的79.1%，比上年提高了0.2个百分点。其中，细颗粒物（PM</w:t>
            </w:r>
            <w:r>
              <w:rPr>
                <w:rFonts w:hint="eastAsia" w:ascii="Times New Roman" w:hAnsi="Times New Roman" w:eastAsia="宋体" w:cs="Times New Roman"/>
                <w:color w:val="auto"/>
                <w:vertAlign w:val="subscript"/>
              </w:rPr>
              <w:t>2.5</w:t>
            </w:r>
            <w:r>
              <w:rPr>
                <w:rFonts w:hint="eastAsia" w:ascii="Times New Roman" w:hAnsi="Times New Roman" w:eastAsia="宋体" w:cs="Times New Roman"/>
                <w:color w:val="auto"/>
              </w:rPr>
              <w:t>）年均值为</w:t>
            </w:r>
            <w:r>
              <w:rPr>
                <w:rFonts w:hint="default" w:ascii="Times New Roman" w:hAnsi="Times New Roman" w:eastAsia="宋体" w:cs="Times New Roman"/>
                <w:color w:val="auto"/>
              </w:rPr>
              <w:t>33μg/m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r>
              <w:rPr>
                <w:rFonts w:hint="eastAsia" w:ascii="Times New Roman" w:hAnsi="Times New Roman" w:eastAsia="宋体" w:cs="Times New Roman"/>
                <w:color w:val="auto"/>
              </w:rPr>
              <w:t>可吸入颗粒物（PM</w:t>
            </w:r>
            <w:r>
              <w:rPr>
                <w:rFonts w:hint="eastAsia" w:ascii="Times New Roman" w:hAnsi="Times New Roman" w:eastAsia="宋体" w:cs="Times New Roman"/>
                <w:color w:val="auto"/>
                <w:vertAlign w:val="subscript"/>
              </w:rPr>
              <w:t>10</w:t>
            </w:r>
            <w:r>
              <w:rPr>
                <w:rFonts w:hint="eastAsia" w:ascii="Times New Roman" w:hAnsi="Times New Roman" w:eastAsia="宋体" w:cs="Times New Roman"/>
                <w:color w:val="auto"/>
              </w:rPr>
              <w:t>）年均值为</w:t>
            </w:r>
            <w:r>
              <w:rPr>
                <w:rFonts w:hint="default" w:ascii="Times New Roman" w:hAnsi="Times New Roman" w:eastAsia="宋体" w:cs="Times New Roman"/>
                <w:color w:val="auto"/>
              </w:rPr>
              <w:t>53μg/m</w:t>
            </w:r>
            <w:r>
              <w:rPr>
                <w:rFonts w:hint="default" w:ascii="Times New Roman" w:hAnsi="Times New Roman" w:eastAsia="宋体" w:cs="Times New Roman"/>
                <w:color w:val="auto"/>
                <w:vertAlign w:val="superscript"/>
              </w:rPr>
              <w:t>3</w:t>
            </w:r>
            <w:r>
              <w:rPr>
                <w:rFonts w:hint="eastAsia" w:ascii="Times New Roman" w:hAnsi="Times New Roman" w:eastAsia="宋体" w:cs="Times New Roman"/>
                <w:color w:val="auto"/>
              </w:rPr>
              <w:t>，二氧化硫年均值为</w:t>
            </w:r>
            <w:r>
              <w:rPr>
                <w:rFonts w:hint="default" w:ascii="Times New Roman" w:hAnsi="Times New Roman" w:eastAsia="宋体" w:cs="Times New Roman"/>
                <w:color w:val="auto"/>
              </w:rPr>
              <w:t>9μg/m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r>
              <w:rPr>
                <w:rFonts w:hint="eastAsia" w:ascii="Times New Roman" w:hAnsi="Times New Roman" w:eastAsia="宋体" w:cs="Times New Roman"/>
                <w:color w:val="auto"/>
              </w:rPr>
              <w:t>二氧化氮年均值</w:t>
            </w:r>
            <w:r>
              <w:rPr>
                <w:rFonts w:hint="default" w:ascii="Times New Roman" w:hAnsi="Times New Roman" w:eastAsia="宋体" w:cs="Times New Roman"/>
                <w:color w:val="auto"/>
              </w:rPr>
              <w:t>为29μg/m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r>
              <w:rPr>
                <w:rFonts w:hint="eastAsia" w:ascii="Times New Roman" w:hAnsi="Times New Roman" w:eastAsia="宋体" w:cs="Times New Roman"/>
                <w:color w:val="auto"/>
              </w:rPr>
              <w:t>臭氧最大8h平均第90分位年浓度均</w:t>
            </w:r>
            <w:r>
              <w:rPr>
                <w:rFonts w:hint="default" w:ascii="Times New Roman" w:hAnsi="Times New Roman" w:eastAsia="宋体" w:cs="Times New Roman"/>
                <w:color w:val="auto"/>
              </w:rPr>
              <w:t>值为168μg/m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，一氧化碳年浓度均值为 0.83μg/m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。2023年高邮空气质量监测指标中细颗粒物（PM</w:t>
            </w:r>
            <w:r>
              <w:rPr>
                <w:rFonts w:hint="default" w:ascii="Times New Roman" w:hAnsi="Times New Roman" w:eastAsia="宋体" w:cs="Times New Roman"/>
                <w:color w:val="auto"/>
                <w:vertAlign w:val="subscript"/>
              </w:rPr>
              <w:t>2.5</w:t>
            </w:r>
            <w:r>
              <w:rPr>
                <w:rFonts w:hint="default" w:ascii="Times New Roman" w:hAnsi="Times New Roman" w:eastAsia="宋体" w:cs="Times New Roman"/>
                <w:color w:val="auto"/>
              </w:rPr>
              <w:t>）、可吸入颗粒物（PM</w:t>
            </w:r>
            <w:r>
              <w:rPr>
                <w:rFonts w:hint="default" w:ascii="Times New Roman" w:hAnsi="Times New Roman" w:eastAsia="宋体" w:cs="Times New Roman"/>
                <w:color w:val="auto"/>
                <w:vertAlign w:val="subscript"/>
              </w:rPr>
              <w:t>10</w:t>
            </w:r>
            <w:r>
              <w:rPr>
                <w:rFonts w:hint="default" w:ascii="Times New Roman" w:hAnsi="Times New Roman" w:eastAsia="宋体" w:cs="Times New Roman"/>
                <w:color w:val="auto"/>
              </w:rPr>
              <w:t>）和臭氧8h平均第90分位均存在不同程度超标。其中可吸入颗粒物（PM</w:t>
            </w:r>
            <w:r>
              <w:rPr>
                <w:rFonts w:hint="default" w:ascii="Times New Roman" w:hAnsi="Times New Roman" w:eastAsia="宋体" w:cs="Times New Roman"/>
                <w:color w:val="auto"/>
                <w:vertAlign w:val="subscript"/>
              </w:rPr>
              <w:t>10</w:t>
            </w:r>
            <w:r>
              <w:rPr>
                <w:rFonts w:hint="default" w:ascii="Times New Roman" w:hAnsi="Times New Roman" w:eastAsia="宋体" w:cs="Times New Roman"/>
                <w:color w:val="auto"/>
              </w:rPr>
              <w:t>）超标率为1.8%，细颗粒物（PM</w:t>
            </w:r>
            <w:r>
              <w:rPr>
                <w:rFonts w:hint="default" w:ascii="Times New Roman" w:hAnsi="Times New Roman" w:eastAsia="宋体" w:cs="Times New Roman"/>
                <w:color w:val="auto"/>
                <w:vertAlign w:val="subscript"/>
              </w:rPr>
              <w:t>2.5</w:t>
            </w:r>
            <w:r>
              <w:rPr>
                <w:rFonts w:hint="default" w:ascii="Times New Roman" w:hAnsi="Times New Roman" w:eastAsia="宋体" w:cs="Times New Roman"/>
                <w:color w:val="auto"/>
              </w:rPr>
              <w:t>）超标率为6.7%，臭氧8h平均第90分位超标率为12.6%；与去年相比可吸入颗粒物（PM</w:t>
            </w:r>
            <w:r>
              <w:rPr>
                <w:rFonts w:hint="default" w:ascii="Times New Roman" w:hAnsi="Times New Roman" w:eastAsia="宋体" w:cs="Times New Roman"/>
                <w:color w:val="auto"/>
                <w:vertAlign w:val="subscript"/>
              </w:rPr>
              <w:t>10</w:t>
            </w:r>
            <w:r>
              <w:rPr>
                <w:rFonts w:hint="default" w:ascii="Times New Roman" w:hAnsi="Times New Roman" w:eastAsia="宋体" w:cs="Times New Roman"/>
                <w:color w:val="auto"/>
              </w:rPr>
              <w:t>）和细颗粒物（PM</w:t>
            </w:r>
            <w:r>
              <w:rPr>
                <w:rFonts w:hint="default" w:ascii="Times New Roman" w:hAnsi="Times New Roman" w:eastAsia="宋体" w:cs="Times New Roman"/>
                <w:color w:val="auto"/>
                <w:vertAlign w:val="subscript"/>
              </w:rPr>
              <w:t>2.5</w:t>
            </w:r>
            <w:r>
              <w:rPr>
                <w:rFonts w:hint="default" w:ascii="Times New Roman" w:hAnsi="Times New Roman" w:eastAsia="宋体" w:cs="Times New Roman"/>
                <w:color w:val="auto"/>
              </w:rPr>
              <w:t>）超标率都有所上升，臭氧8小时超标率有所下降。本项目所在区域为大气不达标区。</w:t>
            </w:r>
          </w:p>
          <w:p w14:paraId="68ABD12E">
            <w:pPr>
              <w:pStyle w:val="3"/>
              <w:ind w:firstLine="480"/>
              <w:rPr>
                <w:rFonts w:hint="eastAsia" w:ascii="Times New Roman" w:hAnsi="Times New Roman" w:eastAsia="宋体" w:cs="Times New Roman"/>
                <w:color w:val="auto"/>
              </w:rPr>
            </w:pPr>
            <w:r>
              <w:rPr>
                <w:rFonts w:hint="eastAsia" w:ascii="Times New Roman" w:hAnsi="Times New Roman" w:eastAsia="宋体" w:cs="Times New Roman"/>
                <w:color w:val="auto"/>
              </w:rPr>
              <w:t>为进一步做好全市污染天气的管控工作，高邮市人民政府办公室印发《高邮市2024年大气污染防治工作计划》（2024年6月24日），待各项措施落实后，区域大气环境质量将逐步改善。</w:t>
            </w:r>
          </w:p>
          <w:p w14:paraId="3EE8F47A">
            <w:pPr>
              <w:pStyle w:val="2"/>
              <w:ind w:firstLine="482" w:firstLineChars="200"/>
              <w:rPr>
                <w:rFonts w:eastAsia="宋体"/>
                <w:color w:val="auto"/>
              </w:rPr>
            </w:pPr>
            <w:r>
              <w:rPr>
                <w:rFonts w:hint="eastAsia" w:eastAsia="宋体"/>
                <w:color w:val="auto"/>
              </w:rPr>
              <w:t>5、地表水环境质量</w:t>
            </w:r>
          </w:p>
          <w:p w14:paraId="78053177">
            <w:pPr>
              <w:pStyle w:val="2"/>
              <w:ind w:firstLine="480" w:firstLineChars="200"/>
              <w:rPr>
                <w:rFonts w:hint="eastAsia" w:eastAsia="宋体"/>
                <w:b w:val="0"/>
                <w:bCs/>
                <w:color w:val="auto"/>
              </w:rPr>
            </w:pPr>
            <w:r>
              <w:rPr>
                <w:rFonts w:hint="eastAsia" w:eastAsia="宋体"/>
                <w:b w:val="0"/>
                <w:bCs/>
                <w:color w:val="auto"/>
              </w:rPr>
              <w:t>根据《2023年高邮市生态环境质量公报》，全市参与评价的地表水监测7条主要河流和高邮湖，共计10个省控以上监测断面，水质达标率为100%，其中，II类水质断面1个，占10%；III类水质断面8个，占80%；IV类水质断面1个，占10%；无V类以上水质。</w:t>
            </w:r>
          </w:p>
          <w:p w14:paraId="7455240E">
            <w:pPr>
              <w:pStyle w:val="2"/>
              <w:ind w:firstLine="482" w:firstLineChars="200"/>
              <w:rPr>
                <w:rFonts w:eastAsia="宋体"/>
                <w:color w:val="auto"/>
              </w:rPr>
            </w:pPr>
            <w:r>
              <w:rPr>
                <w:rFonts w:hint="eastAsia" w:eastAsia="宋体"/>
                <w:color w:val="auto"/>
              </w:rPr>
              <w:t>6、地下水环境质量</w:t>
            </w:r>
          </w:p>
          <w:p w14:paraId="60B66EC8">
            <w:pPr>
              <w:pStyle w:val="3"/>
              <w:ind w:firstLine="480"/>
              <w:rPr>
                <w:rFonts w:eastAsia="宋体"/>
                <w:color w:val="auto"/>
              </w:rPr>
            </w:pPr>
            <w:r>
              <w:rPr>
                <w:rFonts w:eastAsia="宋体"/>
                <w:color w:val="auto"/>
              </w:rPr>
              <w:t>根据《环境影响评价技术导则 地下水环境》（HJ610-2016）附录A，本项目属于“C地质探查 24、矿产资源地质勘查（包括勘探活动）”属于Ⅳ类项目。无需开展地下水监测。</w:t>
            </w:r>
          </w:p>
          <w:p w14:paraId="667556D6">
            <w:pPr>
              <w:pStyle w:val="2"/>
              <w:ind w:firstLine="482" w:firstLineChars="200"/>
              <w:rPr>
                <w:rFonts w:eastAsia="宋体"/>
                <w:color w:val="auto"/>
              </w:rPr>
            </w:pPr>
            <w:r>
              <w:rPr>
                <w:rFonts w:hint="eastAsia" w:eastAsia="宋体"/>
                <w:color w:val="auto"/>
              </w:rPr>
              <w:t>7、声环境质量现状</w:t>
            </w:r>
          </w:p>
          <w:p w14:paraId="0C22BBE8">
            <w:pPr>
              <w:spacing w:line="360" w:lineRule="auto"/>
              <w:ind w:firstLine="480" w:firstLineChars="200"/>
              <w:jc w:val="left"/>
              <w:rPr>
                <w:color w:val="auto"/>
                <w:sz w:val="24"/>
              </w:rPr>
            </w:pPr>
            <w:r>
              <w:rPr>
                <w:rFonts w:ascii="Times New Roman" w:hAnsi="Times New Roman" w:eastAsia="宋体" w:cs="Times New Roman"/>
                <w:color w:val="auto"/>
                <w:kern w:val="0"/>
                <w:sz w:val="24"/>
                <w:szCs w:val="24"/>
                <w:lang w:val="en-US" w:eastAsia="zh-CN" w:bidi="ar-SA"/>
              </w:rPr>
              <w:t xml:space="preserve">根据《环境影响评价技术导则 </w:t>
            </w:r>
            <w:r>
              <w:rPr>
                <w:rFonts w:hint="eastAsia" w:ascii="Times New Roman" w:hAnsi="Times New Roman" w:eastAsia="宋体" w:cs="Times New Roman"/>
                <w:color w:val="auto"/>
                <w:kern w:val="0"/>
                <w:sz w:val="24"/>
                <w:szCs w:val="24"/>
                <w:lang w:val="en-US" w:eastAsia="zh-CN" w:bidi="ar-SA"/>
              </w:rPr>
              <w:t>声</w:t>
            </w:r>
            <w:r>
              <w:rPr>
                <w:rFonts w:ascii="Times New Roman" w:hAnsi="Times New Roman" w:eastAsia="宋体" w:cs="Times New Roman"/>
                <w:color w:val="auto"/>
                <w:kern w:val="0"/>
                <w:sz w:val="24"/>
                <w:szCs w:val="24"/>
                <w:lang w:val="en-US" w:eastAsia="zh-CN" w:bidi="ar-SA"/>
              </w:rPr>
              <w:t>环境》</w:t>
            </w:r>
            <w:r>
              <w:rPr>
                <w:rFonts w:hint="eastAsia" w:ascii="Times New Roman" w:hAnsi="Times New Roman" w:eastAsia="宋体" w:cs="Times New Roman"/>
                <w:color w:val="auto"/>
                <w:kern w:val="0"/>
                <w:sz w:val="24"/>
                <w:szCs w:val="24"/>
                <w:lang w:val="en-US" w:eastAsia="zh-CN" w:bidi="ar-SA"/>
              </w:rPr>
              <w:t>(HJ2.4-2021)</w:t>
            </w:r>
            <w:r>
              <w:rPr>
                <w:rFonts w:hint="eastAsia" w:cs="Times New Roman"/>
                <w:color w:val="auto"/>
                <w:kern w:val="0"/>
                <w:sz w:val="24"/>
                <w:szCs w:val="24"/>
                <w:lang w:val="en-US" w:eastAsia="zh-CN" w:bidi="ar-SA"/>
              </w:rPr>
              <w:t>，</w:t>
            </w:r>
            <w:r>
              <w:rPr>
                <w:rFonts w:hint="eastAsia"/>
                <w:color w:val="auto"/>
                <w:sz w:val="24"/>
              </w:rPr>
              <w:t>本项目</w:t>
            </w:r>
            <w:r>
              <w:rPr>
                <w:rFonts w:hint="eastAsia"/>
                <w:color w:val="auto"/>
                <w:sz w:val="24"/>
                <w:lang w:val="en-US" w:eastAsia="zh-CN"/>
              </w:rPr>
              <w:t>属于1类声环境功能区域，评价等级为二级，声环境影响评价范围为井场厂界外50m范围。</w:t>
            </w:r>
            <w:r>
              <w:rPr>
                <w:rFonts w:hint="eastAsia"/>
                <w:color w:val="auto"/>
                <w:sz w:val="24"/>
              </w:rPr>
              <w:t>本项目场界50米范围内无居民等声环境保护目标，无需开展环境噪声监测。</w:t>
            </w:r>
          </w:p>
          <w:p w14:paraId="259F065A">
            <w:pPr>
              <w:pStyle w:val="2"/>
              <w:ind w:firstLine="482" w:firstLineChars="200"/>
              <w:rPr>
                <w:rFonts w:eastAsia="宋体"/>
                <w:color w:val="auto"/>
              </w:rPr>
            </w:pPr>
            <w:r>
              <w:rPr>
                <w:rFonts w:hint="eastAsia" w:eastAsia="宋体"/>
                <w:color w:val="auto"/>
              </w:rPr>
              <w:t>8、土壤环境质量现状</w:t>
            </w:r>
          </w:p>
          <w:p w14:paraId="5169B617">
            <w:pPr>
              <w:spacing w:line="360" w:lineRule="auto"/>
              <w:ind w:firstLine="480" w:firstLineChars="200"/>
              <w:rPr>
                <w:rFonts w:eastAsia="宋体"/>
              </w:rPr>
            </w:pPr>
            <w:r>
              <w:rPr>
                <w:color w:val="auto"/>
                <w:sz w:val="24"/>
              </w:rPr>
              <w:t>根据《环境影响评价技术导则 土壤环境（试行）》（HJ 964-2018）附录A 土壤环境影响评价项目类别，本项目为矿产资源地质勘查，行业类别属于其他行业，土壤环境影响评价项目类别为Ⅳ类</w:t>
            </w:r>
            <w:r>
              <w:rPr>
                <w:rFonts w:hint="eastAsia"/>
                <w:color w:val="auto"/>
                <w:sz w:val="24"/>
              </w:rPr>
              <w:t>，无需开展土壤监测。</w:t>
            </w:r>
          </w:p>
        </w:tc>
      </w:tr>
      <w:tr w14:paraId="7070B0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1062" w:type="dxa"/>
            <w:gridSpan w:val="2"/>
            <w:vAlign w:val="center"/>
          </w:tcPr>
          <w:p w14:paraId="5083A2E7">
            <w:pPr>
              <w:adjustRightInd w:val="0"/>
              <w:snapToGrid w:val="0"/>
              <w:jc w:val="center"/>
              <w:rPr>
                <w:rFonts w:hint="eastAsia"/>
                <w:lang w:val="en-US" w:eastAsia="zh-CN"/>
              </w:rPr>
            </w:pPr>
            <w:r>
              <w:rPr>
                <w:bCs/>
                <w:color w:val="auto"/>
                <w:sz w:val="24"/>
              </w:rPr>
              <w:t>与项目有关的原有环境污染和生态破坏问题</w:t>
            </w:r>
          </w:p>
        </w:tc>
        <w:tc>
          <w:tcPr>
            <w:tcW w:w="7453" w:type="dxa"/>
            <w:vAlign w:val="center"/>
          </w:tcPr>
          <w:p w14:paraId="2685D4CC">
            <w:pPr>
              <w:pStyle w:val="3"/>
              <w:ind w:firstLine="480"/>
              <w:rPr>
                <w:rFonts w:eastAsia="宋体"/>
                <w:color w:val="auto"/>
              </w:rPr>
            </w:pPr>
            <w:r>
              <w:rPr>
                <w:rFonts w:hint="eastAsia" w:eastAsia="宋体"/>
                <w:color w:val="auto"/>
              </w:rPr>
              <w:t>本项目勘探井建设为新建项目，项目所在地现状为农田，现场未见相关环境污染和生态破坏问题。</w:t>
            </w:r>
          </w:p>
          <w:p w14:paraId="5700FE1E">
            <w:pPr>
              <w:pStyle w:val="3"/>
              <w:ind w:firstLine="480"/>
              <w:rPr>
                <w:rFonts w:eastAsia="宋体"/>
                <w:color w:val="auto"/>
              </w:rPr>
            </w:pPr>
          </w:p>
          <w:p w14:paraId="33667103">
            <w:pPr>
              <w:pStyle w:val="3"/>
              <w:ind w:firstLine="480"/>
              <w:rPr>
                <w:rFonts w:eastAsia="宋体"/>
                <w:color w:val="auto"/>
              </w:rPr>
            </w:pPr>
          </w:p>
          <w:p w14:paraId="51EE0943">
            <w:pPr>
              <w:rPr>
                <w:color w:val="auto"/>
              </w:rPr>
            </w:pPr>
          </w:p>
          <w:p w14:paraId="45CF40F1">
            <w:pPr>
              <w:pStyle w:val="3"/>
              <w:rPr>
                <w:color w:val="auto"/>
              </w:rPr>
            </w:pPr>
          </w:p>
          <w:p w14:paraId="273CAFDB">
            <w:pPr>
              <w:pStyle w:val="3"/>
              <w:rPr>
                <w:color w:val="auto"/>
              </w:rPr>
            </w:pPr>
          </w:p>
          <w:p w14:paraId="055993B6">
            <w:pPr>
              <w:pStyle w:val="3"/>
              <w:ind w:firstLine="480"/>
              <w:rPr>
                <w:rFonts w:eastAsia="宋体"/>
                <w:color w:val="auto"/>
              </w:rPr>
            </w:pPr>
          </w:p>
          <w:p w14:paraId="33D17234">
            <w:pPr>
              <w:rPr>
                <w:color w:val="auto"/>
              </w:rPr>
            </w:pPr>
          </w:p>
          <w:p w14:paraId="3048CB89">
            <w:pPr>
              <w:pStyle w:val="3"/>
              <w:ind w:firstLine="480"/>
              <w:rPr>
                <w:rFonts w:eastAsia="宋体"/>
                <w:color w:val="auto"/>
              </w:rPr>
            </w:pPr>
          </w:p>
          <w:p w14:paraId="5BB0C641">
            <w:pPr>
              <w:rPr>
                <w:color w:val="auto"/>
              </w:rPr>
            </w:pPr>
          </w:p>
          <w:p w14:paraId="3A8840DE">
            <w:pPr>
              <w:pStyle w:val="3"/>
              <w:ind w:firstLine="480"/>
              <w:rPr>
                <w:rFonts w:eastAsia="宋体"/>
                <w:color w:val="auto"/>
              </w:rPr>
            </w:pPr>
          </w:p>
          <w:p w14:paraId="1A7888F7">
            <w:pPr>
              <w:rPr>
                <w:color w:val="auto"/>
              </w:rPr>
            </w:pPr>
          </w:p>
          <w:p w14:paraId="6ABA309B">
            <w:pPr>
              <w:pStyle w:val="3"/>
              <w:ind w:firstLine="480"/>
              <w:rPr>
                <w:rFonts w:eastAsia="宋体"/>
                <w:color w:val="auto"/>
              </w:rPr>
            </w:pPr>
          </w:p>
          <w:p w14:paraId="68E99BEA">
            <w:pPr>
              <w:rPr>
                <w:color w:val="auto"/>
              </w:rPr>
            </w:pPr>
          </w:p>
          <w:p w14:paraId="2DBB66CC">
            <w:pPr>
              <w:pStyle w:val="3"/>
              <w:ind w:firstLine="480"/>
              <w:rPr>
                <w:rFonts w:eastAsia="宋体"/>
                <w:color w:val="auto"/>
              </w:rPr>
            </w:pPr>
          </w:p>
          <w:p w14:paraId="6B362017">
            <w:pPr>
              <w:rPr>
                <w:color w:val="auto"/>
              </w:rPr>
            </w:pPr>
          </w:p>
          <w:p w14:paraId="08C08994">
            <w:pPr>
              <w:pStyle w:val="3"/>
              <w:ind w:firstLine="480"/>
              <w:rPr>
                <w:rFonts w:eastAsia="宋体"/>
                <w:color w:val="auto"/>
              </w:rPr>
            </w:pPr>
          </w:p>
          <w:p w14:paraId="2E8FFD17">
            <w:pPr>
              <w:rPr>
                <w:color w:val="auto"/>
              </w:rPr>
            </w:pPr>
          </w:p>
          <w:p w14:paraId="3BBF416A">
            <w:pPr>
              <w:pStyle w:val="3"/>
              <w:ind w:firstLine="480"/>
              <w:rPr>
                <w:rFonts w:eastAsia="宋体"/>
                <w:color w:val="auto"/>
              </w:rPr>
            </w:pPr>
          </w:p>
          <w:p w14:paraId="70B3665E">
            <w:pPr>
              <w:rPr>
                <w:color w:val="auto"/>
              </w:rPr>
            </w:pPr>
          </w:p>
          <w:p w14:paraId="3944E78B">
            <w:pPr>
              <w:pStyle w:val="3"/>
              <w:ind w:firstLine="480"/>
              <w:rPr>
                <w:rFonts w:eastAsia="宋体"/>
                <w:color w:val="auto"/>
              </w:rPr>
            </w:pPr>
          </w:p>
          <w:p w14:paraId="75D0921B">
            <w:pPr>
              <w:rPr>
                <w:color w:val="auto"/>
              </w:rPr>
            </w:pPr>
          </w:p>
          <w:p w14:paraId="2748CBD3">
            <w:pPr>
              <w:pStyle w:val="3"/>
              <w:ind w:firstLine="480"/>
              <w:rPr>
                <w:rFonts w:eastAsia="宋体"/>
                <w:color w:val="auto"/>
              </w:rPr>
            </w:pPr>
          </w:p>
          <w:p w14:paraId="6BA98F5A">
            <w:pPr>
              <w:rPr>
                <w:color w:val="auto"/>
              </w:rPr>
            </w:pPr>
          </w:p>
          <w:p w14:paraId="477FB81F">
            <w:pPr>
              <w:pStyle w:val="3"/>
              <w:ind w:firstLine="480"/>
              <w:rPr>
                <w:rFonts w:eastAsia="宋体"/>
                <w:color w:val="auto"/>
              </w:rPr>
            </w:pPr>
          </w:p>
          <w:p w14:paraId="5877A965">
            <w:pPr>
              <w:rPr>
                <w:color w:val="auto"/>
              </w:rPr>
            </w:pPr>
          </w:p>
          <w:p w14:paraId="19571A2F">
            <w:pPr>
              <w:pStyle w:val="3"/>
              <w:ind w:firstLine="480"/>
              <w:rPr>
                <w:color w:val="auto"/>
              </w:rPr>
            </w:pPr>
          </w:p>
          <w:p w14:paraId="0CC9B118">
            <w:pPr>
              <w:pStyle w:val="3"/>
              <w:ind w:firstLine="480"/>
              <w:rPr>
                <w:rFonts w:eastAsia="宋体"/>
                <w:color w:val="auto"/>
              </w:rPr>
            </w:pPr>
          </w:p>
          <w:p w14:paraId="0BECD2BE">
            <w:pPr>
              <w:pStyle w:val="3"/>
              <w:ind w:firstLine="480"/>
              <w:rPr>
                <w:rFonts w:eastAsia="宋体"/>
                <w:color w:val="auto"/>
              </w:rPr>
            </w:pPr>
          </w:p>
          <w:p w14:paraId="3B10691C">
            <w:pPr>
              <w:pStyle w:val="3"/>
              <w:ind w:firstLine="0" w:firstLineChars="0"/>
              <w:rPr>
                <w:rFonts w:hint="eastAsia"/>
                <w:lang w:val="en-US" w:eastAsia="zh-CN"/>
              </w:rPr>
            </w:pPr>
          </w:p>
        </w:tc>
      </w:tr>
    </w:tbl>
    <w:p w14:paraId="305B3588">
      <w:pPr>
        <w:pStyle w:val="3"/>
      </w:pPr>
    </w:p>
    <w:p w14:paraId="42E7D273">
      <w:pPr>
        <w:pStyle w:val="3"/>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E5E7D3A">
      <w:pPr>
        <w:pStyle w:val="16"/>
        <w:rPr>
          <w:rFonts w:eastAsia="宋体"/>
        </w:rPr>
      </w:pPr>
      <w:r>
        <w:rPr>
          <w:rFonts w:hint="eastAsia" w:eastAsia="宋体"/>
        </w:rPr>
        <w:t>表3-</w:t>
      </w:r>
      <w:r>
        <w:rPr>
          <w:rFonts w:hint="eastAsia" w:eastAsia="宋体"/>
          <w:lang w:val="en-US" w:eastAsia="zh-CN"/>
        </w:rPr>
        <w:t>1</w:t>
      </w:r>
      <w:r>
        <w:rPr>
          <w:rFonts w:hint="eastAsia" w:eastAsia="宋体"/>
        </w:rPr>
        <w:t xml:space="preserve">  本项目主要环境保护目标</w:t>
      </w:r>
    </w:p>
    <w:tbl>
      <w:tblPr>
        <w:tblStyle w:val="11"/>
        <w:tblW w:w="474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866"/>
        <w:gridCol w:w="2081"/>
        <w:gridCol w:w="1132"/>
        <w:gridCol w:w="1484"/>
        <w:gridCol w:w="1288"/>
        <w:gridCol w:w="1199"/>
        <w:gridCol w:w="2315"/>
        <w:gridCol w:w="958"/>
        <w:gridCol w:w="1555"/>
      </w:tblGrid>
      <w:tr w14:paraId="70AF9C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208" w:type="pct"/>
            <w:vMerge w:val="restart"/>
            <w:vAlign w:val="center"/>
          </w:tcPr>
          <w:p w14:paraId="03896FE3">
            <w:pPr>
              <w:pStyle w:val="17"/>
              <w:jc w:val="center"/>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环境</w:t>
            </w:r>
          </w:p>
          <w:p w14:paraId="3444B3C4">
            <w:pPr>
              <w:pStyle w:val="17"/>
              <w:jc w:val="center"/>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要素</w:t>
            </w:r>
          </w:p>
        </w:tc>
        <w:tc>
          <w:tcPr>
            <w:tcW w:w="1096" w:type="pct"/>
            <w:gridSpan w:val="2"/>
            <w:vMerge w:val="restart"/>
            <w:vAlign w:val="center"/>
          </w:tcPr>
          <w:p w14:paraId="646C05FB">
            <w:pPr>
              <w:pStyle w:val="17"/>
              <w:jc w:val="center"/>
              <w:rPr>
                <w:rFonts w:eastAsia="宋体"/>
                <w:b/>
                <w:bCs/>
                <w:color w:val="000000" w:themeColor="text1"/>
                <w14:textFill>
                  <w14:solidFill>
                    <w14:schemeClr w14:val="tx1"/>
                  </w14:solidFill>
                </w14:textFill>
              </w:rPr>
            </w:pPr>
            <w:r>
              <w:rPr>
                <w:rFonts w:hint="eastAsia" w:eastAsia="宋体"/>
                <w:b/>
                <w:bCs/>
                <w:color w:val="000000" w:themeColor="text1"/>
                <w14:textFill>
                  <w14:solidFill>
                    <w14:schemeClr w14:val="tx1"/>
                  </w14:solidFill>
                </w14:textFill>
              </w:rPr>
              <w:t>名称</w:t>
            </w:r>
          </w:p>
        </w:tc>
        <w:tc>
          <w:tcPr>
            <w:tcW w:w="973" w:type="pct"/>
            <w:gridSpan w:val="2"/>
            <w:vAlign w:val="center"/>
          </w:tcPr>
          <w:p w14:paraId="22CCB851">
            <w:pPr>
              <w:pStyle w:val="17"/>
              <w:jc w:val="center"/>
              <w:rPr>
                <w:rFonts w:hint="default" w:eastAsia="宋体"/>
                <w:b/>
                <w:bCs/>
                <w:color w:val="000000" w:themeColor="text1"/>
                <w:lang w:val="en-US" w:eastAsia="zh-CN"/>
                <w14:textFill>
                  <w14:solidFill>
                    <w14:schemeClr w14:val="tx1"/>
                  </w14:solidFill>
                </w14:textFill>
              </w:rPr>
            </w:pPr>
            <w:r>
              <w:rPr>
                <w:rFonts w:hint="eastAsia" w:eastAsia="宋体"/>
                <w:b/>
                <w:bCs/>
                <w:color w:val="000000" w:themeColor="text1"/>
                <w:lang w:eastAsia="zh-CN"/>
                <w14:textFill>
                  <w14:solidFill>
                    <w14:schemeClr w14:val="tx1"/>
                  </w14:solidFill>
                </w14:textFill>
              </w:rPr>
              <w:t>坐标</w:t>
            </w:r>
          </w:p>
        </w:tc>
        <w:tc>
          <w:tcPr>
            <w:tcW w:w="479" w:type="pct"/>
            <w:vMerge w:val="restart"/>
            <w:vAlign w:val="center"/>
          </w:tcPr>
          <w:p w14:paraId="3DBB678F">
            <w:pPr>
              <w:pStyle w:val="17"/>
              <w:jc w:val="center"/>
              <w:rPr>
                <w:rFonts w:hint="eastAsia" w:eastAsia="宋体"/>
                <w:b/>
                <w:bCs/>
                <w:color w:val="000000" w:themeColor="text1"/>
                <w:lang w:eastAsia="zh-CN"/>
                <w14:textFill>
                  <w14:solidFill>
                    <w14:schemeClr w14:val="tx1"/>
                  </w14:solidFill>
                </w14:textFill>
              </w:rPr>
            </w:pPr>
            <w:r>
              <w:rPr>
                <w:rFonts w:hint="eastAsia" w:eastAsia="宋体"/>
                <w:b/>
                <w:bCs/>
                <w:color w:val="000000" w:themeColor="text1"/>
                <w:lang w:eastAsia="zh-CN"/>
                <w14:textFill>
                  <w14:solidFill>
                    <w14:schemeClr w14:val="tx1"/>
                  </w14:solidFill>
                </w14:textFill>
              </w:rPr>
              <w:t>保护对象</w:t>
            </w:r>
          </w:p>
        </w:tc>
        <w:tc>
          <w:tcPr>
            <w:tcW w:w="446" w:type="pct"/>
            <w:vMerge w:val="restart"/>
            <w:vAlign w:val="center"/>
          </w:tcPr>
          <w:p w14:paraId="07FA7B13">
            <w:pPr>
              <w:pStyle w:val="17"/>
              <w:jc w:val="center"/>
              <w:rPr>
                <w:rFonts w:hint="default" w:eastAsia="宋体"/>
                <w:b/>
                <w:bCs/>
                <w:color w:val="000000" w:themeColor="text1"/>
                <w:lang w:val="en-US" w:eastAsia="zh-CN"/>
                <w14:textFill>
                  <w14:solidFill>
                    <w14:schemeClr w14:val="tx1"/>
                  </w14:solidFill>
                </w14:textFill>
              </w:rPr>
            </w:pPr>
            <w:r>
              <w:rPr>
                <w:rFonts w:hint="eastAsia" w:eastAsia="宋体"/>
                <w:b/>
                <w:bCs/>
                <w:color w:val="000000" w:themeColor="text1"/>
                <w:lang w:val="en-US" w:eastAsia="zh-CN"/>
                <w14:textFill>
                  <w14:solidFill>
                    <w14:schemeClr w14:val="tx1"/>
                  </w14:solidFill>
                </w14:textFill>
              </w:rPr>
              <w:t>规模/人</w:t>
            </w:r>
          </w:p>
        </w:tc>
        <w:tc>
          <w:tcPr>
            <w:tcW w:w="861" w:type="pct"/>
            <w:vMerge w:val="restart"/>
            <w:vAlign w:val="center"/>
          </w:tcPr>
          <w:p w14:paraId="1EC0E2A2">
            <w:pPr>
              <w:pStyle w:val="17"/>
              <w:jc w:val="center"/>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环境功能区</w:t>
            </w:r>
          </w:p>
        </w:tc>
        <w:tc>
          <w:tcPr>
            <w:tcW w:w="356" w:type="pct"/>
            <w:vMerge w:val="restart"/>
            <w:vAlign w:val="center"/>
          </w:tcPr>
          <w:p w14:paraId="399BC1BA">
            <w:pPr>
              <w:pStyle w:val="17"/>
              <w:jc w:val="center"/>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相对</w:t>
            </w:r>
            <w:r>
              <w:rPr>
                <w:rFonts w:hint="eastAsia" w:eastAsia="宋体"/>
                <w:b/>
                <w:bCs/>
                <w:color w:val="000000" w:themeColor="text1"/>
                <w:lang w:val="en-US" w:eastAsia="zh-CN"/>
                <w14:textFill>
                  <w14:solidFill>
                    <w14:schemeClr w14:val="tx1"/>
                  </w14:solidFill>
                </w14:textFill>
              </w:rPr>
              <w:t>场</w:t>
            </w:r>
            <w:r>
              <w:rPr>
                <w:rFonts w:eastAsia="宋体"/>
                <w:b/>
                <w:bCs/>
                <w:color w:val="000000" w:themeColor="text1"/>
                <w14:textFill>
                  <w14:solidFill>
                    <w14:schemeClr w14:val="tx1"/>
                  </w14:solidFill>
                </w14:textFill>
              </w:rPr>
              <w:t>址方位</w:t>
            </w:r>
          </w:p>
        </w:tc>
        <w:tc>
          <w:tcPr>
            <w:tcW w:w="578" w:type="pct"/>
            <w:vMerge w:val="restart"/>
            <w:vAlign w:val="center"/>
          </w:tcPr>
          <w:p w14:paraId="0072BCF6">
            <w:pPr>
              <w:pStyle w:val="17"/>
              <w:jc w:val="center"/>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相对</w:t>
            </w:r>
            <w:r>
              <w:rPr>
                <w:rFonts w:hint="eastAsia" w:eastAsia="宋体"/>
                <w:b/>
                <w:bCs/>
                <w:color w:val="000000" w:themeColor="text1"/>
                <w:lang w:val="en-US" w:eastAsia="zh-CN"/>
                <w14:textFill>
                  <w14:solidFill>
                    <w14:schemeClr w14:val="tx1"/>
                  </w14:solidFill>
                </w14:textFill>
              </w:rPr>
              <w:t>场界</w:t>
            </w:r>
            <w:r>
              <w:rPr>
                <w:rFonts w:hint="eastAsia" w:eastAsia="宋体"/>
                <w:b/>
                <w:bCs/>
                <w:color w:val="000000" w:themeColor="text1"/>
                <w14:textFill>
                  <w14:solidFill>
                    <w14:schemeClr w14:val="tx1"/>
                  </w14:solidFill>
                </w14:textFill>
              </w:rPr>
              <w:t>最近</w:t>
            </w:r>
            <w:r>
              <w:rPr>
                <w:rFonts w:eastAsia="宋体"/>
                <w:b/>
                <w:bCs/>
                <w:color w:val="000000" w:themeColor="text1"/>
                <w14:textFill>
                  <w14:solidFill>
                    <w14:schemeClr w14:val="tx1"/>
                  </w14:solidFill>
                </w14:textFill>
              </w:rPr>
              <w:t>距离/m</w:t>
            </w:r>
          </w:p>
        </w:tc>
      </w:tr>
      <w:tr w14:paraId="3E7E3B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208" w:type="pct"/>
            <w:vMerge w:val="continue"/>
            <w:vAlign w:val="center"/>
          </w:tcPr>
          <w:p w14:paraId="70260621">
            <w:pPr>
              <w:pStyle w:val="17"/>
              <w:jc w:val="center"/>
              <w:rPr>
                <w:rFonts w:eastAsia="宋体"/>
                <w:color w:val="000000" w:themeColor="text1"/>
                <w14:textFill>
                  <w14:solidFill>
                    <w14:schemeClr w14:val="tx1"/>
                  </w14:solidFill>
                </w14:textFill>
              </w:rPr>
            </w:pPr>
          </w:p>
        </w:tc>
        <w:tc>
          <w:tcPr>
            <w:tcW w:w="1096" w:type="pct"/>
            <w:gridSpan w:val="2"/>
            <w:vMerge w:val="continue"/>
            <w:vAlign w:val="center"/>
          </w:tcPr>
          <w:p w14:paraId="2EDBC8A1">
            <w:pPr>
              <w:pStyle w:val="17"/>
              <w:jc w:val="center"/>
              <w:rPr>
                <w:rFonts w:eastAsia="宋体"/>
                <w:color w:val="000000" w:themeColor="text1"/>
                <w14:textFill>
                  <w14:solidFill>
                    <w14:schemeClr w14:val="tx1"/>
                  </w14:solidFill>
                </w14:textFill>
              </w:rPr>
            </w:pPr>
          </w:p>
        </w:tc>
        <w:tc>
          <w:tcPr>
            <w:tcW w:w="421" w:type="pct"/>
            <w:vAlign w:val="center"/>
          </w:tcPr>
          <w:p w14:paraId="1DB04481">
            <w:pPr>
              <w:pStyle w:val="17"/>
              <w:ind w:firstLine="0" w:firstLineChars="0"/>
              <w:jc w:val="center"/>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E</w:t>
            </w:r>
          </w:p>
        </w:tc>
        <w:tc>
          <w:tcPr>
            <w:tcW w:w="552" w:type="pct"/>
            <w:vAlign w:val="center"/>
          </w:tcPr>
          <w:p w14:paraId="1027500D">
            <w:pPr>
              <w:pStyle w:val="17"/>
              <w:ind w:firstLine="0" w:firstLineChars="0"/>
              <w:jc w:val="center"/>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N</w:t>
            </w:r>
          </w:p>
        </w:tc>
        <w:tc>
          <w:tcPr>
            <w:tcW w:w="479" w:type="pct"/>
            <w:vMerge w:val="continue"/>
            <w:vAlign w:val="center"/>
          </w:tcPr>
          <w:p w14:paraId="082AF4E6">
            <w:pPr>
              <w:pStyle w:val="17"/>
              <w:jc w:val="center"/>
              <w:rPr>
                <w:rFonts w:eastAsia="宋体"/>
                <w:color w:val="000000" w:themeColor="text1"/>
                <w14:textFill>
                  <w14:solidFill>
                    <w14:schemeClr w14:val="tx1"/>
                  </w14:solidFill>
                </w14:textFill>
              </w:rPr>
            </w:pPr>
          </w:p>
        </w:tc>
        <w:tc>
          <w:tcPr>
            <w:tcW w:w="446" w:type="pct"/>
            <w:vMerge w:val="continue"/>
            <w:vAlign w:val="center"/>
          </w:tcPr>
          <w:p w14:paraId="183BD8B7">
            <w:pPr>
              <w:pStyle w:val="17"/>
              <w:jc w:val="center"/>
              <w:rPr>
                <w:rFonts w:eastAsia="宋体"/>
                <w:color w:val="000000" w:themeColor="text1"/>
                <w14:textFill>
                  <w14:solidFill>
                    <w14:schemeClr w14:val="tx1"/>
                  </w14:solidFill>
                </w14:textFill>
              </w:rPr>
            </w:pPr>
          </w:p>
        </w:tc>
        <w:tc>
          <w:tcPr>
            <w:tcW w:w="861" w:type="pct"/>
            <w:vMerge w:val="continue"/>
            <w:vAlign w:val="center"/>
          </w:tcPr>
          <w:p w14:paraId="14B31535">
            <w:pPr>
              <w:pStyle w:val="17"/>
              <w:jc w:val="center"/>
              <w:rPr>
                <w:rFonts w:eastAsia="宋体"/>
                <w:color w:val="000000" w:themeColor="text1"/>
                <w14:textFill>
                  <w14:solidFill>
                    <w14:schemeClr w14:val="tx1"/>
                  </w14:solidFill>
                </w14:textFill>
              </w:rPr>
            </w:pPr>
          </w:p>
        </w:tc>
        <w:tc>
          <w:tcPr>
            <w:tcW w:w="356" w:type="pct"/>
            <w:vMerge w:val="continue"/>
            <w:vAlign w:val="center"/>
          </w:tcPr>
          <w:p w14:paraId="2CE6C1E6">
            <w:pPr>
              <w:pStyle w:val="17"/>
              <w:jc w:val="center"/>
              <w:rPr>
                <w:rFonts w:eastAsia="宋体"/>
                <w:color w:val="000000" w:themeColor="text1"/>
                <w14:textFill>
                  <w14:solidFill>
                    <w14:schemeClr w14:val="tx1"/>
                  </w14:solidFill>
                </w14:textFill>
              </w:rPr>
            </w:pPr>
          </w:p>
        </w:tc>
        <w:tc>
          <w:tcPr>
            <w:tcW w:w="578" w:type="pct"/>
            <w:vMerge w:val="continue"/>
            <w:vAlign w:val="center"/>
          </w:tcPr>
          <w:p w14:paraId="573FFB73">
            <w:pPr>
              <w:pStyle w:val="17"/>
              <w:jc w:val="center"/>
              <w:rPr>
                <w:rFonts w:eastAsia="宋体"/>
                <w:color w:val="000000" w:themeColor="text1"/>
                <w14:textFill>
                  <w14:solidFill>
                    <w14:schemeClr w14:val="tx1"/>
                  </w14:solidFill>
                </w14:textFill>
              </w:rPr>
            </w:pPr>
          </w:p>
        </w:tc>
      </w:tr>
      <w:tr w14:paraId="168097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14" w:hRule="atLeast"/>
          <w:jc w:val="center"/>
        </w:trPr>
        <w:tc>
          <w:tcPr>
            <w:tcW w:w="208" w:type="pct"/>
            <w:vMerge w:val="restart"/>
            <w:vAlign w:val="center"/>
          </w:tcPr>
          <w:p w14:paraId="562323EC">
            <w:pPr>
              <w:pStyle w:val="17"/>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空气</w:t>
            </w:r>
          </w:p>
          <w:p w14:paraId="15E04ECF">
            <w:pPr>
              <w:pStyle w:val="17"/>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环境</w:t>
            </w:r>
          </w:p>
        </w:tc>
        <w:tc>
          <w:tcPr>
            <w:tcW w:w="322" w:type="pct"/>
            <w:vMerge w:val="restart"/>
            <w:vAlign w:val="center"/>
          </w:tcPr>
          <w:p w14:paraId="6FBE880B">
            <w:pPr>
              <w:pStyle w:val="17"/>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沙105斜井</w:t>
            </w:r>
          </w:p>
        </w:tc>
        <w:tc>
          <w:tcPr>
            <w:tcW w:w="774" w:type="pct"/>
            <w:vAlign w:val="center"/>
          </w:tcPr>
          <w:p w14:paraId="73509FDE">
            <w:pPr>
              <w:pStyle w:val="17"/>
              <w:jc w:val="center"/>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潘家墩</w:t>
            </w:r>
          </w:p>
        </w:tc>
        <w:tc>
          <w:tcPr>
            <w:tcW w:w="421" w:type="pct"/>
            <w:vAlign w:val="center"/>
          </w:tcPr>
          <w:p w14:paraId="4307FC58">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119.7704</w:t>
            </w:r>
          </w:p>
        </w:tc>
        <w:tc>
          <w:tcPr>
            <w:tcW w:w="552" w:type="pct"/>
            <w:vAlign w:val="center"/>
          </w:tcPr>
          <w:p w14:paraId="60BAF492">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32.7622</w:t>
            </w:r>
          </w:p>
        </w:tc>
        <w:tc>
          <w:tcPr>
            <w:tcW w:w="479" w:type="pct"/>
            <w:vMerge w:val="restart"/>
            <w:vAlign w:val="center"/>
          </w:tcPr>
          <w:p w14:paraId="1F3DB17F">
            <w:pPr>
              <w:pStyle w:val="17"/>
              <w:ind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庄台居民</w:t>
            </w:r>
          </w:p>
        </w:tc>
        <w:tc>
          <w:tcPr>
            <w:tcW w:w="446" w:type="pct"/>
            <w:vAlign w:val="center"/>
          </w:tcPr>
          <w:p w14:paraId="75EA666A">
            <w:pPr>
              <w:pStyle w:val="17"/>
              <w:ind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39</w:t>
            </w:r>
          </w:p>
        </w:tc>
        <w:tc>
          <w:tcPr>
            <w:tcW w:w="861" w:type="pct"/>
            <w:vMerge w:val="restart"/>
            <w:vAlign w:val="center"/>
          </w:tcPr>
          <w:p w14:paraId="4C2D1E0E">
            <w:pPr>
              <w:pStyle w:val="17"/>
              <w:ind w:firstLine="0" w:firstLineChars="0"/>
              <w:jc w:val="center"/>
              <w:rPr>
                <w:rFonts w:hint="eastAsia" w:eastAsia="宋体"/>
                <w:color w:val="000000" w:themeColor="text1"/>
                <w:highlight w:val="none"/>
                <w:lang w:val="en-US" w:eastAsia="zh-CN"/>
                <w14:textFill>
                  <w14:solidFill>
                    <w14:schemeClr w14:val="tx1"/>
                  </w14:solidFill>
                </w14:textFill>
              </w:rPr>
            </w:pPr>
          </w:p>
          <w:p w14:paraId="62A8019D">
            <w:pPr>
              <w:pStyle w:val="17"/>
              <w:ind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《环境空气质量标准》（GB3095-2012）二级</w:t>
            </w:r>
          </w:p>
        </w:tc>
        <w:tc>
          <w:tcPr>
            <w:tcW w:w="356" w:type="pct"/>
            <w:vAlign w:val="center"/>
          </w:tcPr>
          <w:p w14:paraId="4AB7CA85">
            <w:pPr>
              <w:pStyle w:val="17"/>
              <w:jc w:val="center"/>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南</w:t>
            </w:r>
          </w:p>
        </w:tc>
        <w:tc>
          <w:tcPr>
            <w:tcW w:w="578" w:type="pct"/>
            <w:vAlign w:val="center"/>
          </w:tcPr>
          <w:p w14:paraId="11F03E9B">
            <w:pPr>
              <w:pStyle w:val="17"/>
              <w:jc w:val="center"/>
              <w:rPr>
                <w:rFonts w:hint="default" w:eastAsia="宋体"/>
                <w:color w:val="auto"/>
                <w:highlight w:val="none"/>
                <w:lang w:val="en-US" w:eastAsia="zh-CN"/>
              </w:rPr>
            </w:pPr>
            <w:r>
              <w:rPr>
                <w:rFonts w:hint="eastAsia" w:eastAsia="宋体"/>
                <w:color w:val="auto"/>
                <w:highlight w:val="none"/>
                <w:lang w:val="en-US" w:eastAsia="zh-CN"/>
              </w:rPr>
              <w:t>136.31</w:t>
            </w:r>
          </w:p>
        </w:tc>
      </w:tr>
      <w:tr w14:paraId="25ABC1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4" w:hRule="atLeast"/>
          <w:jc w:val="center"/>
        </w:trPr>
        <w:tc>
          <w:tcPr>
            <w:tcW w:w="208" w:type="pct"/>
            <w:vMerge w:val="continue"/>
            <w:vAlign w:val="center"/>
          </w:tcPr>
          <w:p w14:paraId="48AA555C">
            <w:pPr>
              <w:pStyle w:val="17"/>
              <w:jc w:val="center"/>
              <w:rPr>
                <w:rFonts w:eastAsia="宋体"/>
                <w:color w:val="000000" w:themeColor="text1"/>
                <w14:textFill>
                  <w14:solidFill>
                    <w14:schemeClr w14:val="tx1"/>
                  </w14:solidFill>
                </w14:textFill>
              </w:rPr>
            </w:pPr>
          </w:p>
        </w:tc>
        <w:tc>
          <w:tcPr>
            <w:tcW w:w="322" w:type="pct"/>
            <w:vMerge w:val="continue"/>
            <w:vAlign w:val="center"/>
          </w:tcPr>
          <w:p w14:paraId="2CAEB007">
            <w:pPr>
              <w:pStyle w:val="17"/>
              <w:jc w:val="center"/>
              <w:rPr>
                <w:rFonts w:hint="eastAsia" w:eastAsia="宋体"/>
                <w:color w:val="000000" w:themeColor="text1"/>
                <w:lang w:eastAsia="zh-CN"/>
                <w14:textFill>
                  <w14:solidFill>
                    <w14:schemeClr w14:val="tx1"/>
                  </w14:solidFill>
                </w14:textFill>
              </w:rPr>
            </w:pPr>
          </w:p>
        </w:tc>
        <w:tc>
          <w:tcPr>
            <w:tcW w:w="774" w:type="pct"/>
            <w:vAlign w:val="center"/>
          </w:tcPr>
          <w:p w14:paraId="0F982DEA">
            <w:pPr>
              <w:pStyle w:val="17"/>
              <w:ind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双屏村四组</w:t>
            </w:r>
          </w:p>
        </w:tc>
        <w:tc>
          <w:tcPr>
            <w:tcW w:w="421" w:type="pct"/>
            <w:vAlign w:val="center"/>
          </w:tcPr>
          <w:p w14:paraId="0A724219">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119.7683</w:t>
            </w:r>
          </w:p>
        </w:tc>
        <w:tc>
          <w:tcPr>
            <w:tcW w:w="552" w:type="pct"/>
            <w:vAlign w:val="center"/>
          </w:tcPr>
          <w:p w14:paraId="772C08D7">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32.7648</w:t>
            </w:r>
          </w:p>
        </w:tc>
        <w:tc>
          <w:tcPr>
            <w:tcW w:w="479" w:type="pct"/>
            <w:vMerge w:val="continue"/>
            <w:vAlign w:val="center"/>
          </w:tcPr>
          <w:p w14:paraId="2A032E5B">
            <w:pPr>
              <w:pStyle w:val="17"/>
              <w:ind w:firstLine="0" w:firstLineChars="0"/>
              <w:jc w:val="center"/>
              <w:rPr>
                <w:rFonts w:hint="eastAsia" w:eastAsia="宋体"/>
                <w:color w:val="000000" w:themeColor="text1"/>
                <w:highlight w:val="none"/>
                <w:lang w:val="en-US" w:eastAsia="zh-CN"/>
                <w14:textFill>
                  <w14:solidFill>
                    <w14:schemeClr w14:val="tx1"/>
                  </w14:solidFill>
                </w14:textFill>
              </w:rPr>
            </w:pPr>
          </w:p>
        </w:tc>
        <w:tc>
          <w:tcPr>
            <w:tcW w:w="446" w:type="pct"/>
            <w:vAlign w:val="center"/>
          </w:tcPr>
          <w:p w14:paraId="71C0736D">
            <w:pPr>
              <w:pStyle w:val="17"/>
              <w:ind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90</w:t>
            </w:r>
          </w:p>
        </w:tc>
        <w:tc>
          <w:tcPr>
            <w:tcW w:w="861" w:type="pct"/>
            <w:vMerge w:val="continue"/>
            <w:vAlign w:val="center"/>
          </w:tcPr>
          <w:p w14:paraId="13E3366B">
            <w:pPr>
              <w:pStyle w:val="17"/>
              <w:jc w:val="center"/>
              <w:rPr>
                <w:rFonts w:hint="eastAsia" w:eastAsia="宋体"/>
                <w:color w:val="000000" w:themeColor="text1"/>
                <w:highlight w:val="none"/>
                <w:lang w:val="en-US" w:eastAsia="zh-CN"/>
                <w14:textFill>
                  <w14:solidFill>
                    <w14:schemeClr w14:val="tx1"/>
                  </w14:solidFill>
                </w14:textFill>
              </w:rPr>
            </w:pPr>
          </w:p>
        </w:tc>
        <w:tc>
          <w:tcPr>
            <w:tcW w:w="356" w:type="pct"/>
            <w:vAlign w:val="center"/>
          </w:tcPr>
          <w:p w14:paraId="3F189850">
            <w:pPr>
              <w:pStyle w:val="17"/>
              <w:jc w:val="center"/>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北</w:t>
            </w:r>
          </w:p>
        </w:tc>
        <w:tc>
          <w:tcPr>
            <w:tcW w:w="578" w:type="pct"/>
            <w:vAlign w:val="center"/>
          </w:tcPr>
          <w:p w14:paraId="7D25C925">
            <w:pPr>
              <w:pStyle w:val="17"/>
              <w:jc w:val="center"/>
              <w:rPr>
                <w:rFonts w:hint="default" w:eastAsia="宋体"/>
                <w:color w:val="auto"/>
                <w:highlight w:val="none"/>
                <w:lang w:val="en-US" w:eastAsia="zh-CN"/>
              </w:rPr>
            </w:pPr>
            <w:r>
              <w:rPr>
                <w:rFonts w:hint="eastAsia" w:eastAsia="宋体"/>
                <w:color w:val="auto"/>
                <w:highlight w:val="none"/>
                <w:lang w:val="en-US" w:eastAsia="zh-CN"/>
              </w:rPr>
              <w:t>111.77</w:t>
            </w:r>
          </w:p>
        </w:tc>
      </w:tr>
      <w:tr w14:paraId="53E462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4" w:hRule="atLeast"/>
          <w:jc w:val="center"/>
        </w:trPr>
        <w:tc>
          <w:tcPr>
            <w:tcW w:w="208" w:type="pct"/>
            <w:vMerge w:val="continue"/>
            <w:vAlign w:val="center"/>
          </w:tcPr>
          <w:p w14:paraId="5AFB21A8">
            <w:pPr>
              <w:pStyle w:val="17"/>
              <w:jc w:val="center"/>
              <w:rPr>
                <w:rFonts w:eastAsia="宋体"/>
                <w:color w:val="000000" w:themeColor="text1"/>
                <w14:textFill>
                  <w14:solidFill>
                    <w14:schemeClr w14:val="tx1"/>
                  </w14:solidFill>
                </w14:textFill>
              </w:rPr>
            </w:pPr>
          </w:p>
        </w:tc>
        <w:tc>
          <w:tcPr>
            <w:tcW w:w="322" w:type="pct"/>
            <w:vMerge w:val="restart"/>
            <w:vAlign w:val="center"/>
          </w:tcPr>
          <w:p w14:paraId="1C6B3B44">
            <w:pPr>
              <w:pStyle w:val="17"/>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沙86斜井</w:t>
            </w:r>
          </w:p>
        </w:tc>
        <w:tc>
          <w:tcPr>
            <w:tcW w:w="774" w:type="pct"/>
            <w:vAlign w:val="center"/>
          </w:tcPr>
          <w:p w14:paraId="65D2D065">
            <w:pPr>
              <w:pStyle w:val="17"/>
              <w:jc w:val="center"/>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余家庄</w:t>
            </w:r>
          </w:p>
        </w:tc>
        <w:tc>
          <w:tcPr>
            <w:tcW w:w="421" w:type="pct"/>
            <w:vAlign w:val="center"/>
          </w:tcPr>
          <w:p w14:paraId="0CDFF0D7">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119.6778</w:t>
            </w:r>
          </w:p>
        </w:tc>
        <w:tc>
          <w:tcPr>
            <w:tcW w:w="552" w:type="pct"/>
            <w:vAlign w:val="center"/>
          </w:tcPr>
          <w:p w14:paraId="48E752AA">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32.7637</w:t>
            </w:r>
          </w:p>
        </w:tc>
        <w:tc>
          <w:tcPr>
            <w:tcW w:w="479" w:type="pct"/>
            <w:vAlign w:val="center"/>
          </w:tcPr>
          <w:p w14:paraId="49FEBE76">
            <w:pPr>
              <w:pStyle w:val="17"/>
              <w:ind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庄台居民</w:t>
            </w:r>
          </w:p>
        </w:tc>
        <w:tc>
          <w:tcPr>
            <w:tcW w:w="446" w:type="pct"/>
            <w:vAlign w:val="center"/>
          </w:tcPr>
          <w:p w14:paraId="26A3D1B3">
            <w:pPr>
              <w:pStyle w:val="17"/>
              <w:ind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45</w:t>
            </w:r>
          </w:p>
        </w:tc>
        <w:tc>
          <w:tcPr>
            <w:tcW w:w="861" w:type="pct"/>
            <w:vMerge w:val="continue"/>
            <w:vAlign w:val="center"/>
          </w:tcPr>
          <w:p w14:paraId="32CAB989">
            <w:pPr>
              <w:pStyle w:val="17"/>
              <w:jc w:val="center"/>
              <w:rPr>
                <w:rFonts w:hint="eastAsia" w:eastAsia="宋体"/>
                <w:color w:val="000000" w:themeColor="text1"/>
                <w:highlight w:val="none"/>
                <w:lang w:val="en-US" w:eastAsia="zh-CN"/>
                <w14:textFill>
                  <w14:solidFill>
                    <w14:schemeClr w14:val="tx1"/>
                  </w14:solidFill>
                </w14:textFill>
              </w:rPr>
            </w:pPr>
          </w:p>
        </w:tc>
        <w:tc>
          <w:tcPr>
            <w:tcW w:w="356" w:type="pct"/>
            <w:vAlign w:val="center"/>
          </w:tcPr>
          <w:p w14:paraId="746678C9">
            <w:pPr>
              <w:pStyle w:val="17"/>
              <w:jc w:val="center"/>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北</w:t>
            </w:r>
          </w:p>
        </w:tc>
        <w:tc>
          <w:tcPr>
            <w:tcW w:w="578" w:type="pct"/>
            <w:vAlign w:val="center"/>
          </w:tcPr>
          <w:p w14:paraId="55699ACA">
            <w:pPr>
              <w:pStyle w:val="17"/>
              <w:jc w:val="center"/>
              <w:rPr>
                <w:rFonts w:hint="default" w:eastAsia="宋体"/>
                <w:color w:val="auto"/>
                <w:highlight w:val="none"/>
                <w:lang w:val="en-US" w:eastAsia="zh-CN"/>
              </w:rPr>
            </w:pPr>
            <w:r>
              <w:rPr>
                <w:rFonts w:hint="eastAsia" w:eastAsia="宋体"/>
                <w:color w:val="auto"/>
                <w:highlight w:val="none"/>
                <w:lang w:val="en-US" w:eastAsia="zh-CN"/>
              </w:rPr>
              <w:t>69.20</w:t>
            </w:r>
          </w:p>
        </w:tc>
      </w:tr>
      <w:tr w14:paraId="080584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4" w:hRule="atLeast"/>
          <w:jc w:val="center"/>
        </w:trPr>
        <w:tc>
          <w:tcPr>
            <w:tcW w:w="208" w:type="pct"/>
            <w:vMerge w:val="continue"/>
            <w:vAlign w:val="center"/>
          </w:tcPr>
          <w:p w14:paraId="62E93899">
            <w:pPr>
              <w:pStyle w:val="17"/>
              <w:jc w:val="center"/>
              <w:rPr>
                <w:rFonts w:eastAsia="宋体"/>
                <w:color w:val="000000" w:themeColor="text1"/>
                <w14:textFill>
                  <w14:solidFill>
                    <w14:schemeClr w14:val="tx1"/>
                  </w14:solidFill>
                </w14:textFill>
              </w:rPr>
            </w:pPr>
          </w:p>
        </w:tc>
        <w:tc>
          <w:tcPr>
            <w:tcW w:w="322" w:type="pct"/>
            <w:vMerge w:val="continue"/>
            <w:vAlign w:val="center"/>
          </w:tcPr>
          <w:p w14:paraId="78E94127">
            <w:pPr>
              <w:pStyle w:val="17"/>
              <w:jc w:val="center"/>
              <w:rPr>
                <w:rFonts w:hint="eastAsia" w:eastAsia="宋体"/>
                <w:color w:val="000000" w:themeColor="text1"/>
                <w:lang w:val="en-US" w:eastAsia="zh-CN"/>
                <w14:textFill>
                  <w14:solidFill>
                    <w14:schemeClr w14:val="tx1"/>
                  </w14:solidFill>
                </w14:textFill>
              </w:rPr>
            </w:pPr>
          </w:p>
        </w:tc>
        <w:tc>
          <w:tcPr>
            <w:tcW w:w="774" w:type="pct"/>
            <w:vAlign w:val="center"/>
          </w:tcPr>
          <w:p w14:paraId="1254A170">
            <w:pPr>
              <w:pStyle w:val="17"/>
              <w:jc w:val="center"/>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康桥雅居</w:t>
            </w:r>
          </w:p>
        </w:tc>
        <w:tc>
          <w:tcPr>
            <w:tcW w:w="421" w:type="pct"/>
            <w:vAlign w:val="center"/>
          </w:tcPr>
          <w:p w14:paraId="0089E60D">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119.6717</w:t>
            </w:r>
          </w:p>
        </w:tc>
        <w:tc>
          <w:tcPr>
            <w:tcW w:w="552" w:type="pct"/>
            <w:vAlign w:val="center"/>
          </w:tcPr>
          <w:p w14:paraId="2A8F4843">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32.7625</w:t>
            </w:r>
          </w:p>
        </w:tc>
        <w:tc>
          <w:tcPr>
            <w:tcW w:w="479" w:type="pct"/>
            <w:vAlign w:val="center"/>
          </w:tcPr>
          <w:p w14:paraId="3005857F">
            <w:pPr>
              <w:pStyle w:val="17"/>
              <w:ind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庄台居民</w:t>
            </w:r>
          </w:p>
        </w:tc>
        <w:tc>
          <w:tcPr>
            <w:tcW w:w="446" w:type="pct"/>
            <w:vAlign w:val="center"/>
          </w:tcPr>
          <w:p w14:paraId="5AA068DD">
            <w:pPr>
              <w:pStyle w:val="17"/>
              <w:ind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60</w:t>
            </w:r>
          </w:p>
        </w:tc>
        <w:tc>
          <w:tcPr>
            <w:tcW w:w="861" w:type="pct"/>
            <w:vMerge w:val="continue"/>
            <w:vAlign w:val="center"/>
          </w:tcPr>
          <w:p w14:paraId="31BAF3EA">
            <w:pPr>
              <w:pStyle w:val="17"/>
              <w:jc w:val="center"/>
              <w:rPr>
                <w:rFonts w:hint="eastAsia" w:eastAsia="宋体"/>
                <w:color w:val="000000" w:themeColor="text1"/>
                <w:highlight w:val="none"/>
                <w:lang w:val="en-US" w:eastAsia="zh-CN"/>
                <w14:textFill>
                  <w14:solidFill>
                    <w14:schemeClr w14:val="tx1"/>
                  </w14:solidFill>
                </w14:textFill>
              </w:rPr>
            </w:pPr>
          </w:p>
        </w:tc>
        <w:tc>
          <w:tcPr>
            <w:tcW w:w="356" w:type="pct"/>
            <w:vAlign w:val="center"/>
          </w:tcPr>
          <w:p w14:paraId="5129D2A5">
            <w:pPr>
              <w:pStyle w:val="17"/>
              <w:jc w:val="center"/>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西</w:t>
            </w:r>
          </w:p>
        </w:tc>
        <w:tc>
          <w:tcPr>
            <w:tcW w:w="578" w:type="pct"/>
            <w:vAlign w:val="center"/>
          </w:tcPr>
          <w:p w14:paraId="08DF5310">
            <w:pPr>
              <w:pStyle w:val="17"/>
              <w:jc w:val="center"/>
              <w:rPr>
                <w:rFonts w:hint="default" w:eastAsia="宋体"/>
                <w:color w:val="auto"/>
                <w:highlight w:val="none"/>
                <w:lang w:val="en-US" w:eastAsia="zh-CN"/>
              </w:rPr>
            </w:pPr>
            <w:r>
              <w:rPr>
                <w:rFonts w:hint="eastAsia" w:eastAsia="宋体"/>
                <w:color w:val="auto"/>
                <w:highlight w:val="none"/>
                <w:lang w:val="en-US" w:eastAsia="zh-CN"/>
              </w:rPr>
              <w:t>362.97</w:t>
            </w:r>
          </w:p>
        </w:tc>
      </w:tr>
      <w:tr w14:paraId="3492B9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4" w:hRule="atLeast"/>
          <w:jc w:val="center"/>
        </w:trPr>
        <w:tc>
          <w:tcPr>
            <w:tcW w:w="208" w:type="pct"/>
            <w:vMerge w:val="continue"/>
            <w:vAlign w:val="center"/>
          </w:tcPr>
          <w:p w14:paraId="389B3CAD">
            <w:pPr>
              <w:pStyle w:val="17"/>
              <w:jc w:val="center"/>
              <w:rPr>
                <w:rFonts w:eastAsia="宋体"/>
                <w:color w:val="000000" w:themeColor="text1"/>
                <w14:textFill>
                  <w14:solidFill>
                    <w14:schemeClr w14:val="tx1"/>
                  </w14:solidFill>
                </w14:textFill>
              </w:rPr>
            </w:pPr>
          </w:p>
        </w:tc>
        <w:tc>
          <w:tcPr>
            <w:tcW w:w="322" w:type="pct"/>
            <w:vMerge w:val="continue"/>
            <w:vAlign w:val="center"/>
          </w:tcPr>
          <w:p w14:paraId="5234956C">
            <w:pPr>
              <w:pStyle w:val="17"/>
              <w:jc w:val="center"/>
              <w:rPr>
                <w:rFonts w:hint="eastAsia" w:eastAsia="宋体"/>
                <w:color w:val="000000" w:themeColor="text1"/>
                <w:lang w:val="en-US" w:eastAsia="zh-CN"/>
                <w14:textFill>
                  <w14:solidFill>
                    <w14:schemeClr w14:val="tx1"/>
                  </w14:solidFill>
                </w14:textFill>
              </w:rPr>
            </w:pPr>
          </w:p>
        </w:tc>
        <w:tc>
          <w:tcPr>
            <w:tcW w:w="774" w:type="pct"/>
            <w:vAlign w:val="center"/>
          </w:tcPr>
          <w:p w14:paraId="737C87BE">
            <w:pPr>
              <w:pStyle w:val="17"/>
              <w:jc w:val="center"/>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卞家庄</w:t>
            </w:r>
          </w:p>
        </w:tc>
        <w:tc>
          <w:tcPr>
            <w:tcW w:w="421" w:type="pct"/>
            <w:vAlign w:val="center"/>
          </w:tcPr>
          <w:p w14:paraId="014BD5AF">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119.6776</w:t>
            </w:r>
          </w:p>
        </w:tc>
        <w:tc>
          <w:tcPr>
            <w:tcW w:w="552" w:type="pct"/>
            <w:vAlign w:val="center"/>
          </w:tcPr>
          <w:p w14:paraId="41F5EB16">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32.7651</w:t>
            </w:r>
          </w:p>
        </w:tc>
        <w:tc>
          <w:tcPr>
            <w:tcW w:w="479" w:type="pct"/>
            <w:vAlign w:val="center"/>
          </w:tcPr>
          <w:p w14:paraId="3394B155">
            <w:pPr>
              <w:pStyle w:val="17"/>
              <w:ind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庄台居民</w:t>
            </w:r>
          </w:p>
        </w:tc>
        <w:tc>
          <w:tcPr>
            <w:tcW w:w="446" w:type="pct"/>
            <w:vAlign w:val="center"/>
          </w:tcPr>
          <w:p w14:paraId="2225F6DC">
            <w:pPr>
              <w:pStyle w:val="17"/>
              <w:ind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90</w:t>
            </w:r>
          </w:p>
        </w:tc>
        <w:tc>
          <w:tcPr>
            <w:tcW w:w="861" w:type="pct"/>
            <w:vMerge w:val="continue"/>
            <w:vAlign w:val="center"/>
          </w:tcPr>
          <w:p w14:paraId="22D205A6">
            <w:pPr>
              <w:pStyle w:val="17"/>
              <w:jc w:val="center"/>
              <w:rPr>
                <w:rFonts w:hint="eastAsia" w:eastAsia="宋体"/>
                <w:color w:val="000000" w:themeColor="text1"/>
                <w:highlight w:val="none"/>
                <w:lang w:val="en-US" w:eastAsia="zh-CN"/>
                <w14:textFill>
                  <w14:solidFill>
                    <w14:schemeClr w14:val="tx1"/>
                  </w14:solidFill>
                </w14:textFill>
              </w:rPr>
            </w:pPr>
          </w:p>
        </w:tc>
        <w:tc>
          <w:tcPr>
            <w:tcW w:w="356" w:type="pct"/>
            <w:vAlign w:val="center"/>
          </w:tcPr>
          <w:p w14:paraId="18D661B7">
            <w:pPr>
              <w:pStyle w:val="17"/>
              <w:jc w:val="center"/>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北</w:t>
            </w:r>
          </w:p>
        </w:tc>
        <w:tc>
          <w:tcPr>
            <w:tcW w:w="578" w:type="pct"/>
            <w:vAlign w:val="center"/>
          </w:tcPr>
          <w:p w14:paraId="6E62822A">
            <w:pPr>
              <w:pStyle w:val="17"/>
              <w:jc w:val="center"/>
              <w:rPr>
                <w:rFonts w:hint="default" w:eastAsia="宋体"/>
                <w:color w:val="auto"/>
                <w:highlight w:val="none"/>
                <w:lang w:val="en-US" w:eastAsia="zh-CN"/>
              </w:rPr>
            </w:pPr>
            <w:r>
              <w:rPr>
                <w:rFonts w:hint="eastAsia" w:eastAsia="宋体"/>
                <w:color w:val="auto"/>
                <w:highlight w:val="none"/>
                <w:lang w:val="en-US" w:eastAsia="zh-CN"/>
              </w:rPr>
              <w:t>219.42</w:t>
            </w:r>
          </w:p>
        </w:tc>
      </w:tr>
      <w:tr w14:paraId="4A0CD9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4" w:hRule="atLeast"/>
          <w:jc w:val="center"/>
        </w:trPr>
        <w:tc>
          <w:tcPr>
            <w:tcW w:w="208" w:type="pct"/>
            <w:vMerge w:val="continue"/>
            <w:vAlign w:val="center"/>
          </w:tcPr>
          <w:p w14:paraId="034D157B">
            <w:pPr>
              <w:pStyle w:val="17"/>
              <w:jc w:val="center"/>
              <w:rPr>
                <w:rFonts w:eastAsia="宋体"/>
                <w:color w:val="000000" w:themeColor="text1"/>
                <w14:textFill>
                  <w14:solidFill>
                    <w14:schemeClr w14:val="tx1"/>
                  </w14:solidFill>
                </w14:textFill>
              </w:rPr>
            </w:pPr>
          </w:p>
        </w:tc>
        <w:tc>
          <w:tcPr>
            <w:tcW w:w="322" w:type="pct"/>
            <w:vMerge w:val="continue"/>
            <w:vAlign w:val="center"/>
          </w:tcPr>
          <w:p w14:paraId="5FB368D1">
            <w:pPr>
              <w:pStyle w:val="17"/>
              <w:jc w:val="center"/>
              <w:rPr>
                <w:rFonts w:hint="eastAsia" w:eastAsia="宋体"/>
                <w:color w:val="000000" w:themeColor="text1"/>
                <w:lang w:val="en-US" w:eastAsia="zh-CN"/>
                <w14:textFill>
                  <w14:solidFill>
                    <w14:schemeClr w14:val="tx1"/>
                  </w14:solidFill>
                </w14:textFill>
              </w:rPr>
            </w:pPr>
          </w:p>
        </w:tc>
        <w:tc>
          <w:tcPr>
            <w:tcW w:w="774" w:type="pct"/>
            <w:vAlign w:val="center"/>
          </w:tcPr>
          <w:p w14:paraId="07281971">
            <w:pPr>
              <w:pStyle w:val="17"/>
              <w:jc w:val="center"/>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四吴厦</w:t>
            </w:r>
          </w:p>
        </w:tc>
        <w:tc>
          <w:tcPr>
            <w:tcW w:w="421" w:type="pct"/>
            <w:vAlign w:val="center"/>
          </w:tcPr>
          <w:p w14:paraId="5A3AE914">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119.6747</w:t>
            </w:r>
          </w:p>
        </w:tc>
        <w:tc>
          <w:tcPr>
            <w:tcW w:w="552" w:type="pct"/>
            <w:vAlign w:val="center"/>
          </w:tcPr>
          <w:p w14:paraId="028F2EDF">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32.7650</w:t>
            </w:r>
          </w:p>
        </w:tc>
        <w:tc>
          <w:tcPr>
            <w:tcW w:w="479" w:type="pct"/>
            <w:vAlign w:val="center"/>
          </w:tcPr>
          <w:p w14:paraId="094BB1B2">
            <w:pPr>
              <w:pStyle w:val="17"/>
              <w:ind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庄台居民</w:t>
            </w:r>
          </w:p>
        </w:tc>
        <w:tc>
          <w:tcPr>
            <w:tcW w:w="446" w:type="pct"/>
            <w:vAlign w:val="center"/>
          </w:tcPr>
          <w:p w14:paraId="1BF70E6D">
            <w:pPr>
              <w:pStyle w:val="17"/>
              <w:ind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150</w:t>
            </w:r>
          </w:p>
        </w:tc>
        <w:tc>
          <w:tcPr>
            <w:tcW w:w="861" w:type="pct"/>
            <w:vMerge w:val="continue"/>
            <w:vAlign w:val="center"/>
          </w:tcPr>
          <w:p w14:paraId="5BBA2FE1">
            <w:pPr>
              <w:pStyle w:val="17"/>
              <w:jc w:val="center"/>
              <w:rPr>
                <w:rFonts w:hint="eastAsia" w:eastAsia="宋体"/>
                <w:color w:val="000000" w:themeColor="text1"/>
                <w:highlight w:val="none"/>
                <w:lang w:val="en-US" w:eastAsia="zh-CN"/>
                <w14:textFill>
                  <w14:solidFill>
                    <w14:schemeClr w14:val="tx1"/>
                  </w14:solidFill>
                </w14:textFill>
              </w:rPr>
            </w:pPr>
          </w:p>
        </w:tc>
        <w:tc>
          <w:tcPr>
            <w:tcW w:w="356" w:type="pct"/>
            <w:vAlign w:val="center"/>
          </w:tcPr>
          <w:p w14:paraId="0F3AD9EC">
            <w:pPr>
              <w:pStyle w:val="17"/>
              <w:jc w:val="center"/>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北</w:t>
            </w:r>
          </w:p>
        </w:tc>
        <w:tc>
          <w:tcPr>
            <w:tcW w:w="578" w:type="pct"/>
            <w:vAlign w:val="center"/>
          </w:tcPr>
          <w:p w14:paraId="42C4C5DB">
            <w:pPr>
              <w:pStyle w:val="17"/>
              <w:jc w:val="center"/>
              <w:rPr>
                <w:rFonts w:hint="default" w:eastAsia="宋体"/>
                <w:color w:val="auto"/>
                <w:highlight w:val="none"/>
                <w:lang w:val="en-US" w:eastAsia="zh-CN"/>
              </w:rPr>
            </w:pPr>
            <w:r>
              <w:rPr>
                <w:rFonts w:hint="eastAsia" w:eastAsia="宋体"/>
                <w:color w:val="auto"/>
                <w:highlight w:val="none"/>
                <w:lang w:val="en-US" w:eastAsia="zh-CN"/>
              </w:rPr>
              <w:t>277.53</w:t>
            </w:r>
          </w:p>
        </w:tc>
      </w:tr>
      <w:tr w14:paraId="7C446F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208" w:type="pct"/>
            <w:vMerge w:val="restart"/>
            <w:vAlign w:val="center"/>
          </w:tcPr>
          <w:p w14:paraId="6FBA3656">
            <w:pPr>
              <w:pStyle w:val="17"/>
              <w:jc w:val="center"/>
              <w:rPr>
                <w:rFonts w:hint="eastAsia"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水环境</w:t>
            </w:r>
          </w:p>
        </w:tc>
        <w:tc>
          <w:tcPr>
            <w:tcW w:w="322" w:type="pct"/>
            <w:vAlign w:val="center"/>
          </w:tcPr>
          <w:p w14:paraId="56A38AC3">
            <w:pPr>
              <w:pStyle w:val="17"/>
              <w:ind w:firstLine="0" w:firstLineChars="0"/>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沙105斜井</w:t>
            </w:r>
          </w:p>
        </w:tc>
        <w:tc>
          <w:tcPr>
            <w:tcW w:w="1747" w:type="pct"/>
            <w:gridSpan w:val="3"/>
            <w:vAlign w:val="center"/>
          </w:tcPr>
          <w:p w14:paraId="1D31819C">
            <w:pPr>
              <w:pStyle w:val="17"/>
              <w:ind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斜丰港</w:t>
            </w:r>
          </w:p>
        </w:tc>
        <w:tc>
          <w:tcPr>
            <w:tcW w:w="479" w:type="pct"/>
            <w:vAlign w:val="center"/>
          </w:tcPr>
          <w:p w14:paraId="7E95CA13">
            <w:pPr>
              <w:pStyle w:val="17"/>
              <w:bidi w:val="0"/>
              <w:ind w:firstLine="0" w:firstLineChars="0"/>
              <w:jc w:val="center"/>
              <w:rPr>
                <w:rFonts w:hint="eastAsia"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河流</w:t>
            </w:r>
          </w:p>
        </w:tc>
        <w:tc>
          <w:tcPr>
            <w:tcW w:w="446" w:type="pct"/>
            <w:vAlign w:val="center"/>
          </w:tcPr>
          <w:p w14:paraId="28FFEE5D">
            <w:pPr>
              <w:pStyle w:val="17"/>
              <w:bidi w:val="0"/>
              <w:ind w:firstLine="0" w:firstLineChars="0"/>
              <w:jc w:val="center"/>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w:t>
            </w:r>
          </w:p>
        </w:tc>
        <w:tc>
          <w:tcPr>
            <w:tcW w:w="861" w:type="pct"/>
            <w:vMerge w:val="restart"/>
            <w:vAlign w:val="center"/>
          </w:tcPr>
          <w:p w14:paraId="3EB483CB">
            <w:pPr>
              <w:pStyle w:val="17"/>
              <w:ind w:firstLine="0" w:firstLineChars="0"/>
              <w:jc w:val="center"/>
              <w:rPr>
                <w:rFonts w:hint="eastAsia" w:eastAsia="宋体"/>
                <w:bCs/>
                <w:color w:val="000000" w:themeColor="text1"/>
                <w:highlight w:val="none"/>
                <w14:textFill>
                  <w14:solidFill>
                    <w14:schemeClr w14:val="tx1"/>
                  </w14:solidFill>
                </w14:textFill>
              </w:rPr>
            </w:pPr>
            <w:r>
              <w:rPr>
                <w:rFonts w:hint="eastAsia" w:eastAsia="宋体"/>
                <w:bCs/>
                <w:color w:val="000000" w:themeColor="text1"/>
                <w:highlight w:val="none"/>
                <w14:textFill>
                  <w14:solidFill>
                    <w14:schemeClr w14:val="tx1"/>
                  </w14:solidFill>
                </w14:textFill>
              </w:rPr>
              <w:t>《地表水环境质量标准》（GB3838-2002）</w:t>
            </w:r>
            <w:r>
              <w:rPr>
                <w:rFonts w:hint="default" w:ascii="Times New Roman" w:hAnsi="Times New Roman" w:eastAsia="宋体" w:cs="Times New Roman"/>
                <w:bCs/>
                <w:color w:val="000000" w:themeColor="text1"/>
                <w:highlight w:val="none"/>
                <w14:textFill>
                  <w14:solidFill>
                    <w14:schemeClr w14:val="tx1"/>
                  </w14:solidFill>
                </w14:textFill>
              </w:rPr>
              <w:t>Ⅲ</w:t>
            </w:r>
            <w:r>
              <w:rPr>
                <w:rFonts w:hint="eastAsia" w:eastAsia="宋体"/>
                <w:bCs/>
                <w:color w:val="000000" w:themeColor="text1"/>
                <w:highlight w:val="none"/>
                <w14:textFill>
                  <w14:solidFill>
                    <w14:schemeClr w14:val="tx1"/>
                  </w14:solidFill>
                </w14:textFill>
              </w:rPr>
              <w:t>类标准</w:t>
            </w:r>
          </w:p>
        </w:tc>
        <w:tc>
          <w:tcPr>
            <w:tcW w:w="356" w:type="pct"/>
            <w:vAlign w:val="center"/>
          </w:tcPr>
          <w:p w14:paraId="11E5D9A8">
            <w:pPr>
              <w:pStyle w:val="17"/>
              <w:ind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南</w:t>
            </w:r>
          </w:p>
        </w:tc>
        <w:tc>
          <w:tcPr>
            <w:tcW w:w="578" w:type="pct"/>
            <w:vAlign w:val="center"/>
          </w:tcPr>
          <w:p w14:paraId="7EF9A3B7">
            <w:pPr>
              <w:pStyle w:val="17"/>
              <w:jc w:val="center"/>
              <w:rPr>
                <w:rFonts w:hint="default" w:eastAsia="宋体"/>
                <w:color w:val="auto"/>
                <w:highlight w:val="none"/>
                <w:lang w:val="en-US" w:eastAsia="zh-CN"/>
              </w:rPr>
            </w:pPr>
            <w:r>
              <w:rPr>
                <w:rFonts w:hint="eastAsia" w:eastAsia="宋体"/>
                <w:color w:val="auto"/>
                <w:highlight w:val="none"/>
                <w:lang w:val="en-US" w:eastAsia="zh-CN"/>
              </w:rPr>
              <w:t>440</w:t>
            </w:r>
          </w:p>
        </w:tc>
      </w:tr>
      <w:tr w14:paraId="42F904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208" w:type="pct"/>
            <w:vMerge w:val="continue"/>
            <w:vAlign w:val="center"/>
          </w:tcPr>
          <w:p w14:paraId="318FD8CE">
            <w:pPr>
              <w:pStyle w:val="17"/>
              <w:jc w:val="center"/>
              <w:rPr>
                <w:rFonts w:hint="eastAsia" w:eastAsia="宋体"/>
                <w:color w:val="000000" w:themeColor="text1"/>
                <w14:textFill>
                  <w14:solidFill>
                    <w14:schemeClr w14:val="tx1"/>
                  </w14:solidFill>
                </w14:textFill>
              </w:rPr>
            </w:pPr>
          </w:p>
        </w:tc>
        <w:tc>
          <w:tcPr>
            <w:tcW w:w="322" w:type="pct"/>
            <w:vAlign w:val="center"/>
          </w:tcPr>
          <w:p w14:paraId="60CBF711">
            <w:pPr>
              <w:pStyle w:val="17"/>
              <w:ind w:firstLine="0" w:firstLineChars="0"/>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沙86斜井</w:t>
            </w:r>
          </w:p>
        </w:tc>
        <w:tc>
          <w:tcPr>
            <w:tcW w:w="1747" w:type="pct"/>
            <w:gridSpan w:val="3"/>
            <w:vAlign w:val="center"/>
          </w:tcPr>
          <w:p w14:paraId="43F07A13">
            <w:pPr>
              <w:pStyle w:val="17"/>
              <w:ind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三阳河</w:t>
            </w:r>
          </w:p>
        </w:tc>
        <w:tc>
          <w:tcPr>
            <w:tcW w:w="479" w:type="pct"/>
            <w:vAlign w:val="center"/>
          </w:tcPr>
          <w:p w14:paraId="078E8423">
            <w:pPr>
              <w:pStyle w:val="17"/>
              <w:bidi w:val="0"/>
              <w:ind w:firstLine="0" w:firstLineChars="0"/>
              <w:jc w:val="center"/>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河流</w:t>
            </w:r>
          </w:p>
        </w:tc>
        <w:tc>
          <w:tcPr>
            <w:tcW w:w="446" w:type="pct"/>
            <w:vAlign w:val="center"/>
          </w:tcPr>
          <w:p w14:paraId="78CBD397">
            <w:pPr>
              <w:pStyle w:val="17"/>
              <w:bidi w:val="0"/>
              <w:ind w:firstLine="0" w:firstLineChars="0"/>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w:t>
            </w:r>
          </w:p>
        </w:tc>
        <w:tc>
          <w:tcPr>
            <w:tcW w:w="861" w:type="pct"/>
            <w:vMerge w:val="continue"/>
            <w:vAlign w:val="center"/>
          </w:tcPr>
          <w:p w14:paraId="5CFCF74B">
            <w:pPr>
              <w:pStyle w:val="17"/>
              <w:ind w:firstLine="0" w:firstLineChars="0"/>
              <w:jc w:val="center"/>
              <w:rPr>
                <w:rFonts w:hint="eastAsia" w:eastAsia="宋体"/>
                <w:bCs/>
                <w:color w:val="000000" w:themeColor="text1"/>
                <w:highlight w:val="none"/>
                <w14:textFill>
                  <w14:solidFill>
                    <w14:schemeClr w14:val="tx1"/>
                  </w14:solidFill>
                </w14:textFill>
              </w:rPr>
            </w:pPr>
          </w:p>
        </w:tc>
        <w:tc>
          <w:tcPr>
            <w:tcW w:w="356" w:type="pct"/>
            <w:vAlign w:val="center"/>
          </w:tcPr>
          <w:p w14:paraId="74DBA031">
            <w:pPr>
              <w:pStyle w:val="17"/>
              <w:ind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西</w:t>
            </w:r>
          </w:p>
        </w:tc>
        <w:tc>
          <w:tcPr>
            <w:tcW w:w="578" w:type="pct"/>
            <w:vAlign w:val="center"/>
          </w:tcPr>
          <w:p w14:paraId="3AECE464">
            <w:pPr>
              <w:pStyle w:val="17"/>
              <w:jc w:val="center"/>
              <w:rPr>
                <w:rFonts w:hint="default" w:eastAsia="宋体"/>
                <w:color w:val="auto"/>
                <w:highlight w:val="none"/>
                <w:lang w:val="en-US" w:eastAsia="zh-CN"/>
              </w:rPr>
            </w:pPr>
            <w:r>
              <w:rPr>
                <w:rFonts w:hint="eastAsia" w:eastAsia="宋体"/>
                <w:color w:val="auto"/>
                <w:highlight w:val="none"/>
                <w:lang w:val="en-US" w:eastAsia="zh-CN"/>
              </w:rPr>
              <w:t>1260</w:t>
            </w:r>
          </w:p>
        </w:tc>
      </w:tr>
      <w:tr w14:paraId="764F94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08" w:type="pct"/>
            <w:vMerge w:val="restart"/>
            <w:vAlign w:val="center"/>
          </w:tcPr>
          <w:p w14:paraId="19C41397">
            <w:pPr>
              <w:pStyle w:val="17"/>
              <w:jc w:val="center"/>
              <w:rPr>
                <w:rFonts w:hint="eastAsia"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风险</w:t>
            </w:r>
          </w:p>
        </w:tc>
        <w:tc>
          <w:tcPr>
            <w:tcW w:w="322" w:type="pct"/>
            <w:vMerge w:val="restart"/>
            <w:vAlign w:val="center"/>
          </w:tcPr>
          <w:p w14:paraId="469BC29D">
            <w:pPr>
              <w:pStyle w:val="17"/>
              <w:ind w:firstLine="0" w:firstLineChars="0"/>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沙105斜井</w:t>
            </w:r>
          </w:p>
        </w:tc>
        <w:tc>
          <w:tcPr>
            <w:tcW w:w="774" w:type="pct"/>
            <w:vAlign w:val="center"/>
          </w:tcPr>
          <w:p w14:paraId="2900DA54">
            <w:pPr>
              <w:pStyle w:val="17"/>
              <w:ind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潘家墩</w:t>
            </w:r>
          </w:p>
        </w:tc>
        <w:tc>
          <w:tcPr>
            <w:tcW w:w="421" w:type="pct"/>
            <w:vAlign w:val="center"/>
          </w:tcPr>
          <w:p w14:paraId="218E4BC9">
            <w:pPr>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119.7704</w:t>
            </w:r>
          </w:p>
        </w:tc>
        <w:tc>
          <w:tcPr>
            <w:tcW w:w="552" w:type="pct"/>
            <w:vAlign w:val="center"/>
          </w:tcPr>
          <w:p w14:paraId="0F607D16">
            <w:pPr>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32.7622</w:t>
            </w:r>
          </w:p>
        </w:tc>
        <w:tc>
          <w:tcPr>
            <w:tcW w:w="479" w:type="pct"/>
            <w:vMerge w:val="restart"/>
            <w:vAlign w:val="center"/>
          </w:tcPr>
          <w:p w14:paraId="1C836630">
            <w:pPr>
              <w:pStyle w:val="17"/>
              <w:ind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庄台居民</w:t>
            </w:r>
          </w:p>
        </w:tc>
        <w:tc>
          <w:tcPr>
            <w:tcW w:w="446" w:type="pct"/>
            <w:vAlign w:val="center"/>
          </w:tcPr>
          <w:p w14:paraId="57BA1639">
            <w:pPr>
              <w:pStyle w:val="17"/>
              <w:ind w:firstLine="0" w:firstLineChars="0"/>
              <w:jc w:val="center"/>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39</w:t>
            </w:r>
          </w:p>
        </w:tc>
        <w:tc>
          <w:tcPr>
            <w:tcW w:w="861" w:type="pct"/>
            <w:vAlign w:val="center"/>
          </w:tcPr>
          <w:p w14:paraId="5C8405E1">
            <w:pPr>
              <w:pStyle w:val="17"/>
              <w:ind w:firstLine="0" w:firstLineChars="0"/>
              <w:jc w:val="center"/>
              <w:rPr>
                <w:rFonts w:hint="eastAsia" w:eastAsia="宋体"/>
                <w:bCs/>
                <w:color w:val="000000" w:themeColor="text1"/>
                <w:lang w:val="en-US" w:eastAsia="zh-CN"/>
                <w14:textFill>
                  <w14:solidFill>
                    <w14:schemeClr w14:val="tx1"/>
                  </w14:solidFill>
                </w14:textFill>
              </w:rPr>
            </w:pPr>
            <w:r>
              <w:rPr>
                <w:rFonts w:hint="eastAsia" w:eastAsia="宋体"/>
                <w:bCs/>
                <w:color w:val="000000" w:themeColor="text1"/>
                <w:lang w:val="en-US" w:eastAsia="zh-CN"/>
                <w14:textFill>
                  <w14:solidFill>
                    <w14:schemeClr w14:val="tx1"/>
                  </w14:solidFill>
                </w14:textFill>
              </w:rPr>
              <w:t>/</w:t>
            </w:r>
          </w:p>
        </w:tc>
        <w:tc>
          <w:tcPr>
            <w:tcW w:w="356" w:type="pct"/>
            <w:vAlign w:val="center"/>
          </w:tcPr>
          <w:p w14:paraId="2D4B2C20">
            <w:pPr>
              <w:pStyle w:val="17"/>
              <w:ind w:firstLine="0" w:firstLineChars="0"/>
              <w:jc w:val="center"/>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南</w:t>
            </w:r>
          </w:p>
        </w:tc>
        <w:tc>
          <w:tcPr>
            <w:tcW w:w="578" w:type="pct"/>
            <w:vAlign w:val="center"/>
          </w:tcPr>
          <w:p w14:paraId="0ABAE38D">
            <w:pPr>
              <w:pStyle w:val="17"/>
              <w:ind w:firstLine="0" w:firstLineChars="0"/>
              <w:jc w:val="center"/>
              <w:rPr>
                <w:rFonts w:hint="eastAsia" w:eastAsia="宋体"/>
                <w:color w:val="auto"/>
                <w:highlight w:val="none"/>
                <w:lang w:val="en-US" w:eastAsia="zh-CN"/>
              </w:rPr>
            </w:pPr>
            <w:r>
              <w:rPr>
                <w:rFonts w:hint="eastAsia" w:eastAsia="宋体"/>
                <w:color w:val="auto"/>
                <w:highlight w:val="none"/>
                <w:lang w:val="en-US" w:eastAsia="zh-CN"/>
              </w:rPr>
              <w:t>136.31</w:t>
            </w:r>
          </w:p>
        </w:tc>
      </w:tr>
      <w:tr w14:paraId="44AE32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08" w:type="pct"/>
            <w:vMerge w:val="continue"/>
            <w:vAlign w:val="center"/>
          </w:tcPr>
          <w:p w14:paraId="1C76D04E">
            <w:pPr>
              <w:pStyle w:val="17"/>
              <w:jc w:val="center"/>
              <w:rPr>
                <w:rFonts w:hint="eastAsia" w:eastAsia="宋体"/>
                <w:color w:val="000000" w:themeColor="text1"/>
                <w14:textFill>
                  <w14:solidFill>
                    <w14:schemeClr w14:val="tx1"/>
                  </w14:solidFill>
                </w14:textFill>
              </w:rPr>
            </w:pPr>
          </w:p>
        </w:tc>
        <w:tc>
          <w:tcPr>
            <w:tcW w:w="322" w:type="pct"/>
            <w:vMerge w:val="continue"/>
            <w:vAlign w:val="center"/>
          </w:tcPr>
          <w:p w14:paraId="33B939D1">
            <w:pPr>
              <w:pStyle w:val="17"/>
              <w:ind w:firstLine="0" w:firstLineChars="0"/>
              <w:jc w:val="center"/>
              <w:rPr>
                <w:rFonts w:hint="eastAsia" w:eastAsia="宋体"/>
                <w:color w:val="000000" w:themeColor="text1"/>
                <w:lang w:val="en-US" w:eastAsia="zh-CN"/>
                <w14:textFill>
                  <w14:solidFill>
                    <w14:schemeClr w14:val="tx1"/>
                  </w14:solidFill>
                </w14:textFill>
              </w:rPr>
            </w:pPr>
          </w:p>
        </w:tc>
        <w:tc>
          <w:tcPr>
            <w:tcW w:w="774" w:type="pct"/>
            <w:vAlign w:val="center"/>
          </w:tcPr>
          <w:p w14:paraId="4435BC85">
            <w:pPr>
              <w:pStyle w:val="17"/>
              <w:ind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双屏村四组</w:t>
            </w:r>
          </w:p>
        </w:tc>
        <w:tc>
          <w:tcPr>
            <w:tcW w:w="421" w:type="pct"/>
            <w:vAlign w:val="center"/>
          </w:tcPr>
          <w:p w14:paraId="3771A197">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119.7683</w:t>
            </w:r>
          </w:p>
        </w:tc>
        <w:tc>
          <w:tcPr>
            <w:tcW w:w="552" w:type="pct"/>
            <w:vAlign w:val="center"/>
          </w:tcPr>
          <w:p w14:paraId="7FE0B98D">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32.7648</w:t>
            </w:r>
          </w:p>
        </w:tc>
        <w:tc>
          <w:tcPr>
            <w:tcW w:w="479" w:type="pct"/>
            <w:vMerge w:val="continue"/>
            <w:vAlign w:val="center"/>
          </w:tcPr>
          <w:p w14:paraId="595B3C9D">
            <w:pPr>
              <w:pStyle w:val="17"/>
              <w:ind w:firstLine="0" w:firstLineChars="0"/>
              <w:jc w:val="center"/>
              <w:rPr>
                <w:rFonts w:hint="eastAsia" w:eastAsia="宋体"/>
                <w:color w:val="000000" w:themeColor="text1"/>
                <w:highlight w:val="none"/>
                <w:lang w:val="en-US" w:eastAsia="zh-CN"/>
                <w14:textFill>
                  <w14:solidFill>
                    <w14:schemeClr w14:val="tx1"/>
                  </w14:solidFill>
                </w14:textFill>
              </w:rPr>
            </w:pPr>
          </w:p>
        </w:tc>
        <w:tc>
          <w:tcPr>
            <w:tcW w:w="446" w:type="pct"/>
            <w:vAlign w:val="center"/>
          </w:tcPr>
          <w:p w14:paraId="6E9798B0">
            <w:pPr>
              <w:pStyle w:val="17"/>
              <w:ind w:firstLine="0" w:firstLineChars="0"/>
              <w:jc w:val="center"/>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90</w:t>
            </w:r>
          </w:p>
        </w:tc>
        <w:tc>
          <w:tcPr>
            <w:tcW w:w="861" w:type="pct"/>
            <w:vAlign w:val="center"/>
          </w:tcPr>
          <w:p w14:paraId="34AD65B0">
            <w:pPr>
              <w:pStyle w:val="17"/>
              <w:ind w:firstLine="0" w:firstLineChars="0"/>
              <w:jc w:val="center"/>
              <w:rPr>
                <w:rFonts w:hint="default" w:eastAsia="宋体"/>
                <w:bCs/>
                <w:color w:val="000000" w:themeColor="text1"/>
                <w:lang w:val="en-US" w:eastAsia="zh-CN"/>
                <w14:textFill>
                  <w14:solidFill>
                    <w14:schemeClr w14:val="tx1"/>
                  </w14:solidFill>
                </w14:textFill>
              </w:rPr>
            </w:pPr>
            <w:r>
              <w:rPr>
                <w:rFonts w:hint="eastAsia" w:eastAsia="宋体"/>
                <w:bCs/>
                <w:color w:val="000000" w:themeColor="text1"/>
                <w:lang w:val="en-US" w:eastAsia="zh-CN"/>
                <w14:textFill>
                  <w14:solidFill>
                    <w14:schemeClr w14:val="tx1"/>
                  </w14:solidFill>
                </w14:textFill>
              </w:rPr>
              <w:t>/</w:t>
            </w:r>
          </w:p>
        </w:tc>
        <w:tc>
          <w:tcPr>
            <w:tcW w:w="356" w:type="pct"/>
            <w:vAlign w:val="center"/>
          </w:tcPr>
          <w:p w14:paraId="0EE17BEE">
            <w:pPr>
              <w:pStyle w:val="17"/>
              <w:ind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北</w:t>
            </w:r>
          </w:p>
        </w:tc>
        <w:tc>
          <w:tcPr>
            <w:tcW w:w="578" w:type="pct"/>
            <w:vAlign w:val="center"/>
          </w:tcPr>
          <w:p w14:paraId="7ABBAB8C">
            <w:pPr>
              <w:pStyle w:val="17"/>
              <w:ind w:firstLine="0" w:firstLineChars="0"/>
              <w:jc w:val="center"/>
              <w:rPr>
                <w:rFonts w:hint="eastAsia" w:eastAsia="宋体"/>
                <w:color w:val="auto"/>
                <w:highlight w:val="none"/>
                <w:lang w:val="en-US" w:eastAsia="zh-CN"/>
              </w:rPr>
            </w:pPr>
            <w:r>
              <w:rPr>
                <w:rFonts w:hint="eastAsia" w:eastAsia="宋体"/>
                <w:color w:val="auto"/>
                <w:highlight w:val="none"/>
                <w:lang w:val="en-US" w:eastAsia="zh-CN"/>
              </w:rPr>
              <w:t>111.77</w:t>
            </w:r>
          </w:p>
        </w:tc>
      </w:tr>
      <w:tr w14:paraId="1E0AB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08" w:type="pct"/>
            <w:vMerge w:val="continue"/>
            <w:vAlign w:val="center"/>
          </w:tcPr>
          <w:p w14:paraId="08A54677">
            <w:pPr>
              <w:pStyle w:val="17"/>
              <w:jc w:val="center"/>
              <w:rPr>
                <w:rFonts w:hint="eastAsia" w:eastAsia="宋体"/>
                <w:color w:val="000000" w:themeColor="text1"/>
                <w14:textFill>
                  <w14:solidFill>
                    <w14:schemeClr w14:val="tx1"/>
                  </w14:solidFill>
                </w14:textFill>
              </w:rPr>
            </w:pPr>
          </w:p>
        </w:tc>
        <w:tc>
          <w:tcPr>
            <w:tcW w:w="322" w:type="pct"/>
            <w:vMerge w:val="restart"/>
            <w:vAlign w:val="center"/>
          </w:tcPr>
          <w:p w14:paraId="5DC2816D">
            <w:pPr>
              <w:pStyle w:val="17"/>
              <w:ind w:firstLine="0" w:firstLineChars="0"/>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沙86斜井</w:t>
            </w:r>
          </w:p>
        </w:tc>
        <w:tc>
          <w:tcPr>
            <w:tcW w:w="774" w:type="pct"/>
            <w:vAlign w:val="center"/>
          </w:tcPr>
          <w:p w14:paraId="73CCCFD9">
            <w:pPr>
              <w:pStyle w:val="17"/>
              <w:ind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余家庄</w:t>
            </w:r>
          </w:p>
        </w:tc>
        <w:tc>
          <w:tcPr>
            <w:tcW w:w="421" w:type="pct"/>
            <w:vAlign w:val="center"/>
          </w:tcPr>
          <w:p w14:paraId="60EDB2B7">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119.6778</w:t>
            </w:r>
          </w:p>
        </w:tc>
        <w:tc>
          <w:tcPr>
            <w:tcW w:w="552" w:type="pct"/>
            <w:vAlign w:val="center"/>
          </w:tcPr>
          <w:p w14:paraId="38762051">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32.7637</w:t>
            </w:r>
          </w:p>
        </w:tc>
        <w:tc>
          <w:tcPr>
            <w:tcW w:w="479" w:type="pct"/>
            <w:vAlign w:val="center"/>
          </w:tcPr>
          <w:p w14:paraId="209ED874">
            <w:pPr>
              <w:pStyle w:val="17"/>
              <w:ind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庄台居民</w:t>
            </w:r>
          </w:p>
        </w:tc>
        <w:tc>
          <w:tcPr>
            <w:tcW w:w="446" w:type="pct"/>
            <w:vAlign w:val="center"/>
          </w:tcPr>
          <w:p w14:paraId="43A219E6">
            <w:pPr>
              <w:pStyle w:val="17"/>
              <w:ind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45</w:t>
            </w:r>
          </w:p>
        </w:tc>
        <w:tc>
          <w:tcPr>
            <w:tcW w:w="861" w:type="pct"/>
            <w:vAlign w:val="center"/>
          </w:tcPr>
          <w:p w14:paraId="65431DC7">
            <w:pPr>
              <w:pStyle w:val="17"/>
              <w:ind w:firstLine="0" w:firstLineChars="0"/>
              <w:jc w:val="center"/>
              <w:rPr>
                <w:rFonts w:hint="default" w:eastAsia="宋体"/>
                <w:bCs/>
                <w:color w:val="000000" w:themeColor="text1"/>
                <w:lang w:val="en-US" w:eastAsia="zh-CN"/>
                <w14:textFill>
                  <w14:solidFill>
                    <w14:schemeClr w14:val="tx1"/>
                  </w14:solidFill>
                </w14:textFill>
              </w:rPr>
            </w:pPr>
            <w:r>
              <w:rPr>
                <w:rFonts w:hint="eastAsia" w:eastAsia="宋体"/>
                <w:bCs/>
                <w:color w:val="000000" w:themeColor="text1"/>
                <w:lang w:val="en-US" w:eastAsia="zh-CN"/>
                <w14:textFill>
                  <w14:solidFill>
                    <w14:schemeClr w14:val="tx1"/>
                  </w14:solidFill>
                </w14:textFill>
              </w:rPr>
              <w:t>/</w:t>
            </w:r>
          </w:p>
        </w:tc>
        <w:tc>
          <w:tcPr>
            <w:tcW w:w="356" w:type="pct"/>
            <w:vAlign w:val="center"/>
          </w:tcPr>
          <w:p w14:paraId="7C55B535">
            <w:pPr>
              <w:pStyle w:val="17"/>
              <w:ind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北</w:t>
            </w:r>
          </w:p>
        </w:tc>
        <w:tc>
          <w:tcPr>
            <w:tcW w:w="578" w:type="pct"/>
            <w:vAlign w:val="center"/>
          </w:tcPr>
          <w:p w14:paraId="4136488F">
            <w:pPr>
              <w:pStyle w:val="17"/>
              <w:ind w:firstLine="0" w:firstLineChars="0"/>
              <w:jc w:val="center"/>
              <w:rPr>
                <w:rFonts w:hint="eastAsia" w:eastAsia="宋体"/>
                <w:color w:val="auto"/>
                <w:highlight w:val="none"/>
                <w:lang w:val="en-US" w:eastAsia="zh-CN"/>
              </w:rPr>
            </w:pPr>
            <w:r>
              <w:rPr>
                <w:rFonts w:hint="eastAsia" w:eastAsia="宋体"/>
                <w:color w:val="auto"/>
                <w:highlight w:val="none"/>
                <w:lang w:val="en-US" w:eastAsia="zh-CN"/>
              </w:rPr>
              <w:t>69.20</w:t>
            </w:r>
          </w:p>
        </w:tc>
      </w:tr>
      <w:tr w14:paraId="38384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08" w:type="pct"/>
            <w:vMerge w:val="continue"/>
            <w:vAlign w:val="center"/>
          </w:tcPr>
          <w:p w14:paraId="612516E1">
            <w:pPr>
              <w:pStyle w:val="17"/>
              <w:jc w:val="center"/>
              <w:rPr>
                <w:rFonts w:hint="eastAsia" w:eastAsia="宋体"/>
                <w:color w:val="000000" w:themeColor="text1"/>
                <w14:textFill>
                  <w14:solidFill>
                    <w14:schemeClr w14:val="tx1"/>
                  </w14:solidFill>
                </w14:textFill>
              </w:rPr>
            </w:pPr>
          </w:p>
        </w:tc>
        <w:tc>
          <w:tcPr>
            <w:tcW w:w="322" w:type="pct"/>
            <w:vMerge w:val="continue"/>
            <w:vAlign w:val="center"/>
          </w:tcPr>
          <w:p w14:paraId="216816E2">
            <w:pPr>
              <w:pStyle w:val="17"/>
              <w:ind w:firstLine="0" w:firstLineChars="0"/>
              <w:jc w:val="center"/>
              <w:rPr>
                <w:rFonts w:hint="eastAsia" w:eastAsia="宋体"/>
                <w:color w:val="000000" w:themeColor="text1"/>
                <w:lang w:val="en-US" w:eastAsia="zh-CN"/>
                <w14:textFill>
                  <w14:solidFill>
                    <w14:schemeClr w14:val="tx1"/>
                  </w14:solidFill>
                </w14:textFill>
              </w:rPr>
            </w:pPr>
          </w:p>
        </w:tc>
        <w:tc>
          <w:tcPr>
            <w:tcW w:w="774" w:type="pct"/>
            <w:vAlign w:val="center"/>
          </w:tcPr>
          <w:p w14:paraId="01380032">
            <w:pPr>
              <w:pStyle w:val="17"/>
              <w:ind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康桥雅居</w:t>
            </w:r>
          </w:p>
        </w:tc>
        <w:tc>
          <w:tcPr>
            <w:tcW w:w="421" w:type="pct"/>
            <w:vAlign w:val="center"/>
          </w:tcPr>
          <w:p w14:paraId="66B3BB06">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119.6717</w:t>
            </w:r>
          </w:p>
        </w:tc>
        <w:tc>
          <w:tcPr>
            <w:tcW w:w="552" w:type="pct"/>
            <w:vAlign w:val="center"/>
          </w:tcPr>
          <w:p w14:paraId="19D09FD1">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32.7625</w:t>
            </w:r>
          </w:p>
        </w:tc>
        <w:tc>
          <w:tcPr>
            <w:tcW w:w="479" w:type="pct"/>
            <w:vAlign w:val="center"/>
          </w:tcPr>
          <w:p w14:paraId="7FDF0136">
            <w:pPr>
              <w:pStyle w:val="17"/>
              <w:ind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庄台居民</w:t>
            </w:r>
          </w:p>
        </w:tc>
        <w:tc>
          <w:tcPr>
            <w:tcW w:w="446" w:type="pct"/>
            <w:vAlign w:val="center"/>
          </w:tcPr>
          <w:p w14:paraId="6EB0FD5B">
            <w:pPr>
              <w:pStyle w:val="17"/>
              <w:ind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60</w:t>
            </w:r>
          </w:p>
        </w:tc>
        <w:tc>
          <w:tcPr>
            <w:tcW w:w="861" w:type="pct"/>
            <w:vAlign w:val="center"/>
          </w:tcPr>
          <w:p w14:paraId="4FC5A3CD">
            <w:pPr>
              <w:pStyle w:val="17"/>
              <w:ind w:firstLine="0" w:firstLineChars="0"/>
              <w:jc w:val="center"/>
              <w:rPr>
                <w:rFonts w:hint="eastAsia" w:eastAsia="宋体"/>
                <w:bCs/>
                <w:color w:val="000000" w:themeColor="text1"/>
                <w:lang w:val="en-US" w:eastAsia="zh-CN"/>
                <w14:textFill>
                  <w14:solidFill>
                    <w14:schemeClr w14:val="tx1"/>
                  </w14:solidFill>
                </w14:textFill>
              </w:rPr>
            </w:pPr>
          </w:p>
        </w:tc>
        <w:tc>
          <w:tcPr>
            <w:tcW w:w="356" w:type="pct"/>
            <w:vAlign w:val="center"/>
          </w:tcPr>
          <w:p w14:paraId="0E04D970">
            <w:pPr>
              <w:pStyle w:val="17"/>
              <w:ind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西</w:t>
            </w:r>
          </w:p>
        </w:tc>
        <w:tc>
          <w:tcPr>
            <w:tcW w:w="578" w:type="pct"/>
            <w:vAlign w:val="center"/>
          </w:tcPr>
          <w:p w14:paraId="37812EBC">
            <w:pPr>
              <w:pStyle w:val="17"/>
              <w:ind w:firstLine="0" w:firstLineChars="0"/>
              <w:jc w:val="center"/>
              <w:rPr>
                <w:rFonts w:hint="eastAsia" w:eastAsia="宋体"/>
                <w:color w:val="auto"/>
                <w:highlight w:val="none"/>
                <w:lang w:val="en-US" w:eastAsia="zh-CN"/>
              </w:rPr>
            </w:pPr>
            <w:r>
              <w:rPr>
                <w:rFonts w:hint="eastAsia" w:eastAsia="宋体"/>
                <w:color w:val="auto"/>
                <w:highlight w:val="none"/>
                <w:lang w:val="en-US" w:eastAsia="zh-CN"/>
              </w:rPr>
              <w:t>362.97</w:t>
            </w:r>
          </w:p>
        </w:tc>
      </w:tr>
      <w:tr w14:paraId="1B7B6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08" w:type="pct"/>
            <w:vMerge w:val="continue"/>
            <w:vAlign w:val="center"/>
          </w:tcPr>
          <w:p w14:paraId="3DC8FAF5">
            <w:pPr>
              <w:pStyle w:val="17"/>
              <w:jc w:val="center"/>
              <w:rPr>
                <w:rFonts w:hint="eastAsia" w:eastAsia="宋体"/>
                <w:color w:val="000000" w:themeColor="text1"/>
                <w14:textFill>
                  <w14:solidFill>
                    <w14:schemeClr w14:val="tx1"/>
                  </w14:solidFill>
                </w14:textFill>
              </w:rPr>
            </w:pPr>
          </w:p>
        </w:tc>
        <w:tc>
          <w:tcPr>
            <w:tcW w:w="322" w:type="pct"/>
            <w:vMerge w:val="continue"/>
            <w:vAlign w:val="center"/>
          </w:tcPr>
          <w:p w14:paraId="34CCDF11">
            <w:pPr>
              <w:pStyle w:val="17"/>
              <w:ind w:firstLine="0" w:firstLineChars="0"/>
              <w:jc w:val="center"/>
              <w:rPr>
                <w:rFonts w:hint="eastAsia" w:eastAsia="宋体"/>
                <w:color w:val="000000" w:themeColor="text1"/>
                <w:lang w:val="en-US" w:eastAsia="zh-CN"/>
                <w14:textFill>
                  <w14:solidFill>
                    <w14:schemeClr w14:val="tx1"/>
                  </w14:solidFill>
                </w14:textFill>
              </w:rPr>
            </w:pPr>
          </w:p>
        </w:tc>
        <w:tc>
          <w:tcPr>
            <w:tcW w:w="774" w:type="pct"/>
            <w:vAlign w:val="center"/>
          </w:tcPr>
          <w:p w14:paraId="596139A1">
            <w:pPr>
              <w:pStyle w:val="17"/>
              <w:ind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卞家庄</w:t>
            </w:r>
          </w:p>
        </w:tc>
        <w:tc>
          <w:tcPr>
            <w:tcW w:w="421" w:type="pct"/>
            <w:vAlign w:val="center"/>
          </w:tcPr>
          <w:p w14:paraId="5EB510B9">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119.6776</w:t>
            </w:r>
          </w:p>
        </w:tc>
        <w:tc>
          <w:tcPr>
            <w:tcW w:w="552" w:type="pct"/>
            <w:vAlign w:val="center"/>
          </w:tcPr>
          <w:p w14:paraId="24761468">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32.7651</w:t>
            </w:r>
          </w:p>
        </w:tc>
        <w:tc>
          <w:tcPr>
            <w:tcW w:w="479" w:type="pct"/>
            <w:vAlign w:val="center"/>
          </w:tcPr>
          <w:p w14:paraId="357EEC33">
            <w:pPr>
              <w:pStyle w:val="17"/>
              <w:ind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庄台居民</w:t>
            </w:r>
          </w:p>
        </w:tc>
        <w:tc>
          <w:tcPr>
            <w:tcW w:w="446" w:type="pct"/>
            <w:vAlign w:val="center"/>
          </w:tcPr>
          <w:p w14:paraId="741C1DE4">
            <w:pPr>
              <w:pStyle w:val="17"/>
              <w:ind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90</w:t>
            </w:r>
          </w:p>
        </w:tc>
        <w:tc>
          <w:tcPr>
            <w:tcW w:w="861" w:type="pct"/>
            <w:vAlign w:val="center"/>
          </w:tcPr>
          <w:p w14:paraId="473BAE61">
            <w:pPr>
              <w:pStyle w:val="17"/>
              <w:ind w:firstLine="0" w:firstLineChars="0"/>
              <w:jc w:val="center"/>
              <w:rPr>
                <w:rFonts w:hint="eastAsia" w:eastAsia="宋体"/>
                <w:bCs/>
                <w:color w:val="000000" w:themeColor="text1"/>
                <w:lang w:val="en-US" w:eastAsia="zh-CN"/>
                <w14:textFill>
                  <w14:solidFill>
                    <w14:schemeClr w14:val="tx1"/>
                  </w14:solidFill>
                </w14:textFill>
              </w:rPr>
            </w:pPr>
          </w:p>
        </w:tc>
        <w:tc>
          <w:tcPr>
            <w:tcW w:w="356" w:type="pct"/>
            <w:vAlign w:val="center"/>
          </w:tcPr>
          <w:p w14:paraId="3EE279B9">
            <w:pPr>
              <w:pStyle w:val="17"/>
              <w:ind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北</w:t>
            </w:r>
          </w:p>
        </w:tc>
        <w:tc>
          <w:tcPr>
            <w:tcW w:w="578" w:type="pct"/>
            <w:vAlign w:val="center"/>
          </w:tcPr>
          <w:p w14:paraId="556C8BCB">
            <w:pPr>
              <w:pStyle w:val="17"/>
              <w:ind w:firstLine="0" w:firstLineChars="0"/>
              <w:jc w:val="center"/>
              <w:rPr>
                <w:rFonts w:hint="eastAsia" w:eastAsia="宋体"/>
                <w:color w:val="auto"/>
                <w:highlight w:val="none"/>
                <w:lang w:val="en-US" w:eastAsia="zh-CN"/>
              </w:rPr>
            </w:pPr>
            <w:r>
              <w:rPr>
                <w:rFonts w:hint="eastAsia" w:eastAsia="宋体"/>
                <w:color w:val="auto"/>
                <w:highlight w:val="none"/>
                <w:lang w:val="en-US" w:eastAsia="zh-CN"/>
              </w:rPr>
              <w:t>219.42</w:t>
            </w:r>
          </w:p>
        </w:tc>
      </w:tr>
      <w:tr w14:paraId="09345C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08" w:type="pct"/>
            <w:vMerge w:val="continue"/>
            <w:vAlign w:val="center"/>
          </w:tcPr>
          <w:p w14:paraId="1396D141">
            <w:pPr>
              <w:pStyle w:val="17"/>
              <w:jc w:val="center"/>
              <w:rPr>
                <w:rFonts w:hint="eastAsia" w:eastAsia="宋体"/>
                <w:color w:val="000000" w:themeColor="text1"/>
                <w14:textFill>
                  <w14:solidFill>
                    <w14:schemeClr w14:val="tx1"/>
                  </w14:solidFill>
                </w14:textFill>
              </w:rPr>
            </w:pPr>
          </w:p>
        </w:tc>
        <w:tc>
          <w:tcPr>
            <w:tcW w:w="322" w:type="pct"/>
            <w:vMerge w:val="continue"/>
            <w:vAlign w:val="center"/>
          </w:tcPr>
          <w:p w14:paraId="319BA3EB">
            <w:pPr>
              <w:pStyle w:val="17"/>
              <w:ind w:firstLine="0" w:firstLineChars="0"/>
              <w:jc w:val="center"/>
              <w:rPr>
                <w:rFonts w:hint="eastAsia" w:eastAsia="宋体"/>
                <w:color w:val="000000" w:themeColor="text1"/>
                <w:lang w:val="en-US" w:eastAsia="zh-CN"/>
                <w14:textFill>
                  <w14:solidFill>
                    <w14:schemeClr w14:val="tx1"/>
                  </w14:solidFill>
                </w14:textFill>
              </w:rPr>
            </w:pPr>
          </w:p>
        </w:tc>
        <w:tc>
          <w:tcPr>
            <w:tcW w:w="774" w:type="pct"/>
            <w:vAlign w:val="center"/>
          </w:tcPr>
          <w:p w14:paraId="4CE71C3F">
            <w:pPr>
              <w:pStyle w:val="17"/>
              <w:ind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四吴厦</w:t>
            </w:r>
          </w:p>
        </w:tc>
        <w:tc>
          <w:tcPr>
            <w:tcW w:w="421" w:type="pct"/>
            <w:vAlign w:val="center"/>
          </w:tcPr>
          <w:p w14:paraId="0E29D0EA">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119.6747</w:t>
            </w:r>
          </w:p>
        </w:tc>
        <w:tc>
          <w:tcPr>
            <w:tcW w:w="552" w:type="pct"/>
            <w:vAlign w:val="center"/>
          </w:tcPr>
          <w:p w14:paraId="7FCFEC93">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32.7650</w:t>
            </w:r>
          </w:p>
        </w:tc>
        <w:tc>
          <w:tcPr>
            <w:tcW w:w="479" w:type="pct"/>
            <w:vAlign w:val="center"/>
          </w:tcPr>
          <w:p w14:paraId="38E20474">
            <w:pPr>
              <w:pStyle w:val="17"/>
              <w:ind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庄台居民</w:t>
            </w:r>
          </w:p>
        </w:tc>
        <w:tc>
          <w:tcPr>
            <w:tcW w:w="446" w:type="pct"/>
            <w:vAlign w:val="center"/>
          </w:tcPr>
          <w:p w14:paraId="32FC8954">
            <w:pPr>
              <w:pStyle w:val="17"/>
              <w:ind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150</w:t>
            </w:r>
          </w:p>
        </w:tc>
        <w:tc>
          <w:tcPr>
            <w:tcW w:w="861" w:type="pct"/>
            <w:vAlign w:val="center"/>
          </w:tcPr>
          <w:p w14:paraId="0E5EF610">
            <w:pPr>
              <w:pStyle w:val="17"/>
              <w:ind w:firstLine="0" w:firstLineChars="0"/>
              <w:jc w:val="center"/>
              <w:rPr>
                <w:rFonts w:hint="eastAsia" w:eastAsia="宋体"/>
                <w:bCs/>
                <w:color w:val="000000" w:themeColor="text1"/>
                <w:lang w:val="en-US" w:eastAsia="zh-CN"/>
                <w14:textFill>
                  <w14:solidFill>
                    <w14:schemeClr w14:val="tx1"/>
                  </w14:solidFill>
                </w14:textFill>
              </w:rPr>
            </w:pPr>
          </w:p>
        </w:tc>
        <w:tc>
          <w:tcPr>
            <w:tcW w:w="356" w:type="pct"/>
            <w:vAlign w:val="center"/>
          </w:tcPr>
          <w:p w14:paraId="0CDA0E8A">
            <w:pPr>
              <w:pStyle w:val="17"/>
              <w:ind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北</w:t>
            </w:r>
          </w:p>
        </w:tc>
        <w:tc>
          <w:tcPr>
            <w:tcW w:w="578" w:type="pct"/>
            <w:vAlign w:val="center"/>
          </w:tcPr>
          <w:p w14:paraId="23A7E589">
            <w:pPr>
              <w:pStyle w:val="17"/>
              <w:ind w:firstLine="0" w:firstLineChars="0"/>
              <w:jc w:val="center"/>
              <w:rPr>
                <w:rFonts w:hint="default" w:eastAsia="宋体"/>
                <w:color w:val="auto"/>
                <w:highlight w:val="none"/>
                <w:lang w:val="en-US" w:eastAsia="zh-CN"/>
              </w:rPr>
            </w:pPr>
            <w:r>
              <w:rPr>
                <w:rFonts w:hint="eastAsia" w:eastAsia="宋体"/>
                <w:color w:val="auto"/>
                <w:highlight w:val="none"/>
                <w:lang w:val="en-US" w:eastAsia="zh-CN"/>
              </w:rPr>
              <w:t>277.53</w:t>
            </w:r>
          </w:p>
        </w:tc>
      </w:tr>
      <w:tr w14:paraId="34C5C3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08" w:type="pct"/>
            <w:vMerge w:val="restart"/>
            <w:vAlign w:val="center"/>
          </w:tcPr>
          <w:p w14:paraId="6CE70D79">
            <w:pPr>
              <w:pStyle w:val="17"/>
              <w:jc w:val="center"/>
              <w:rPr>
                <w:rFonts w:hint="eastAsia"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生态</w:t>
            </w:r>
          </w:p>
        </w:tc>
        <w:tc>
          <w:tcPr>
            <w:tcW w:w="322" w:type="pct"/>
            <w:vAlign w:val="center"/>
          </w:tcPr>
          <w:p w14:paraId="0F6F97C3">
            <w:pPr>
              <w:pStyle w:val="17"/>
              <w:ind w:firstLine="0" w:firstLineChars="0"/>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沙105斜井</w:t>
            </w:r>
          </w:p>
        </w:tc>
        <w:tc>
          <w:tcPr>
            <w:tcW w:w="774" w:type="pct"/>
            <w:vAlign w:val="center"/>
          </w:tcPr>
          <w:p w14:paraId="556FD9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rPr>
              <w:t>卤汀河（兴化市）清水通道维护区</w:t>
            </w:r>
          </w:p>
        </w:tc>
        <w:tc>
          <w:tcPr>
            <w:tcW w:w="973" w:type="pct"/>
            <w:gridSpan w:val="2"/>
            <w:vAlign w:val="center"/>
          </w:tcPr>
          <w:p w14:paraId="098B0D5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水源水质保护</w:t>
            </w:r>
          </w:p>
        </w:tc>
        <w:tc>
          <w:tcPr>
            <w:tcW w:w="479" w:type="pct"/>
            <w:vAlign w:val="center"/>
          </w:tcPr>
          <w:p w14:paraId="275DAA65">
            <w:pPr>
              <w:pStyle w:val="17"/>
              <w:bidi w:val="0"/>
              <w:ind w:firstLine="0" w:firstLineChars="0"/>
              <w:rPr>
                <w:rFonts w:eastAsia="宋体"/>
                <w:color w:val="000000" w:themeColor="text1"/>
                <w:highlight w:val="none"/>
                <w14:textFill>
                  <w14:solidFill>
                    <w14:schemeClr w14:val="tx1"/>
                  </w14:solidFill>
                </w14:textFill>
              </w:rPr>
            </w:pPr>
            <w:r>
              <w:rPr>
                <w:rFonts w:hint="eastAsia"/>
                <w:color w:val="auto"/>
                <w:lang w:val="en-US" w:eastAsia="zh-CN"/>
              </w:rPr>
              <w:t>12.09</w:t>
            </w:r>
            <w:r>
              <w:rPr>
                <w:rFonts w:hint="eastAsia"/>
                <w:color w:val="auto"/>
              </w:rPr>
              <w:t>km</w:t>
            </w:r>
            <w:r>
              <w:rPr>
                <w:rFonts w:hint="eastAsia"/>
                <w:color w:val="auto"/>
                <w:vertAlign w:val="superscript"/>
              </w:rPr>
              <w:t>2</w:t>
            </w:r>
          </w:p>
        </w:tc>
        <w:tc>
          <w:tcPr>
            <w:tcW w:w="446" w:type="pct"/>
            <w:vAlign w:val="center"/>
          </w:tcPr>
          <w:p w14:paraId="0F44A74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bCs/>
                <w:color w:val="auto"/>
                <w:sz w:val="21"/>
                <w:szCs w:val="21"/>
                <w:highlight w:val="none"/>
                <w:lang w:val="en-US" w:eastAsia="zh-CN"/>
              </w:rPr>
              <w:t>/</w:t>
            </w:r>
          </w:p>
        </w:tc>
        <w:tc>
          <w:tcPr>
            <w:tcW w:w="861" w:type="pct"/>
            <w:vAlign w:val="center"/>
          </w:tcPr>
          <w:p w14:paraId="2815CE4B">
            <w:pPr>
              <w:keepNext w:val="0"/>
              <w:keepLines w:val="0"/>
              <w:pageBreakBefore w:val="0"/>
              <w:kinsoku/>
              <w:wordWrap/>
              <w:overflowPunct/>
              <w:topLinePunct w:val="0"/>
              <w:autoSpaceDE/>
              <w:autoSpaceDN/>
              <w:bidi w:val="0"/>
              <w:adjustRightInd/>
              <w:snapToGrid/>
              <w:spacing w:line="240" w:lineRule="auto"/>
              <w:jc w:val="center"/>
              <w:rPr>
                <w:rFonts w:hint="eastAsia" w:eastAsia="宋体"/>
                <w:color w:val="000000" w:themeColor="text1"/>
                <w:highlight w:val="none"/>
                <w14:textFill>
                  <w14:solidFill>
                    <w14:schemeClr w14:val="tx1"/>
                  </w14:solidFill>
                </w14:textFill>
              </w:rPr>
            </w:pPr>
            <w:r>
              <w:rPr>
                <w:rFonts w:hint="default" w:ascii="Times New Roman" w:hAnsi="Times New Roman" w:eastAsia="宋体" w:cs="Times New Roman"/>
                <w:bCs/>
                <w:color w:val="auto"/>
                <w:sz w:val="21"/>
                <w:szCs w:val="21"/>
                <w:highlight w:val="none"/>
              </w:rPr>
              <w:t>生态空间保护区域</w:t>
            </w:r>
          </w:p>
        </w:tc>
        <w:tc>
          <w:tcPr>
            <w:tcW w:w="356" w:type="pct"/>
            <w:vAlign w:val="center"/>
          </w:tcPr>
          <w:p w14:paraId="641516B9">
            <w:pPr>
              <w:pStyle w:val="17"/>
              <w:ind w:firstLine="0" w:firstLineChars="0"/>
              <w:jc w:val="center"/>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东</w:t>
            </w:r>
          </w:p>
        </w:tc>
        <w:tc>
          <w:tcPr>
            <w:tcW w:w="578" w:type="pct"/>
            <w:vAlign w:val="center"/>
          </w:tcPr>
          <w:p w14:paraId="7F47B3E7">
            <w:pPr>
              <w:pStyle w:val="3"/>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eastAsia="宋体"/>
                <w:color w:val="auto"/>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6400</w:t>
            </w:r>
          </w:p>
        </w:tc>
      </w:tr>
      <w:tr w14:paraId="2B63EC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08" w:type="pct"/>
            <w:vMerge w:val="continue"/>
            <w:vAlign w:val="center"/>
          </w:tcPr>
          <w:p w14:paraId="07EF0A35">
            <w:pPr>
              <w:pStyle w:val="17"/>
              <w:jc w:val="center"/>
              <w:rPr>
                <w:rFonts w:hint="eastAsia" w:eastAsia="宋体"/>
                <w:color w:val="000000" w:themeColor="text1"/>
                <w14:textFill>
                  <w14:solidFill>
                    <w14:schemeClr w14:val="tx1"/>
                  </w14:solidFill>
                </w14:textFill>
              </w:rPr>
            </w:pPr>
          </w:p>
        </w:tc>
        <w:tc>
          <w:tcPr>
            <w:tcW w:w="322" w:type="pct"/>
            <w:vAlign w:val="center"/>
          </w:tcPr>
          <w:p w14:paraId="21C7AB07">
            <w:pPr>
              <w:pStyle w:val="17"/>
              <w:ind w:firstLine="0" w:firstLineChars="0"/>
              <w:jc w:val="center"/>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沙86斜井</w:t>
            </w:r>
          </w:p>
        </w:tc>
        <w:tc>
          <w:tcPr>
            <w:tcW w:w="774" w:type="pct"/>
            <w:vAlign w:val="center"/>
          </w:tcPr>
          <w:p w14:paraId="7BE635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rPr>
            </w:pPr>
            <w:r>
              <w:rPr>
                <w:rFonts w:hint="eastAsia" w:ascii="Times New Roman" w:hAnsi="Times New Roman" w:eastAsia="宋体" w:cs="宋体"/>
                <w:b w:val="0"/>
                <w:bCs/>
                <w:color w:val="auto"/>
                <w:kern w:val="2"/>
                <w:sz w:val="21"/>
                <w:szCs w:val="21"/>
                <w:lang w:val="en-US" w:eastAsia="zh-CN" w:bidi="ar-SA"/>
              </w:rPr>
              <w:t>三阳河（高邮市）清水通道维护区</w:t>
            </w:r>
          </w:p>
        </w:tc>
        <w:tc>
          <w:tcPr>
            <w:tcW w:w="973" w:type="pct"/>
            <w:gridSpan w:val="2"/>
            <w:vAlign w:val="center"/>
          </w:tcPr>
          <w:p w14:paraId="612F12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宋体"/>
                <w:color w:val="auto"/>
                <w:sz w:val="21"/>
                <w:szCs w:val="21"/>
                <w:lang w:val="en-US" w:eastAsia="zh-CN"/>
              </w:rPr>
              <w:t>水源水质保护</w:t>
            </w:r>
          </w:p>
        </w:tc>
        <w:tc>
          <w:tcPr>
            <w:tcW w:w="479" w:type="pct"/>
            <w:vAlign w:val="center"/>
          </w:tcPr>
          <w:p w14:paraId="78B3BF35">
            <w:pPr>
              <w:pStyle w:val="17"/>
              <w:bidi w:val="0"/>
              <w:ind w:firstLine="0" w:firstLineChars="0"/>
              <w:rPr>
                <w:rFonts w:hint="default"/>
                <w:color w:val="auto"/>
                <w:lang w:val="en-US" w:eastAsia="zh-CN"/>
              </w:rPr>
            </w:pPr>
            <w:r>
              <w:rPr>
                <w:rFonts w:hint="eastAsia"/>
                <w:color w:val="auto"/>
                <w:lang w:val="en-US" w:eastAsia="zh-CN"/>
              </w:rPr>
              <w:t>10.88</w:t>
            </w:r>
            <w:r>
              <w:rPr>
                <w:rFonts w:hint="eastAsia"/>
                <w:color w:val="auto"/>
              </w:rPr>
              <w:t>km</w:t>
            </w:r>
            <w:r>
              <w:rPr>
                <w:rFonts w:hint="eastAsia"/>
                <w:color w:val="auto"/>
                <w:vertAlign w:val="superscript"/>
              </w:rPr>
              <w:t>2</w:t>
            </w:r>
          </w:p>
        </w:tc>
        <w:tc>
          <w:tcPr>
            <w:tcW w:w="446" w:type="pct"/>
            <w:vAlign w:val="center"/>
          </w:tcPr>
          <w:p w14:paraId="608689B0">
            <w:pPr>
              <w:keepNext w:val="0"/>
              <w:keepLines w:val="0"/>
              <w:pageBreakBefore w:val="0"/>
              <w:kinsoku/>
              <w:wordWrap/>
              <w:overflowPunct/>
              <w:topLinePunct w:val="0"/>
              <w:autoSpaceDE/>
              <w:autoSpaceDN/>
              <w:bidi w:val="0"/>
              <w:adjustRightInd/>
              <w:snapToGrid/>
              <w:spacing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861" w:type="pct"/>
            <w:vAlign w:val="center"/>
          </w:tcPr>
          <w:p w14:paraId="4154A64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生态空间保护区域</w:t>
            </w:r>
          </w:p>
        </w:tc>
        <w:tc>
          <w:tcPr>
            <w:tcW w:w="356" w:type="pct"/>
            <w:vAlign w:val="center"/>
          </w:tcPr>
          <w:p w14:paraId="2CF2EC1A">
            <w:pPr>
              <w:pStyle w:val="17"/>
              <w:ind w:firstLine="0" w:firstLineChars="0"/>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西</w:t>
            </w:r>
          </w:p>
        </w:tc>
        <w:tc>
          <w:tcPr>
            <w:tcW w:w="578" w:type="pct"/>
            <w:vAlign w:val="center"/>
          </w:tcPr>
          <w:p w14:paraId="4647AC70">
            <w:pPr>
              <w:pStyle w:val="3"/>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bidi="ar-SA"/>
              </w:rPr>
              <w:t>1360</w:t>
            </w:r>
          </w:p>
        </w:tc>
      </w:tr>
    </w:tbl>
    <w:p w14:paraId="4406D978">
      <w:pPr>
        <w:adjustRightInd w:val="0"/>
        <w:snapToGrid w:val="0"/>
        <w:jc w:val="both"/>
        <w:rPr>
          <w:rFonts w:eastAsia="宋体"/>
          <w:kern w:val="0"/>
          <w:sz w:val="24"/>
        </w:rPr>
        <w:sectPr>
          <w:pgSz w:w="16838" w:h="11905" w:orient="landscape"/>
          <w:pgMar w:top="1803" w:right="1440" w:bottom="1803" w:left="1440"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p w14:paraId="274BCB05">
      <w:pPr>
        <w:bidi w:val="0"/>
        <w:rPr>
          <w:rFonts w:eastAsia="宋体"/>
        </w:rPr>
      </w:pPr>
    </w:p>
    <w:tbl>
      <w:tblPr>
        <w:tblStyle w:val="11"/>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4"/>
        <w:gridCol w:w="7676"/>
      </w:tblGrid>
      <w:tr w14:paraId="6A3291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490" w:type="pct"/>
            <w:vAlign w:val="center"/>
          </w:tcPr>
          <w:p w14:paraId="410FF73F">
            <w:pPr>
              <w:adjustRightInd w:val="0"/>
              <w:snapToGrid w:val="0"/>
              <w:jc w:val="center"/>
              <w:rPr>
                <w:rFonts w:eastAsia="宋体"/>
                <w:kern w:val="0"/>
                <w:sz w:val="24"/>
              </w:rPr>
            </w:pPr>
            <w:r>
              <w:rPr>
                <w:rFonts w:eastAsia="宋体"/>
                <w:kern w:val="0"/>
                <w:sz w:val="24"/>
              </w:rPr>
              <w:t>评价</w:t>
            </w:r>
          </w:p>
          <w:p w14:paraId="50FA224C">
            <w:pPr>
              <w:adjustRightInd w:val="0"/>
              <w:snapToGrid w:val="0"/>
              <w:jc w:val="center"/>
              <w:rPr>
                <w:rFonts w:eastAsia="宋体"/>
                <w:kern w:val="0"/>
                <w:sz w:val="24"/>
              </w:rPr>
            </w:pPr>
            <w:r>
              <w:rPr>
                <w:rFonts w:eastAsia="宋体"/>
                <w:kern w:val="0"/>
                <w:sz w:val="24"/>
              </w:rPr>
              <w:t>标准</w:t>
            </w:r>
          </w:p>
        </w:tc>
        <w:tc>
          <w:tcPr>
            <w:tcW w:w="4509" w:type="pct"/>
          </w:tcPr>
          <w:p w14:paraId="2D7F8982">
            <w:pPr>
              <w:pStyle w:val="2"/>
              <w:ind w:firstLine="482" w:firstLineChars="200"/>
              <w:rPr>
                <w:rFonts w:eastAsia="宋体"/>
              </w:rPr>
            </w:pPr>
            <w:r>
              <w:rPr>
                <w:rFonts w:hint="eastAsia" w:eastAsia="宋体"/>
              </w:rPr>
              <w:t>1、环境质量标准</w:t>
            </w:r>
          </w:p>
          <w:p w14:paraId="628278D1">
            <w:pPr>
              <w:pStyle w:val="3"/>
              <w:ind w:firstLine="480"/>
              <w:rPr>
                <w:rFonts w:eastAsia="宋体"/>
              </w:rPr>
            </w:pPr>
            <w:r>
              <w:rPr>
                <w:rFonts w:hint="eastAsia" w:eastAsia="宋体"/>
              </w:rPr>
              <w:t>（1）环境空气</w:t>
            </w:r>
          </w:p>
          <w:p w14:paraId="32C11334">
            <w:pPr>
              <w:pStyle w:val="3"/>
              <w:ind w:firstLine="480"/>
              <w:rPr>
                <w:rFonts w:hint="eastAsia" w:eastAsia="宋体"/>
              </w:rPr>
            </w:pPr>
            <w:r>
              <w:rPr>
                <w:rFonts w:hint="eastAsia" w:eastAsia="宋体"/>
              </w:rPr>
              <w:t>本项目位于</w:t>
            </w:r>
            <w:r>
              <w:rPr>
                <w:rFonts w:hint="eastAsia" w:eastAsia="宋体"/>
                <w:color w:val="auto"/>
              </w:rPr>
              <w:t>高邮市</w:t>
            </w:r>
            <w:r>
              <w:rPr>
                <w:rFonts w:hint="eastAsia" w:eastAsia="宋体"/>
                <w:color w:val="auto"/>
                <w:lang w:val="en-US" w:eastAsia="zh-CN"/>
              </w:rPr>
              <w:t>汤庄镇</w:t>
            </w:r>
            <w:r>
              <w:rPr>
                <w:rFonts w:hint="eastAsia" w:eastAsia="宋体"/>
              </w:rPr>
              <w:t>，</w:t>
            </w:r>
            <w:r>
              <w:rPr>
                <w:rFonts w:hint="eastAsia" w:eastAsia="宋体"/>
                <w:lang w:val="en-US" w:eastAsia="zh-CN"/>
              </w:rPr>
              <w:t>环境空气</w:t>
            </w:r>
            <w:r>
              <w:rPr>
                <w:rFonts w:hint="eastAsia" w:eastAsia="宋体"/>
              </w:rPr>
              <w:t>执行《环境空气质量标准》（GB3095-2012）表1中二级标准，非甲烷总烃参照执行《《大气污染物综合排放标准详解》，TSP执行《环境空气质量标准》（GB3095-2012）表2中相关标准。</w:t>
            </w:r>
          </w:p>
          <w:p w14:paraId="36D1298B">
            <w:pPr>
              <w:pStyle w:val="16"/>
              <w:rPr>
                <w:rFonts w:eastAsia="宋体"/>
              </w:rPr>
            </w:pPr>
            <w:r>
              <w:rPr>
                <w:rFonts w:eastAsia="宋体"/>
              </w:rPr>
              <w:t>表</w:t>
            </w:r>
            <w:r>
              <w:rPr>
                <w:rFonts w:hint="eastAsia" w:eastAsia="宋体"/>
              </w:rPr>
              <w:t>3-</w:t>
            </w:r>
            <w:r>
              <w:rPr>
                <w:rFonts w:hint="eastAsia" w:eastAsia="宋体"/>
                <w:lang w:val="en-US" w:eastAsia="zh-CN"/>
              </w:rPr>
              <w:t>3</w:t>
            </w:r>
            <w:r>
              <w:rPr>
                <w:rFonts w:eastAsia="宋体"/>
              </w:rPr>
              <w:t xml:space="preserve">  评价因子和评价标准</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36"/>
              <w:gridCol w:w="1973"/>
              <w:gridCol w:w="1707"/>
              <w:gridCol w:w="2450"/>
            </w:tblGrid>
            <w:tr w14:paraId="3B96268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tblHeader/>
              </w:trPr>
              <w:tc>
                <w:tcPr>
                  <w:tcW w:w="1336" w:type="dxa"/>
                  <w:tcBorders>
                    <w:tl2br w:val="nil"/>
                    <w:tr2bl w:val="nil"/>
                  </w:tcBorders>
                  <w:vAlign w:val="center"/>
                </w:tcPr>
                <w:p w14:paraId="7A866410">
                  <w:pPr>
                    <w:snapToGrid w:val="0"/>
                    <w:spacing w:line="320" w:lineRule="exact"/>
                    <w:jc w:val="center"/>
                    <w:rPr>
                      <w:rFonts w:eastAsia="宋体"/>
                      <w:b/>
                      <w:bCs/>
                      <w:szCs w:val="21"/>
                    </w:rPr>
                  </w:pPr>
                  <w:r>
                    <w:rPr>
                      <w:rFonts w:eastAsia="宋体"/>
                      <w:b/>
                      <w:bCs/>
                      <w:szCs w:val="21"/>
                    </w:rPr>
                    <w:t>评价因子</w:t>
                  </w:r>
                </w:p>
              </w:tc>
              <w:tc>
                <w:tcPr>
                  <w:tcW w:w="1973" w:type="dxa"/>
                  <w:tcBorders>
                    <w:tl2br w:val="nil"/>
                    <w:tr2bl w:val="nil"/>
                  </w:tcBorders>
                  <w:vAlign w:val="center"/>
                </w:tcPr>
                <w:p w14:paraId="4C12206E">
                  <w:pPr>
                    <w:snapToGrid w:val="0"/>
                    <w:spacing w:line="320" w:lineRule="exact"/>
                    <w:jc w:val="center"/>
                    <w:rPr>
                      <w:rFonts w:eastAsia="宋体"/>
                      <w:b/>
                      <w:bCs/>
                      <w:szCs w:val="21"/>
                    </w:rPr>
                  </w:pPr>
                  <w:r>
                    <w:rPr>
                      <w:rFonts w:eastAsia="宋体"/>
                      <w:b/>
                      <w:bCs/>
                      <w:szCs w:val="21"/>
                    </w:rPr>
                    <w:t>平均时段</w:t>
                  </w:r>
                </w:p>
              </w:tc>
              <w:tc>
                <w:tcPr>
                  <w:tcW w:w="1707" w:type="dxa"/>
                  <w:tcBorders>
                    <w:tl2br w:val="nil"/>
                    <w:tr2bl w:val="nil"/>
                  </w:tcBorders>
                  <w:vAlign w:val="center"/>
                </w:tcPr>
                <w:p w14:paraId="359FD4D0">
                  <w:pPr>
                    <w:snapToGrid w:val="0"/>
                    <w:spacing w:line="320" w:lineRule="exact"/>
                    <w:jc w:val="center"/>
                    <w:rPr>
                      <w:rFonts w:eastAsia="宋体"/>
                      <w:b/>
                      <w:bCs/>
                      <w:szCs w:val="21"/>
                    </w:rPr>
                  </w:pPr>
                  <w:r>
                    <w:rPr>
                      <w:rFonts w:eastAsia="宋体"/>
                      <w:b/>
                      <w:bCs/>
                      <w:szCs w:val="21"/>
                    </w:rPr>
                    <w:t>标准值(μg/m</w:t>
                  </w:r>
                  <w:r>
                    <w:rPr>
                      <w:rFonts w:eastAsia="宋体"/>
                      <w:b/>
                      <w:bCs/>
                      <w:szCs w:val="21"/>
                      <w:vertAlign w:val="superscript"/>
                    </w:rPr>
                    <w:t>3</w:t>
                  </w:r>
                  <w:r>
                    <w:rPr>
                      <w:rFonts w:eastAsia="宋体"/>
                      <w:b/>
                      <w:bCs/>
                      <w:szCs w:val="21"/>
                    </w:rPr>
                    <w:t>)</w:t>
                  </w:r>
                </w:p>
              </w:tc>
              <w:tc>
                <w:tcPr>
                  <w:tcW w:w="2450" w:type="dxa"/>
                  <w:tcBorders>
                    <w:tl2br w:val="nil"/>
                    <w:tr2bl w:val="nil"/>
                  </w:tcBorders>
                  <w:vAlign w:val="center"/>
                </w:tcPr>
                <w:p w14:paraId="400C18F3">
                  <w:pPr>
                    <w:snapToGrid w:val="0"/>
                    <w:spacing w:line="320" w:lineRule="exact"/>
                    <w:jc w:val="center"/>
                    <w:rPr>
                      <w:rFonts w:eastAsia="宋体"/>
                      <w:b/>
                      <w:bCs/>
                      <w:szCs w:val="21"/>
                    </w:rPr>
                  </w:pPr>
                  <w:r>
                    <w:rPr>
                      <w:rFonts w:eastAsia="宋体"/>
                      <w:b/>
                      <w:bCs/>
                      <w:szCs w:val="21"/>
                    </w:rPr>
                    <w:t>标准来源</w:t>
                  </w:r>
                </w:p>
              </w:tc>
            </w:tr>
            <w:tr w14:paraId="36506EE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1336" w:type="dxa"/>
                  <w:vMerge w:val="restart"/>
                  <w:tcBorders>
                    <w:tl2br w:val="nil"/>
                    <w:tr2bl w:val="nil"/>
                  </w:tcBorders>
                  <w:vAlign w:val="center"/>
                </w:tcPr>
                <w:p w14:paraId="4AB5486A">
                  <w:pPr>
                    <w:snapToGrid w:val="0"/>
                    <w:spacing w:line="320" w:lineRule="exact"/>
                    <w:jc w:val="center"/>
                    <w:rPr>
                      <w:rFonts w:eastAsia="宋体"/>
                      <w:szCs w:val="21"/>
                    </w:rPr>
                  </w:pPr>
                  <w:r>
                    <w:rPr>
                      <w:rFonts w:eastAsia="宋体"/>
                      <w:szCs w:val="21"/>
                    </w:rPr>
                    <w:t>SO</w:t>
                  </w:r>
                  <w:r>
                    <w:rPr>
                      <w:rFonts w:eastAsia="宋体"/>
                      <w:szCs w:val="21"/>
                      <w:vertAlign w:val="subscript"/>
                    </w:rPr>
                    <w:t>2</w:t>
                  </w:r>
                </w:p>
              </w:tc>
              <w:tc>
                <w:tcPr>
                  <w:tcW w:w="1973" w:type="dxa"/>
                  <w:tcBorders>
                    <w:tl2br w:val="nil"/>
                    <w:tr2bl w:val="nil"/>
                  </w:tcBorders>
                  <w:vAlign w:val="center"/>
                </w:tcPr>
                <w:p w14:paraId="11870DA5">
                  <w:pPr>
                    <w:snapToGrid w:val="0"/>
                    <w:spacing w:line="320" w:lineRule="exact"/>
                    <w:jc w:val="center"/>
                    <w:rPr>
                      <w:rFonts w:eastAsia="宋体"/>
                      <w:szCs w:val="21"/>
                    </w:rPr>
                  </w:pPr>
                  <w:r>
                    <w:rPr>
                      <w:rFonts w:eastAsia="宋体"/>
                      <w:szCs w:val="21"/>
                    </w:rPr>
                    <w:t>年平均</w:t>
                  </w:r>
                </w:p>
              </w:tc>
              <w:tc>
                <w:tcPr>
                  <w:tcW w:w="1707" w:type="dxa"/>
                  <w:tcBorders>
                    <w:tl2br w:val="nil"/>
                    <w:tr2bl w:val="nil"/>
                  </w:tcBorders>
                  <w:vAlign w:val="center"/>
                </w:tcPr>
                <w:p w14:paraId="1C9B1C1C">
                  <w:pPr>
                    <w:snapToGrid w:val="0"/>
                    <w:spacing w:line="320" w:lineRule="exact"/>
                    <w:jc w:val="center"/>
                    <w:rPr>
                      <w:rFonts w:eastAsia="宋体"/>
                      <w:szCs w:val="21"/>
                    </w:rPr>
                  </w:pPr>
                  <w:r>
                    <w:rPr>
                      <w:rFonts w:eastAsia="宋体"/>
                      <w:szCs w:val="21"/>
                    </w:rPr>
                    <w:t>60</w:t>
                  </w:r>
                </w:p>
              </w:tc>
              <w:tc>
                <w:tcPr>
                  <w:tcW w:w="2450" w:type="dxa"/>
                  <w:vMerge w:val="restart"/>
                  <w:tcBorders>
                    <w:tl2br w:val="nil"/>
                    <w:tr2bl w:val="nil"/>
                  </w:tcBorders>
                  <w:vAlign w:val="center"/>
                </w:tcPr>
                <w:p w14:paraId="2313BE1F">
                  <w:pPr>
                    <w:snapToGrid w:val="0"/>
                    <w:spacing w:line="320" w:lineRule="exact"/>
                    <w:jc w:val="center"/>
                    <w:rPr>
                      <w:rFonts w:eastAsia="宋体"/>
                      <w:szCs w:val="21"/>
                    </w:rPr>
                  </w:pPr>
                  <w:r>
                    <w:rPr>
                      <w:rFonts w:eastAsia="宋体"/>
                      <w:szCs w:val="21"/>
                    </w:rPr>
                    <w:t>《环境空气质量标准》</w:t>
                  </w:r>
                </w:p>
                <w:p w14:paraId="50F214BB">
                  <w:pPr>
                    <w:snapToGrid w:val="0"/>
                    <w:spacing w:line="320" w:lineRule="exact"/>
                    <w:jc w:val="center"/>
                    <w:rPr>
                      <w:rFonts w:eastAsia="宋体"/>
                      <w:szCs w:val="21"/>
                    </w:rPr>
                  </w:pPr>
                  <w:r>
                    <w:rPr>
                      <w:rFonts w:eastAsia="宋体"/>
                      <w:szCs w:val="21"/>
                    </w:rPr>
                    <w:t>（GB3095-2012）</w:t>
                  </w:r>
                </w:p>
              </w:tc>
            </w:tr>
            <w:tr w14:paraId="427FCA7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1336" w:type="dxa"/>
                  <w:vMerge w:val="continue"/>
                  <w:tcBorders>
                    <w:tl2br w:val="nil"/>
                    <w:tr2bl w:val="nil"/>
                  </w:tcBorders>
                  <w:vAlign w:val="center"/>
                </w:tcPr>
                <w:p w14:paraId="3CFB9727">
                  <w:pPr>
                    <w:snapToGrid w:val="0"/>
                    <w:spacing w:line="320" w:lineRule="exact"/>
                    <w:jc w:val="center"/>
                    <w:rPr>
                      <w:rFonts w:eastAsia="宋体"/>
                      <w:szCs w:val="21"/>
                    </w:rPr>
                  </w:pPr>
                </w:p>
              </w:tc>
              <w:tc>
                <w:tcPr>
                  <w:tcW w:w="1973" w:type="dxa"/>
                  <w:tcBorders>
                    <w:tl2br w:val="nil"/>
                    <w:tr2bl w:val="nil"/>
                  </w:tcBorders>
                  <w:vAlign w:val="center"/>
                </w:tcPr>
                <w:p w14:paraId="581F214B">
                  <w:pPr>
                    <w:snapToGrid w:val="0"/>
                    <w:spacing w:line="320" w:lineRule="exact"/>
                    <w:jc w:val="center"/>
                    <w:rPr>
                      <w:rFonts w:eastAsia="宋体"/>
                      <w:szCs w:val="21"/>
                    </w:rPr>
                  </w:pPr>
                  <w:r>
                    <w:rPr>
                      <w:rFonts w:eastAsia="宋体"/>
                      <w:szCs w:val="21"/>
                    </w:rPr>
                    <w:t>日平均</w:t>
                  </w:r>
                </w:p>
              </w:tc>
              <w:tc>
                <w:tcPr>
                  <w:tcW w:w="1707" w:type="dxa"/>
                  <w:tcBorders>
                    <w:tl2br w:val="nil"/>
                    <w:tr2bl w:val="nil"/>
                  </w:tcBorders>
                  <w:vAlign w:val="center"/>
                </w:tcPr>
                <w:p w14:paraId="3189C737">
                  <w:pPr>
                    <w:snapToGrid w:val="0"/>
                    <w:spacing w:line="320" w:lineRule="exact"/>
                    <w:jc w:val="center"/>
                    <w:rPr>
                      <w:rFonts w:eastAsia="宋体"/>
                      <w:szCs w:val="21"/>
                    </w:rPr>
                  </w:pPr>
                  <w:r>
                    <w:rPr>
                      <w:rFonts w:eastAsia="宋体"/>
                      <w:szCs w:val="21"/>
                    </w:rPr>
                    <w:t>150</w:t>
                  </w:r>
                </w:p>
              </w:tc>
              <w:tc>
                <w:tcPr>
                  <w:tcW w:w="2450" w:type="dxa"/>
                  <w:vMerge w:val="continue"/>
                  <w:tcBorders>
                    <w:tl2br w:val="nil"/>
                    <w:tr2bl w:val="nil"/>
                  </w:tcBorders>
                  <w:vAlign w:val="center"/>
                </w:tcPr>
                <w:p w14:paraId="0D365606">
                  <w:pPr>
                    <w:snapToGrid w:val="0"/>
                    <w:spacing w:line="320" w:lineRule="exact"/>
                    <w:jc w:val="center"/>
                    <w:rPr>
                      <w:rFonts w:eastAsia="宋体"/>
                      <w:szCs w:val="21"/>
                    </w:rPr>
                  </w:pPr>
                </w:p>
              </w:tc>
            </w:tr>
            <w:tr w14:paraId="102CFD4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1336" w:type="dxa"/>
                  <w:vMerge w:val="continue"/>
                  <w:tcBorders>
                    <w:tl2br w:val="nil"/>
                    <w:tr2bl w:val="nil"/>
                  </w:tcBorders>
                  <w:vAlign w:val="center"/>
                </w:tcPr>
                <w:p w14:paraId="35BF7E79">
                  <w:pPr>
                    <w:snapToGrid w:val="0"/>
                    <w:spacing w:line="320" w:lineRule="exact"/>
                    <w:jc w:val="center"/>
                    <w:rPr>
                      <w:rFonts w:eastAsia="宋体"/>
                      <w:szCs w:val="21"/>
                    </w:rPr>
                  </w:pPr>
                </w:p>
              </w:tc>
              <w:tc>
                <w:tcPr>
                  <w:tcW w:w="1973" w:type="dxa"/>
                  <w:tcBorders>
                    <w:tl2br w:val="nil"/>
                    <w:tr2bl w:val="nil"/>
                  </w:tcBorders>
                  <w:vAlign w:val="center"/>
                </w:tcPr>
                <w:p w14:paraId="6D488C93">
                  <w:pPr>
                    <w:snapToGrid w:val="0"/>
                    <w:spacing w:line="320" w:lineRule="exact"/>
                    <w:jc w:val="center"/>
                    <w:rPr>
                      <w:rFonts w:eastAsia="宋体"/>
                      <w:szCs w:val="21"/>
                    </w:rPr>
                  </w:pPr>
                  <w:r>
                    <w:rPr>
                      <w:rFonts w:eastAsia="宋体"/>
                      <w:szCs w:val="21"/>
                    </w:rPr>
                    <w:t>1小时平均</w:t>
                  </w:r>
                </w:p>
              </w:tc>
              <w:tc>
                <w:tcPr>
                  <w:tcW w:w="1707" w:type="dxa"/>
                  <w:tcBorders>
                    <w:tl2br w:val="nil"/>
                    <w:tr2bl w:val="nil"/>
                  </w:tcBorders>
                  <w:vAlign w:val="center"/>
                </w:tcPr>
                <w:p w14:paraId="64038559">
                  <w:pPr>
                    <w:snapToGrid w:val="0"/>
                    <w:spacing w:line="320" w:lineRule="exact"/>
                    <w:jc w:val="center"/>
                    <w:rPr>
                      <w:rFonts w:eastAsia="宋体"/>
                      <w:szCs w:val="21"/>
                    </w:rPr>
                  </w:pPr>
                  <w:r>
                    <w:rPr>
                      <w:rFonts w:eastAsia="宋体"/>
                      <w:szCs w:val="21"/>
                    </w:rPr>
                    <w:t>500</w:t>
                  </w:r>
                </w:p>
              </w:tc>
              <w:tc>
                <w:tcPr>
                  <w:tcW w:w="2450" w:type="dxa"/>
                  <w:vMerge w:val="continue"/>
                  <w:tcBorders>
                    <w:tl2br w:val="nil"/>
                    <w:tr2bl w:val="nil"/>
                  </w:tcBorders>
                  <w:vAlign w:val="center"/>
                </w:tcPr>
                <w:p w14:paraId="02E5AFBD">
                  <w:pPr>
                    <w:snapToGrid w:val="0"/>
                    <w:spacing w:line="320" w:lineRule="exact"/>
                    <w:jc w:val="center"/>
                    <w:rPr>
                      <w:rFonts w:eastAsia="宋体"/>
                      <w:szCs w:val="21"/>
                    </w:rPr>
                  </w:pPr>
                </w:p>
              </w:tc>
            </w:tr>
            <w:tr w14:paraId="16F6172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1336" w:type="dxa"/>
                  <w:vMerge w:val="restart"/>
                  <w:tcBorders>
                    <w:tl2br w:val="nil"/>
                    <w:tr2bl w:val="nil"/>
                  </w:tcBorders>
                  <w:vAlign w:val="center"/>
                </w:tcPr>
                <w:p w14:paraId="3FE88FC2">
                  <w:pPr>
                    <w:snapToGrid w:val="0"/>
                    <w:spacing w:line="320" w:lineRule="exact"/>
                    <w:jc w:val="center"/>
                    <w:rPr>
                      <w:rFonts w:eastAsia="宋体"/>
                      <w:szCs w:val="21"/>
                    </w:rPr>
                  </w:pPr>
                  <w:r>
                    <w:rPr>
                      <w:rFonts w:eastAsia="宋体"/>
                      <w:szCs w:val="21"/>
                    </w:rPr>
                    <w:t>NO</w:t>
                  </w:r>
                  <w:r>
                    <w:rPr>
                      <w:rFonts w:eastAsia="宋体"/>
                      <w:szCs w:val="21"/>
                      <w:vertAlign w:val="subscript"/>
                    </w:rPr>
                    <w:t>2</w:t>
                  </w:r>
                </w:p>
              </w:tc>
              <w:tc>
                <w:tcPr>
                  <w:tcW w:w="1973" w:type="dxa"/>
                  <w:tcBorders>
                    <w:tl2br w:val="nil"/>
                    <w:tr2bl w:val="nil"/>
                  </w:tcBorders>
                  <w:vAlign w:val="center"/>
                </w:tcPr>
                <w:p w14:paraId="595FB2E4">
                  <w:pPr>
                    <w:snapToGrid w:val="0"/>
                    <w:spacing w:line="320" w:lineRule="exact"/>
                    <w:jc w:val="center"/>
                    <w:rPr>
                      <w:rFonts w:eastAsia="宋体"/>
                      <w:szCs w:val="21"/>
                    </w:rPr>
                  </w:pPr>
                  <w:r>
                    <w:rPr>
                      <w:rFonts w:eastAsia="宋体"/>
                      <w:szCs w:val="21"/>
                    </w:rPr>
                    <w:t>年平均</w:t>
                  </w:r>
                </w:p>
              </w:tc>
              <w:tc>
                <w:tcPr>
                  <w:tcW w:w="1707" w:type="dxa"/>
                  <w:tcBorders>
                    <w:tl2br w:val="nil"/>
                    <w:tr2bl w:val="nil"/>
                  </w:tcBorders>
                  <w:vAlign w:val="center"/>
                </w:tcPr>
                <w:p w14:paraId="44B848F9">
                  <w:pPr>
                    <w:snapToGrid w:val="0"/>
                    <w:spacing w:line="320" w:lineRule="exact"/>
                    <w:jc w:val="center"/>
                    <w:rPr>
                      <w:rFonts w:eastAsia="宋体"/>
                      <w:szCs w:val="21"/>
                    </w:rPr>
                  </w:pPr>
                  <w:r>
                    <w:rPr>
                      <w:rFonts w:eastAsia="宋体"/>
                      <w:szCs w:val="21"/>
                    </w:rPr>
                    <w:t>40</w:t>
                  </w:r>
                </w:p>
              </w:tc>
              <w:tc>
                <w:tcPr>
                  <w:tcW w:w="2450" w:type="dxa"/>
                  <w:vMerge w:val="continue"/>
                  <w:tcBorders>
                    <w:tl2br w:val="nil"/>
                    <w:tr2bl w:val="nil"/>
                  </w:tcBorders>
                  <w:vAlign w:val="center"/>
                </w:tcPr>
                <w:p w14:paraId="3EC4B6E8">
                  <w:pPr>
                    <w:snapToGrid w:val="0"/>
                    <w:spacing w:line="320" w:lineRule="exact"/>
                    <w:jc w:val="center"/>
                    <w:rPr>
                      <w:rFonts w:eastAsia="宋体"/>
                      <w:szCs w:val="21"/>
                    </w:rPr>
                  </w:pPr>
                </w:p>
              </w:tc>
            </w:tr>
            <w:tr w14:paraId="1719230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1336" w:type="dxa"/>
                  <w:vMerge w:val="continue"/>
                  <w:tcBorders>
                    <w:tl2br w:val="nil"/>
                    <w:tr2bl w:val="nil"/>
                  </w:tcBorders>
                  <w:vAlign w:val="center"/>
                </w:tcPr>
                <w:p w14:paraId="6D28BC68">
                  <w:pPr>
                    <w:snapToGrid w:val="0"/>
                    <w:spacing w:line="320" w:lineRule="exact"/>
                    <w:jc w:val="center"/>
                    <w:rPr>
                      <w:rFonts w:eastAsia="宋体"/>
                      <w:szCs w:val="21"/>
                    </w:rPr>
                  </w:pPr>
                </w:p>
              </w:tc>
              <w:tc>
                <w:tcPr>
                  <w:tcW w:w="1973" w:type="dxa"/>
                  <w:tcBorders>
                    <w:tl2br w:val="nil"/>
                    <w:tr2bl w:val="nil"/>
                  </w:tcBorders>
                  <w:vAlign w:val="center"/>
                </w:tcPr>
                <w:p w14:paraId="43A44406">
                  <w:pPr>
                    <w:snapToGrid w:val="0"/>
                    <w:spacing w:line="320" w:lineRule="exact"/>
                    <w:jc w:val="center"/>
                    <w:rPr>
                      <w:rFonts w:eastAsia="宋体"/>
                      <w:szCs w:val="21"/>
                    </w:rPr>
                  </w:pPr>
                  <w:r>
                    <w:rPr>
                      <w:rFonts w:eastAsia="宋体"/>
                      <w:szCs w:val="21"/>
                    </w:rPr>
                    <w:t>日平均</w:t>
                  </w:r>
                </w:p>
              </w:tc>
              <w:tc>
                <w:tcPr>
                  <w:tcW w:w="1707" w:type="dxa"/>
                  <w:tcBorders>
                    <w:tl2br w:val="nil"/>
                    <w:tr2bl w:val="nil"/>
                  </w:tcBorders>
                  <w:vAlign w:val="center"/>
                </w:tcPr>
                <w:p w14:paraId="0502964C">
                  <w:pPr>
                    <w:snapToGrid w:val="0"/>
                    <w:spacing w:line="320" w:lineRule="exact"/>
                    <w:jc w:val="center"/>
                    <w:rPr>
                      <w:rFonts w:eastAsia="宋体"/>
                      <w:szCs w:val="21"/>
                    </w:rPr>
                  </w:pPr>
                  <w:r>
                    <w:rPr>
                      <w:rFonts w:eastAsia="宋体"/>
                      <w:szCs w:val="21"/>
                    </w:rPr>
                    <w:t>80</w:t>
                  </w:r>
                </w:p>
              </w:tc>
              <w:tc>
                <w:tcPr>
                  <w:tcW w:w="2450" w:type="dxa"/>
                  <w:vMerge w:val="continue"/>
                  <w:tcBorders>
                    <w:tl2br w:val="nil"/>
                    <w:tr2bl w:val="nil"/>
                  </w:tcBorders>
                  <w:vAlign w:val="center"/>
                </w:tcPr>
                <w:p w14:paraId="65D63BCA">
                  <w:pPr>
                    <w:snapToGrid w:val="0"/>
                    <w:spacing w:line="320" w:lineRule="exact"/>
                    <w:jc w:val="center"/>
                    <w:rPr>
                      <w:rFonts w:eastAsia="宋体"/>
                      <w:szCs w:val="21"/>
                    </w:rPr>
                  </w:pPr>
                </w:p>
              </w:tc>
            </w:tr>
            <w:tr w14:paraId="298F17A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1336" w:type="dxa"/>
                  <w:vMerge w:val="continue"/>
                  <w:tcBorders>
                    <w:tl2br w:val="nil"/>
                    <w:tr2bl w:val="nil"/>
                  </w:tcBorders>
                  <w:vAlign w:val="center"/>
                </w:tcPr>
                <w:p w14:paraId="6FBA3C98">
                  <w:pPr>
                    <w:snapToGrid w:val="0"/>
                    <w:spacing w:line="320" w:lineRule="exact"/>
                    <w:jc w:val="center"/>
                    <w:rPr>
                      <w:rFonts w:eastAsia="宋体"/>
                      <w:szCs w:val="21"/>
                    </w:rPr>
                  </w:pPr>
                </w:p>
              </w:tc>
              <w:tc>
                <w:tcPr>
                  <w:tcW w:w="1973" w:type="dxa"/>
                  <w:tcBorders>
                    <w:tl2br w:val="nil"/>
                    <w:tr2bl w:val="nil"/>
                  </w:tcBorders>
                  <w:vAlign w:val="center"/>
                </w:tcPr>
                <w:p w14:paraId="437F68A8">
                  <w:pPr>
                    <w:snapToGrid w:val="0"/>
                    <w:spacing w:line="320" w:lineRule="exact"/>
                    <w:jc w:val="center"/>
                    <w:rPr>
                      <w:rFonts w:eastAsia="宋体"/>
                      <w:szCs w:val="21"/>
                    </w:rPr>
                  </w:pPr>
                  <w:r>
                    <w:rPr>
                      <w:rFonts w:eastAsia="宋体"/>
                      <w:szCs w:val="21"/>
                    </w:rPr>
                    <w:t>1小时平均</w:t>
                  </w:r>
                </w:p>
              </w:tc>
              <w:tc>
                <w:tcPr>
                  <w:tcW w:w="1707" w:type="dxa"/>
                  <w:tcBorders>
                    <w:tl2br w:val="nil"/>
                    <w:tr2bl w:val="nil"/>
                  </w:tcBorders>
                  <w:vAlign w:val="center"/>
                </w:tcPr>
                <w:p w14:paraId="3ECC8FFF">
                  <w:pPr>
                    <w:snapToGrid w:val="0"/>
                    <w:spacing w:line="320" w:lineRule="exact"/>
                    <w:jc w:val="center"/>
                    <w:rPr>
                      <w:rFonts w:eastAsia="宋体"/>
                      <w:szCs w:val="21"/>
                    </w:rPr>
                  </w:pPr>
                  <w:r>
                    <w:rPr>
                      <w:rFonts w:eastAsia="宋体"/>
                      <w:szCs w:val="21"/>
                    </w:rPr>
                    <w:t>200</w:t>
                  </w:r>
                </w:p>
              </w:tc>
              <w:tc>
                <w:tcPr>
                  <w:tcW w:w="2450" w:type="dxa"/>
                  <w:vMerge w:val="continue"/>
                  <w:tcBorders>
                    <w:tl2br w:val="nil"/>
                    <w:tr2bl w:val="nil"/>
                  </w:tcBorders>
                  <w:vAlign w:val="center"/>
                </w:tcPr>
                <w:p w14:paraId="19E1BCF4">
                  <w:pPr>
                    <w:snapToGrid w:val="0"/>
                    <w:spacing w:line="320" w:lineRule="exact"/>
                    <w:jc w:val="center"/>
                    <w:rPr>
                      <w:rFonts w:eastAsia="宋体"/>
                      <w:szCs w:val="21"/>
                    </w:rPr>
                  </w:pPr>
                </w:p>
              </w:tc>
            </w:tr>
            <w:tr w14:paraId="2A6D741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1336" w:type="dxa"/>
                  <w:vMerge w:val="restart"/>
                  <w:tcBorders>
                    <w:tl2br w:val="nil"/>
                    <w:tr2bl w:val="nil"/>
                  </w:tcBorders>
                  <w:vAlign w:val="center"/>
                </w:tcPr>
                <w:p w14:paraId="73B6AF0E">
                  <w:pPr>
                    <w:snapToGrid w:val="0"/>
                    <w:spacing w:line="320" w:lineRule="exact"/>
                    <w:jc w:val="center"/>
                    <w:rPr>
                      <w:rFonts w:eastAsia="宋体"/>
                      <w:szCs w:val="21"/>
                    </w:rPr>
                  </w:pPr>
                  <w:r>
                    <w:rPr>
                      <w:rFonts w:eastAsia="宋体"/>
                      <w:szCs w:val="21"/>
                    </w:rPr>
                    <w:t>PM</w:t>
                  </w:r>
                  <w:r>
                    <w:rPr>
                      <w:rFonts w:eastAsia="宋体"/>
                      <w:szCs w:val="21"/>
                      <w:vertAlign w:val="subscript"/>
                    </w:rPr>
                    <w:t>10</w:t>
                  </w:r>
                </w:p>
              </w:tc>
              <w:tc>
                <w:tcPr>
                  <w:tcW w:w="1973" w:type="dxa"/>
                  <w:tcBorders>
                    <w:tl2br w:val="nil"/>
                    <w:tr2bl w:val="nil"/>
                  </w:tcBorders>
                  <w:vAlign w:val="center"/>
                </w:tcPr>
                <w:p w14:paraId="0BE9C444">
                  <w:pPr>
                    <w:snapToGrid w:val="0"/>
                    <w:spacing w:line="320" w:lineRule="exact"/>
                    <w:jc w:val="center"/>
                    <w:rPr>
                      <w:rFonts w:eastAsia="宋体"/>
                      <w:szCs w:val="21"/>
                    </w:rPr>
                  </w:pPr>
                  <w:r>
                    <w:rPr>
                      <w:rFonts w:eastAsia="宋体"/>
                      <w:szCs w:val="21"/>
                    </w:rPr>
                    <w:t>年平均</w:t>
                  </w:r>
                </w:p>
              </w:tc>
              <w:tc>
                <w:tcPr>
                  <w:tcW w:w="1707" w:type="dxa"/>
                  <w:tcBorders>
                    <w:tl2br w:val="nil"/>
                    <w:tr2bl w:val="nil"/>
                  </w:tcBorders>
                  <w:vAlign w:val="center"/>
                </w:tcPr>
                <w:p w14:paraId="21575477">
                  <w:pPr>
                    <w:snapToGrid w:val="0"/>
                    <w:spacing w:line="320" w:lineRule="exact"/>
                    <w:jc w:val="center"/>
                    <w:rPr>
                      <w:rFonts w:eastAsia="宋体"/>
                      <w:szCs w:val="21"/>
                    </w:rPr>
                  </w:pPr>
                  <w:r>
                    <w:rPr>
                      <w:rFonts w:eastAsia="宋体"/>
                      <w:szCs w:val="21"/>
                    </w:rPr>
                    <w:t>70</w:t>
                  </w:r>
                </w:p>
              </w:tc>
              <w:tc>
                <w:tcPr>
                  <w:tcW w:w="2450" w:type="dxa"/>
                  <w:vMerge w:val="continue"/>
                  <w:tcBorders>
                    <w:tl2br w:val="nil"/>
                    <w:tr2bl w:val="nil"/>
                  </w:tcBorders>
                  <w:vAlign w:val="center"/>
                </w:tcPr>
                <w:p w14:paraId="65134CCD">
                  <w:pPr>
                    <w:snapToGrid w:val="0"/>
                    <w:spacing w:line="320" w:lineRule="exact"/>
                    <w:jc w:val="center"/>
                    <w:rPr>
                      <w:rFonts w:eastAsia="宋体"/>
                      <w:szCs w:val="21"/>
                    </w:rPr>
                  </w:pPr>
                </w:p>
              </w:tc>
            </w:tr>
            <w:tr w14:paraId="21D2F7A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1336" w:type="dxa"/>
                  <w:vMerge w:val="continue"/>
                  <w:tcBorders>
                    <w:tl2br w:val="nil"/>
                    <w:tr2bl w:val="nil"/>
                  </w:tcBorders>
                  <w:vAlign w:val="center"/>
                </w:tcPr>
                <w:p w14:paraId="0E6F340B">
                  <w:pPr>
                    <w:snapToGrid w:val="0"/>
                    <w:spacing w:line="320" w:lineRule="exact"/>
                    <w:jc w:val="center"/>
                    <w:rPr>
                      <w:rFonts w:eastAsia="宋体"/>
                      <w:szCs w:val="21"/>
                    </w:rPr>
                  </w:pPr>
                </w:p>
              </w:tc>
              <w:tc>
                <w:tcPr>
                  <w:tcW w:w="1973" w:type="dxa"/>
                  <w:tcBorders>
                    <w:tl2br w:val="nil"/>
                    <w:tr2bl w:val="nil"/>
                  </w:tcBorders>
                  <w:vAlign w:val="center"/>
                </w:tcPr>
                <w:p w14:paraId="124BCD74">
                  <w:pPr>
                    <w:snapToGrid w:val="0"/>
                    <w:spacing w:line="320" w:lineRule="exact"/>
                    <w:jc w:val="center"/>
                    <w:rPr>
                      <w:rFonts w:eastAsia="宋体"/>
                      <w:szCs w:val="21"/>
                    </w:rPr>
                  </w:pPr>
                  <w:r>
                    <w:rPr>
                      <w:rFonts w:eastAsia="宋体"/>
                      <w:szCs w:val="21"/>
                    </w:rPr>
                    <w:t>日平均</w:t>
                  </w:r>
                </w:p>
              </w:tc>
              <w:tc>
                <w:tcPr>
                  <w:tcW w:w="1707" w:type="dxa"/>
                  <w:tcBorders>
                    <w:tl2br w:val="nil"/>
                    <w:tr2bl w:val="nil"/>
                  </w:tcBorders>
                  <w:vAlign w:val="center"/>
                </w:tcPr>
                <w:p w14:paraId="4E9BB848">
                  <w:pPr>
                    <w:snapToGrid w:val="0"/>
                    <w:spacing w:line="320" w:lineRule="exact"/>
                    <w:jc w:val="center"/>
                    <w:rPr>
                      <w:rFonts w:eastAsia="宋体"/>
                      <w:szCs w:val="21"/>
                    </w:rPr>
                  </w:pPr>
                  <w:r>
                    <w:rPr>
                      <w:rFonts w:eastAsia="宋体"/>
                      <w:szCs w:val="21"/>
                    </w:rPr>
                    <w:t>150</w:t>
                  </w:r>
                </w:p>
              </w:tc>
              <w:tc>
                <w:tcPr>
                  <w:tcW w:w="2450" w:type="dxa"/>
                  <w:vMerge w:val="continue"/>
                  <w:tcBorders>
                    <w:tl2br w:val="nil"/>
                    <w:tr2bl w:val="nil"/>
                  </w:tcBorders>
                  <w:vAlign w:val="center"/>
                </w:tcPr>
                <w:p w14:paraId="1DC424EC">
                  <w:pPr>
                    <w:snapToGrid w:val="0"/>
                    <w:spacing w:line="320" w:lineRule="exact"/>
                    <w:jc w:val="center"/>
                    <w:rPr>
                      <w:rFonts w:eastAsia="宋体"/>
                      <w:szCs w:val="21"/>
                    </w:rPr>
                  </w:pPr>
                </w:p>
              </w:tc>
            </w:tr>
            <w:tr w14:paraId="62A063E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1336" w:type="dxa"/>
                  <w:vMerge w:val="restart"/>
                  <w:tcBorders>
                    <w:tl2br w:val="nil"/>
                    <w:tr2bl w:val="nil"/>
                  </w:tcBorders>
                  <w:vAlign w:val="center"/>
                </w:tcPr>
                <w:p w14:paraId="18810978">
                  <w:pPr>
                    <w:snapToGrid w:val="0"/>
                    <w:spacing w:line="320" w:lineRule="exact"/>
                    <w:jc w:val="center"/>
                    <w:rPr>
                      <w:rFonts w:eastAsia="宋体"/>
                      <w:szCs w:val="21"/>
                    </w:rPr>
                  </w:pPr>
                  <w:r>
                    <w:rPr>
                      <w:rFonts w:eastAsia="宋体"/>
                      <w:szCs w:val="21"/>
                    </w:rPr>
                    <w:t>PM</w:t>
                  </w:r>
                  <w:r>
                    <w:rPr>
                      <w:rFonts w:eastAsia="宋体"/>
                      <w:szCs w:val="21"/>
                      <w:vertAlign w:val="subscript"/>
                    </w:rPr>
                    <w:t>2.5</w:t>
                  </w:r>
                </w:p>
              </w:tc>
              <w:tc>
                <w:tcPr>
                  <w:tcW w:w="1973" w:type="dxa"/>
                  <w:tcBorders>
                    <w:tl2br w:val="nil"/>
                    <w:tr2bl w:val="nil"/>
                  </w:tcBorders>
                  <w:vAlign w:val="center"/>
                </w:tcPr>
                <w:p w14:paraId="2588D2CE">
                  <w:pPr>
                    <w:snapToGrid w:val="0"/>
                    <w:spacing w:line="320" w:lineRule="exact"/>
                    <w:jc w:val="center"/>
                    <w:rPr>
                      <w:rFonts w:eastAsia="宋体"/>
                      <w:szCs w:val="21"/>
                    </w:rPr>
                  </w:pPr>
                  <w:r>
                    <w:rPr>
                      <w:rFonts w:eastAsia="宋体"/>
                      <w:szCs w:val="21"/>
                    </w:rPr>
                    <w:t>年平均</w:t>
                  </w:r>
                </w:p>
              </w:tc>
              <w:tc>
                <w:tcPr>
                  <w:tcW w:w="1707" w:type="dxa"/>
                  <w:tcBorders>
                    <w:tl2br w:val="nil"/>
                    <w:tr2bl w:val="nil"/>
                  </w:tcBorders>
                  <w:vAlign w:val="center"/>
                </w:tcPr>
                <w:p w14:paraId="5110CE0F">
                  <w:pPr>
                    <w:snapToGrid w:val="0"/>
                    <w:spacing w:line="320" w:lineRule="exact"/>
                    <w:jc w:val="center"/>
                    <w:rPr>
                      <w:rFonts w:eastAsia="宋体"/>
                      <w:szCs w:val="21"/>
                    </w:rPr>
                  </w:pPr>
                  <w:r>
                    <w:rPr>
                      <w:rFonts w:eastAsia="宋体"/>
                      <w:szCs w:val="21"/>
                    </w:rPr>
                    <w:t>35</w:t>
                  </w:r>
                </w:p>
              </w:tc>
              <w:tc>
                <w:tcPr>
                  <w:tcW w:w="2450" w:type="dxa"/>
                  <w:vMerge w:val="continue"/>
                  <w:tcBorders>
                    <w:tl2br w:val="nil"/>
                    <w:tr2bl w:val="nil"/>
                  </w:tcBorders>
                  <w:vAlign w:val="center"/>
                </w:tcPr>
                <w:p w14:paraId="2A1A3A9D">
                  <w:pPr>
                    <w:snapToGrid w:val="0"/>
                    <w:spacing w:line="320" w:lineRule="exact"/>
                    <w:jc w:val="center"/>
                    <w:rPr>
                      <w:rFonts w:eastAsia="宋体"/>
                      <w:szCs w:val="21"/>
                    </w:rPr>
                  </w:pPr>
                </w:p>
              </w:tc>
            </w:tr>
            <w:tr w14:paraId="4314DED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1336" w:type="dxa"/>
                  <w:vMerge w:val="continue"/>
                  <w:tcBorders>
                    <w:tl2br w:val="nil"/>
                    <w:tr2bl w:val="nil"/>
                  </w:tcBorders>
                  <w:vAlign w:val="center"/>
                </w:tcPr>
                <w:p w14:paraId="64672171">
                  <w:pPr>
                    <w:snapToGrid w:val="0"/>
                    <w:spacing w:line="320" w:lineRule="exact"/>
                    <w:jc w:val="center"/>
                    <w:rPr>
                      <w:rFonts w:eastAsia="宋体"/>
                      <w:szCs w:val="21"/>
                    </w:rPr>
                  </w:pPr>
                </w:p>
              </w:tc>
              <w:tc>
                <w:tcPr>
                  <w:tcW w:w="1973" w:type="dxa"/>
                  <w:tcBorders>
                    <w:tl2br w:val="nil"/>
                    <w:tr2bl w:val="nil"/>
                  </w:tcBorders>
                  <w:vAlign w:val="center"/>
                </w:tcPr>
                <w:p w14:paraId="08851FEB">
                  <w:pPr>
                    <w:snapToGrid w:val="0"/>
                    <w:spacing w:line="320" w:lineRule="exact"/>
                    <w:jc w:val="center"/>
                    <w:rPr>
                      <w:rFonts w:eastAsia="宋体"/>
                      <w:szCs w:val="21"/>
                    </w:rPr>
                  </w:pPr>
                  <w:r>
                    <w:rPr>
                      <w:rFonts w:eastAsia="宋体"/>
                      <w:szCs w:val="21"/>
                    </w:rPr>
                    <w:t>日平均</w:t>
                  </w:r>
                </w:p>
              </w:tc>
              <w:tc>
                <w:tcPr>
                  <w:tcW w:w="1707" w:type="dxa"/>
                  <w:tcBorders>
                    <w:tl2br w:val="nil"/>
                    <w:tr2bl w:val="nil"/>
                  </w:tcBorders>
                  <w:vAlign w:val="center"/>
                </w:tcPr>
                <w:p w14:paraId="61F3B660">
                  <w:pPr>
                    <w:snapToGrid w:val="0"/>
                    <w:spacing w:line="320" w:lineRule="exact"/>
                    <w:jc w:val="center"/>
                    <w:rPr>
                      <w:rFonts w:eastAsia="宋体"/>
                      <w:szCs w:val="21"/>
                    </w:rPr>
                  </w:pPr>
                  <w:r>
                    <w:rPr>
                      <w:rFonts w:eastAsia="宋体"/>
                      <w:szCs w:val="21"/>
                    </w:rPr>
                    <w:t>75</w:t>
                  </w:r>
                </w:p>
              </w:tc>
              <w:tc>
                <w:tcPr>
                  <w:tcW w:w="2450" w:type="dxa"/>
                  <w:vMerge w:val="continue"/>
                  <w:tcBorders>
                    <w:tl2br w:val="nil"/>
                    <w:tr2bl w:val="nil"/>
                  </w:tcBorders>
                  <w:vAlign w:val="center"/>
                </w:tcPr>
                <w:p w14:paraId="7D9E349A">
                  <w:pPr>
                    <w:snapToGrid w:val="0"/>
                    <w:spacing w:line="320" w:lineRule="exact"/>
                    <w:jc w:val="center"/>
                    <w:rPr>
                      <w:rFonts w:eastAsia="宋体"/>
                      <w:szCs w:val="21"/>
                    </w:rPr>
                  </w:pPr>
                </w:p>
              </w:tc>
            </w:tr>
            <w:tr w14:paraId="670B2F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1336" w:type="dxa"/>
                  <w:vMerge w:val="restart"/>
                  <w:tcBorders>
                    <w:tl2br w:val="nil"/>
                    <w:tr2bl w:val="nil"/>
                  </w:tcBorders>
                  <w:vAlign w:val="center"/>
                </w:tcPr>
                <w:p w14:paraId="5F04417A">
                  <w:pPr>
                    <w:snapToGrid w:val="0"/>
                    <w:spacing w:line="320" w:lineRule="exact"/>
                    <w:jc w:val="center"/>
                    <w:rPr>
                      <w:rFonts w:eastAsia="宋体"/>
                      <w:szCs w:val="21"/>
                    </w:rPr>
                  </w:pPr>
                  <w:r>
                    <w:rPr>
                      <w:rFonts w:eastAsia="宋体"/>
                      <w:szCs w:val="21"/>
                    </w:rPr>
                    <w:t>CO</w:t>
                  </w:r>
                </w:p>
              </w:tc>
              <w:tc>
                <w:tcPr>
                  <w:tcW w:w="1973" w:type="dxa"/>
                  <w:tcBorders>
                    <w:tl2br w:val="nil"/>
                    <w:tr2bl w:val="nil"/>
                  </w:tcBorders>
                  <w:vAlign w:val="center"/>
                </w:tcPr>
                <w:p w14:paraId="72D7FABB">
                  <w:pPr>
                    <w:snapToGrid w:val="0"/>
                    <w:spacing w:line="320" w:lineRule="exact"/>
                    <w:jc w:val="center"/>
                    <w:rPr>
                      <w:rFonts w:eastAsia="宋体"/>
                      <w:szCs w:val="21"/>
                    </w:rPr>
                  </w:pPr>
                  <w:r>
                    <w:rPr>
                      <w:rFonts w:eastAsia="宋体"/>
                      <w:szCs w:val="21"/>
                    </w:rPr>
                    <w:t>日平均</w:t>
                  </w:r>
                </w:p>
              </w:tc>
              <w:tc>
                <w:tcPr>
                  <w:tcW w:w="1707" w:type="dxa"/>
                  <w:tcBorders>
                    <w:tl2br w:val="nil"/>
                    <w:tr2bl w:val="nil"/>
                  </w:tcBorders>
                  <w:vAlign w:val="center"/>
                </w:tcPr>
                <w:p w14:paraId="09B113DD">
                  <w:pPr>
                    <w:snapToGrid w:val="0"/>
                    <w:spacing w:line="320" w:lineRule="exact"/>
                    <w:jc w:val="center"/>
                    <w:rPr>
                      <w:rFonts w:eastAsia="宋体"/>
                      <w:szCs w:val="21"/>
                    </w:rPr>
                  </w:pPr>
                  <w:r>
                    <w:rPr>
                      <w:rFonts w:eastAsia="宋体"/>
                      <w:szCs w:val="21"/>
                    </w:rPr>
                    <w:t>4000</w:t>
                  </w:r>
                </w:p>
              </w:tc>
              <w:tc>
                <w:tcPr>
                  <w:tcW w:w="2450" w:type="dxa"/>
                  <w:vMerge w:val="continue"/>
                  <w:tcBorders>
                    <w:tl2br w:val="nil"/>
                    <w:tr2bl w:val="nil"/>
                  </w:tcBorders>
                  <w:vAlign w:val="center"/>
                </w:tcPr>
                <w:p w14:paraId="4F25A4D9">
                  <w:pPr>
                    <w:snapToGrid w:val="0"/>
                    <w:spacing w:line="320" w:lineRule="exact"/>
                    <w:jc w:val="center"/>
                    <w:rPr>
                      <w:rFonts w:eastAsia="宋体"/>
                      <w:szCs w:val="21"/>
                    </w:rPr>
                  </w:pPr>
                </w:p>
              </w:tc>
            </w:tr>
            <w:tr w14:paraId="0A0C677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1336" w:type="dxa"/>
                  <w:vMerge w:val="continue"/>
                  <w:tcBorders>
                    <w:tl2br w:val="nil"/>
                    <w:tr2bl w:val="nil"/>
                  </w:tcBorders>
                  <w:vAlign w:val="center"/>
                </w:tcPr>
                <w:p w14:paraId="3272CA38">
                  <w:pPr>
                    <w:snapToGrid w:val="0"/>
                    <w:spacing w:line="320" w:lineRule="exact"/>
                    <w:jc w:val="center"/>
                    <w:rPr>
                      <w:rFonts w:eastAsia="宋体"/>
                      <w:szCs w:val="21"/>
                    </w:rPr>
                  </w:pPr>
                </w:p>
              </w:tc>
              <w:tc>
                <w:tcPr>
                  <w:tcW w:w="1973" w:type="dxa"/>
                  <w:tcBorders>
                    <w:tl2br w:val="nil"/>
                    <w:tr2bl w:val="nil"/>
                  </w:tcBorders>
                  <w:vAlign w:val="center"/>
                </w:tcPr>
                <w:p w14:paraId="789F40A2">
                  <w:pPr>
                    <w:snapToGrid w:val="0"/>
                    <w:spacing w:line="320" w:lineRule="exact"/>
                    <w:jc w:val="center"/>
                    <w:rPr>
                      <w:rFonts w:eastAsia="宋体"/>
                      <w:szCs w:val="21"/>
                    </w:rPr>
                  </w:pPr>
                  <w:r>
                    <w:rPr>
                      <w:rFonts w:eastAsia="宋体"/>
                      <w:szCs w:val="21"/>
                    </w:rPr>
                    <w:t>1小时平均</w:t>
                  </w:r>
                </w:p>
              </w:tc>
              <w:tc>
                <w:tcPr>
                  <w:tcW w:w="1707" w:type="dxa"/>
                  <w:tcBorders>
                    <w:tl2br w:val="nil"/>
                    <w:tr2bl w:val="nil"/>
                  </w:tcBorders>
                  <w:vAlign w:val="center"/>
                </w:tcPr>
                <w:p w14:paraId="2B138AF3">
                  <w:pPr>
                    <w:snapToGrid w:val="0"/>
                    <w:spacing w:line="320" w:lineRule="exact"/>
                    <w:jc w:val="center"/>
                    <w:rPr>
                      <w:rFonts w:eastAsia="宋体"/>
                      <w:szCs w:val="21"/>
                    </w:rPr>
                  </w:pPr>
                  <w:r>
                    <w:rPr>
                      <w:rFonts w:eastAsia="宋体"/>
                      <w:szCs w:val="21"/>
                    </w:rPr>
                    <w:t>10000</w:t>
                  </w:r>
                </w:p>
              </w:tc>
              <w:tc>
                <w:tcPr>
                  <w:tcW w:w="2450" w:type="dxa"/>
                  <w:vMerge w:val="continue"/>
                  <w:tcBorders>
                    <w:tl2br w:val="nil"/>
                    <w:tr2bl w:val="nil"/>
                  </w:tcBorders>
                  <w:vAlign w:val="center"/>
                </w:tcPr>
                <w:p w14:paraId="7AE73F96">
                  <w:pPr>
                    <w:snapToGrid w:val="0"/>
                    <w:spacing w:line="320" w:lineRule="exact"/>
                    <w:jc w:val="center"/>
                    <w:rPr>
                      <w:rFonts w:eastAsia="宋体"/>
                      <w:szCs w:val="21"/>
                    </w:rPr>
                  </w:pPr>
                </w:p>
              </w:tc>
            </w:tr>
            <w:tr w14:paraId="46F9B74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1336" w:type="dxa"/>
                  <w:vMerge w:val="restart"/>
                  <w:tcBorders>
                    <w:tl2br w:val="nil"/>
                    <w:tr2bl w:val="nil"/>
                  </w:tcBorders>
                  <w:vAlign w:val="center"/>
                </w:tcPr>
                <w:p w14:paraId="16AABCEB">
                  <w:pPr>
                    <w:snapToGrid w:val="0"/>
                    <w:spacing w:line="320" w:lineRule="exact"/>
                    <w:jc w:val="center"/>
                    <w:rPr>
                      <w:rFonts w:eastAsia="宋体"/>
                      <w:szCs w:val="21"/>
                    </w:rPr>
                  </w:pPr>
                  <w:r>
                    <w:rPr>
                      <w:rFonts w:eastAsia="宋体"/>
                      <w:szCs w:val="21"/>
                    </w:rPr>
                    <w:t>O</w:t>
                  </w:r>
                  <w:r>
                    <w:rPr>
                      <w:rFonts w:eastAsia="宋体"/>
                      <w:szCs w:val="21"/>
                      <w:vertAlign w:val="subscript"/>
                    </w:rPr>
                    <w:t>3</w:t>
                  </w:r>
                </w:p>
              </w:tc>
              <w:tc>
                <w:tcPr>
                  <w:tcW w:w="1973" w:type="dxa"/>
                  <w:tcBorders>
                    <w:tl2br w:val="nil"/>
                    <w:tr2bl w:val="nil"/>
                  </w:tcBorders>
                  <w:vAlign w:val="center"/>
                </w:tcPr>
                <w:p w14:paraId="6AF6F652">
                  <w:pPr>
                    <w:snapToGrid w:val="0"/>
                    <w:spacing w:line="320" w:lineRule="exact"/>
                    <w:jc w:val="center"/>
                    <w:rPr>
                      <w:rFonts w:eastAsia="宋体"/>
                      <w:szCs w:val="21"/>
                    </w:rPr>
                  </w:pPr>
                  <w:r>
                    <w:rPr>
                      <w:rFonts w:eastAsia="宋体"/>
                      <w:szCs w:val="21"/>
                    </w:rPr>
                    <w:t>日最大8小时平均</w:t>
                  </w:r>
                </w:p>
              </w:tc>
              <w:tc>
                <w:tcPr>
                  <w:tcW w:w="1707" w:type="dxa"/>
                  <w:tcBorders>
                    <w:tl2br w:val="nil"/>
                    <w:tr2bl w:val="nil"/>
                  </w:tcBorders>
                  <w:vAlign w:val="center"/>
                </w:tcPr>
                <w:p w14:paraId="180DD54A">
                  <w:pPr>
                    <w:snapToGrid w:val="0"/>
                    <w:spacing w:line="320" w:lineRule="exact"/>
                    <w:jc w:val="center"/>
                    <w:rPr>
                      <w:rFonts w:eastAsia="宋体"/>
                      <w:szCs w:val="21"/>
                    </w:rPr>
                  </w:pPr>
                  <w:r>
                    <w:rPr>
                      <w:rFonts w:eastAsia="宋体"/>
                      <w:szCs w:val="21"/>
                    </w:rPr>
                    <w:t>160</w:t>
                  </w:r>
                </w:p>
              </w:tc>
              <w:tc>
                <w:tcPr>
                  <w:tcW w:w="2450" w:type="dxa"/>
                  <w:vMerge w:val="continue"/>
                  <w:tcBorders>
                    <w:tl2br w:val="nil"/>
                    <w:tr2bl w:val="nil"/>
                  </w:tcBorders>
                  <w:vAlign w:val="center"/>
                </w:tcPr>
                <w:p w14:paraId="3B7F45F0">
                  <w:pPr>
                    <w:snapToGrid w:val="0"/>
                    <w:spacing w:line="320" w:lineRule="exact"/>
                    <w:jc w:val="center"/>
                    <w:rPr>
                      <w:rFonts w:eastAsia="宋体"/>
                      <w:szCs w:val="21"/>
                    </w:rPr>
                  </w:pPr>
                </w:p>
              </w:tc>
            </w:tr>
            <w:tr w14:paraId="1842C9B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1336" w:type="dxa"/>
                  <w:vMerge w:val="continue"/>
                  <w:tcBorders>
                    <w:tl2br w:val="nil"/>
                    <w:tr2bl w:val="nil"/>
                  </w:tcBorders>
                  <w:vAlign w:val="center"/>
                </w:tcPr>
                <w:p w14:paraId="450F95D5">
                  <w:pPr>
                    <w:snapToGrid w:val="0"/>
                    <w:spacing w:line="320" w:lineRule="exact"/>
                    <w:jc w:val="center"/>
                    <w:rPr>
                      <w:rFonts w:eastAsia="宋体"/>
                      <w:szCs w:val="21"/>
                    </w:rPr>
                  </w:pPr>
                </w:p>
              </w:tc>
              <w:tc>
                <w:tcPr>
                  <w:tcW w:w="1973" w:type="dxa"/>
                  <w:tcBorders>
                    <w:tl2br w:val="nil"/>
                    <w:tr2bl w:val="nil"/>
                  </w:tcBorders>
                  <w:vAlign w:val="center"/>
                </w:tcPr>
                <w:p w14:paraId="31CC5B5B">
                  <w:pPr>
                    <w:snapToGrid w:val="0"/>
                    <w:spacing w:line="320" w:lineRule="exact"/>
                    <w:jc w:val="center"/>
                    <w:rPr>
                      <w:rFonts w:eastAsia="宋体"/>
                      <w:szCs w:val="21"/>
                    </w:rPr>
                  </w:pPr>
                  <w:r>
                    <w:rPr>
                      <w:rFonts w:eastAsia="宋体"/>
                      <w:szCs w:val="21"/>
                    </w:rPr>
                    <w:t>1小时平均</w:t>
                  </w:r>
                </w:p>
              </w:tc>
              <w:tc>
                <w:tcPr>
                  <w:tcW w:w="1707" w:type="dxa"/>
                  <w:tcBorders>
                    <w:tl2br w:val="nil"/>
                    <w:tr2bl w:val="nil"/>
                  </w:tcBorders>
                  <w:vAlign w:val="center"/>
                </w:tcPr>
                <w:p w14:paraId="2F3792ED">
                  <w:pPr>
                    <w:snapToGrid w:val="0"/>
                    <w:spacing w:line="320" w:lineRule="exact"/>
                    <w:jc w:val="center"/>
                    <w:rPr>
                      <w:rFonts w:eastAsia="宋体"/>
                      <w:szCs w:val="21"/>
                    </w:rPr>
                  </w:pPr>
                  <w:r>
                    <w:rPr>
                      <w:rFonts w:eastAsia="宋体"/>
                      <w:szCs w:val="21"/>
                    </w:rPr>
                    <w:t>200</w:t>
                  </w:r>
                </w:p>
              </w:tc>
              <w:tc>
                <w:tcPr>
                  <w:tcW w:w="2450" w:type="dxa"/>
                  <w:vMerge w:val="continue"/>
                  <w:tcBorders>
                    <w:tl2br w:val="nil"/>
                    <w:tr2bl w:val="nil"/>
                  </w:tcBorders>
                  <w:vAlign w:val="center"/>
                </w:tcPr>
                <w:p w14:paraId="75592589">
                  <w:pPr>
                    <w:snapToGrid w:val="0"/>
                    <w:spacing w:line="320" w:lineRule="exact"/>
                    <w:jc w:val="center"/>
                    <w:rPr>
                      <w:rFonts w:eastAsia="宋体"/>
                      <w:szCs w:val="21"/>
                    </w:rPr>
                  </w:pPr>
                </w:p>
              </w:tc>
            </w:tr>
            <w:tr w14:paraId="35A10C8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1336" w:type="dxa"/>
                  <w:vMerge w:val="restart"/>
                  <w:tcBorders>
                    <w:tl2br w:val="nil"/>
                    <w:tr2bl w:val="nil"/>
                  </w:tcBorders>
                  <w:vAlign w:val="center"/>
                </w:tcPr>
                <w:p w14:paraId="4D6EA41F">
                  <w:pPr>
                    <w:snapToGrid w:val="0"/>
                    <w:spacing w:line="320" w:lineRule="exact"/>
                    <w:jc w:val="center"/>
                    <w:rPr>
                      <w:rFonts w:eastAsia="宋体"/>
                      <w:szCs w:val="21"/>
                    </w:rPr>
                  </w:pPr>
                  <w:r>
                    <w:rPr>
                      <w:rFonts w:hint="eastAsia" w:eastAsia="宋体"/>
                      <w:szCs w:val="21"/>
                    </w:rPr>
                    <w:t>TSP</w:t>
                  </w:r>
                </w:p>
              </w:tc>
              <w:tc>
                <w:tcPr>
                  <w:tcW w:w="1973" w:type="dxa"/>
                  <w:tcBorders>
                    <w:tl2br w:val="nil"/>
                    <w:tr2bl w:val="nil"/>
                  </w:tcBorders>
                  <w:vAlign w:val="center"/>
                </w:tcPr>
                <w:p w14:paraId="56B95484">
                  <w:pPr>
                    <w:snapToGrid w:val="0"/>
                    <w:spacing w:line="320" w:lineRule="exact"/>
                    <w:jc w:val="center"/>
                    <w:rPr>
                      <w:rFonts w:eastAsia="宋体"/>
                      <w:szCs w:val="21"/>
                    </w:rPr>
                  </w:pPr>
                  <w:r>
                    <w:rPr>
                      <w:rFonts w:eastAsia="宋体"/>
                      <w:szCs w:val="21"/>
                    </w:rPr>
                    <w:t>年平均</w:t>
                  </w:r>
                </w:p>
              </w:tc>
              <w:tc>
                <w:tcPr>
                  <w:tcW w:w="1707" w:type="dxa"/>
                  <w:tcBorders>
                    <w:tl2br w:val="nil"/>
                    <w:tr2bl w:val="nil"/>
                  </w:tcBorders>
                  <w:vAlign w:val="center"/>
                </w:tcPr>
                <w:p w14:paraId="6E91AEF2">
                  <w:pPr>
                    <w:snapToGrid w:val="0"/>
                    <w:spacing w:line="320" w:lineRule="exact"/>
                    <w:jc w:val="center"/>
                    <w:rPr>
                      <w:rFonts w:eastAsia="宋体"/>
                      <w:szCs w:val="21"/>
                    </w:rPr>
                  </w:pPr>
                  <w:r>
                    <w:rPr>
                      <w:rFonts w:hint="eastAsia" w:eastAsia="宋体"/>
                      <w:szCs w:val="21"/>
                    </w:rPr>
                    <w:t>200</w:t>
                  </w:r>
                </w:p>
              </w:tc>
              <w:tc>
                <w:tcPr>
                  <w:tcW w:w="2450" w:type="dxa"/>
                  <w:vMerge w:val="continue"/>
                  <w:tcBorders>
                    <w:tl2br w:val="nil"/>
                    <w:tr2bl w:val="nil"/>
                  </w:tcBorders>
                  <w:vAlign w:val="center"/>
                </w:tcPr>
                <w:p w14:paraId="4D06F24C">
                  <w:pPr>
                    <w:snapToGrid w:val="0"/>
                    <w:spacing w:line="320" w:lineRule="exact"/>
                    <w:jc w:val="center"/>
                    <w:rPr>
                      <w:rFonts w:eastAsia="宋体"/>
                      <w:szCs w:val="21"/>
                    </w:rPr>
                  </w:pPr>
                </w:p>
              </w:tc>
            </w:tr>
            <w:tr w14:paraId="7D1063C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1336" w:type="dxa"/>
                  <w:vMerge w:val="continue"/>
                  <w:tcBorders>
                    <w:tl2br w:val="nil"/>
                    <w:tr2bl w:val="nil"/>
                  </w:tcBorders>
                  <w:vAlign w:val="center"/>
                </w:tcPr>
                <w:p w14:paraId="73EB0379">
                  <w:pPr>
                    <w:snapToGrid w:val="0"/>
                    <w:spacing w:line="320" w:lineRule="exact"/>
                    <w:jc w:val="center"/>
                    <w:rPr>
                      <w:rFonts w:eastAsia="宋体"/>
                      <w:szCs w:val="21"/>
                    </w:rPr>
                  </w:pPr>
                </w:p>
              </w:tc>
              <w:tc>
                <w:tcPr>
                  <w:tcW w:w="1973" w:type="dxa"/>
                  <w:tcBorders>
                    <w:tl2br w:val="nil"/>
                    <w:tr2bl w:val="nil"/>
                  </w:tcBorders>
                  <w:vAlign w:val="center"/>
                </w:tcPr>
                <w:p w14:paraId="2896A40C">
                  <w:pPr>
                    <w:snapToGrid w:val="0"/>
                    <w:spacing w:line="320" w:lineRule="exact"/>
                    <w:jc w:val="center"/>
                    <w:rPr>
                      <w:rFonts w:eastAsia="宋体"/>
                      <w:szCs w:val="21"/>
                    </w:rPr>
                  </w:pPr>
                  <w:r>
                    <w:rPr>
                      <w:rFonts w:eastAsia="宋体"/>
                      <w:szCs w:val="21"/>
                    </w:rPr>
                    <w:t>日平均</w:t>
                  </w:r>
                </w:p>
              </w:tc>
              <w:tc>
                <w:tcPr>
                  <w:tcW w:w="1707" w:type="dxa"/>
                  <w:tcBorders>
                    <w:tl2br w:val="nil"/>
                    <w:tr2bl w:val="nil"/>
                  </w:tcBorders>
                  <w:vAlign w:val="center"/>
                </w:tcPr>
                <w:p w14:paraId="011A7F12">
                  <w:pPr>
                    <w:snapToGrid w:val="0"/>
                    <w:spacing w:line="320" w:lineRule="exact"/>
                    <w:jc w:val="center"/>
                    <w:rPr>
                      <w:rFonts w:eastAsia="宋体"/>
                      <w:szCs w:val="21"/>
                    </w:rPr>
                  </w:pPr>
                  <w:r>
                    <w:rPr>
                      <w:rFonts w:hint="eastAsia" w:eastAsia="宋体"/>
                      <w:szCs w:val="21"/>
                    </w:rPr>
                    <w:t>300</w:t>
                  </w:r>
                </w:p>
              </w:tc>
              <w:tc>
                <w:tcPr>
                  <w:tcW w:w="2450" w:type="dxa"/>
                  <w:vMerge w:val="continue"/>
                  <w:tcBorders>
                    <w:tl2br w:val="nil"/>
                    <w:tr2bl w:val="nil"/>
                  </w:tcBorders>
                  <w:vAlign w:val="center"/>
                </w:tcPr>
                <w:p w14:paraId="524D5FD7">
                  <w:pPr>
                    <w:snapToGrid w:val="0"/>
                    <w:spacing w:line="320" w:lineRule="exact"/>
                    <w:jc w:val="center"/>
                    <w:rPr>
                      <w:rFonts w:eastAsia="宋体"/>
                      <w:szCs w:val="21"/>
                    </w:rPr>
                  </w:pPr>
                </w:p>
              </w:tc>
            </w:tr>
            <w:tr w14:paraId="22CBF72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1336" w:type="dxa"/>
                  <w:tcBorders>
                    <w:tl2br w:val="nil"/>
                    <w:tr2bl w:val="nil"/>
                  </w:tcBorders>
                  <w:vAlign w:val="center"/>
                </w:tcPr>
                <w:p w14:paraId="18DBEA1E">
                  <w:pPr>
                    <w:snapToGrid w:val="0"/>
                    <w:jc w:val="center"/>
                    <w:rPr>
                      <w:rFonts w:eastAsia="宋体"/>
                      <w:szCs w:val="21"/>
                    </w:rPr>
                  </w:pPr>
                  <w:r>
                    <w:rPr>
                      <w:rFonts w:hint="eastAsia" w:eastAsia="宋体"/>
                      <w:szCs w:val="21"/>
                    </w:rPr>
                    <w:t>非甲烷总烃</w:t>
                  </w:r>
                </w:p>
              </w:tc>
              <w:tc>
                <w:tcPr>
                  <w:tcW w:w="1973" w:type="dxa"/>
                  <w:tcBorders>
                    <w:tl2br w:val="nil"/>
                    <w:tr2bl w:val="nil"/>
                  </w:tcBorders>
                  <w:vAlign w:val="center"/>
                </w:tcPr>
                <w:p w14:paraId="756D7D8C">
                  <w:pPr>
                    <w:snapToGrid w:val="0"/>
                    <w:jc w:val="center"/>
                    <w:rPr>
                      <w:rFonts w:eastAsia="宋体"/>
                      <w:szCs w:val="21"/>
                    </w:rPr>
                  </w:pPr>
                  <w:r>
                    <w:rPr>
                      <w:rFonts w:hint="eastAsia" w:eastAsia="宋体"/>
                      <w:szCs w:val="21"/>
                    </w:rPr>
                    <w:t>1</w:t>
                  </w:r>
                  <w:r>
                    <w:rPr>
                      <w:rFonts w:eastAsia="宋体"/>
                      <w:szCs w:val="21"/>
                    </w:rPr>
                    <w:t>小时平均</w:t>
                  </w:r>
                </w:p>
              </w:tc>
              <w:tc>
                <w:tcPr>
                  <w:tcW w:w="1707" w:type="dxa"/>
                  <w:tcBorders>
                    <w:tl2br w:val="nil"/>
                    <w:tr2bl w:val="nil"/>
                  </w:tcBorders>
                  <w:vAlign w:val="center"/>
                </w:tcPr>
                <w:p w14:paraId="498AA2DF">
                  <w:pPr>
                    <w:snapToGrid w:val="0"/>
                    <w:jc w:val="center"/>
                    <w:rPr>
                      <w:rFonts w:eastAsia="宋体"/>
                      <w:szCs w:val="21"/>
                    </w:rPr>
                  </w:pPr>
                  <w:r>
                    <w:rPr>
                      <w:rFonts w:hint="eastAsia" w:eastAsia="宋体"/>
                      <w:szCs w:val="21"/>
                    </w:rPr>
                    <w:t>2000</w:t>
                  </w:r>
                </w:p>
              </w:tc>
              <w:tc>
                <w:tcPr>
                  <w:tcW w:w="2450" w:type="dxa"/>
                  <w:tcBorders>
                    <w:tl2br w:val="nil"/>
                    <w:tr2bl w:val="nil"/>
                  </w:tcBorders>
                  <w:vAlign w:val="center"/>
                </w:tcPr>
                <w:p w14:paraId="0108BA48">
                  <w:pPr>
                    <w:snapToGrid w:val="0"/>
                    <w:jc w:val="center"/>
                    <w:rPr>
                      <w:rFonts w:eastAsia="宋体"/>
                      <w:szCs w:val="21"/>
                    </w:rPr>
                  </w:pPr>
                  <w:r>
                    <w:rPr>
                      <w:rFonts w:eastAsia="宋体"/>
                      <w:szCs w:val="21"/>
                    </w:rPr>
                    <w:t>参照《大气污染物综合排放标准详解》</w:t>
                  </w:r>
                </w:p>
              </w:tc>
            </w:tr>
          </w:tbl>
          <w:p w14:paraId="3B08B700">
            <w:pPr>
              <w:pStyle w:val="3"/>
              <w:ind w:firstLine="480"/>
              <w:rPr>
                <w:rFonts w:eastAsia="宋体"/>
              </w:rPr>
            </w:pPr>
            <w:r>
              <w:rPr>
                <w:rFonts w:hint="eastAsia" w:eastAsia="宋体"/>
              </w:rPr>
              <w:t>（2）地下水</w:t>
            </w:r>
          </w:p>
          <w:p w14:paraId="31DF5C2A">
            <w:pPr>
              <w:pStyle w:val="3"/>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本项目所在区域未进行地下水功能区划分，区域地下水执行《地下水质量标准》（GB/T14848-2017）标准</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特征因子</w:t>
            </w:r>
            <w:r>
              <w:rPr>
                <w:rFonts w:hint="eastAsia" w:ascii="Times New Roman" w:hAnsi="Times New Roman" w:eastAsia="宋体" w:cs="Times New Roman"/>
                <w:color w:val="auto"/>
                <w:lang w:eastAsia="zh-CN"/>
              </w:rPr>
              <w:t>石油类参照</w:t>
            </w:r>
            <w:r>
              <w:rPr>
                <w:rFonts w:hint="eastAsia" w:ascii="Times New Roman" w:hAnsi="Times New Roman" w:eastAsia="宋体" w:cs="Times New Roman"/>
                <w:color w:val="auto"/>
                <w:lang w:val="en-US" w:eastAsia="zh-CN"/>
              </w:rPr>
              <w:t>执行</w:t>
            </w:r>
            <w:r>
              <w:rPr>
                <w:rFonts w:hint="eastAsia" w:ascii="Times New Roman" w:hAnsi="Times New Roman" w:eastAsia="宋体" w:cs="Times New Roman"/>
                <w:color w:val="auto"/>
                <w:lang w:eastAsia="zh-CN"/>
              </w:rPr>
              <w:t>《地表水环境质量标准》（GB3838-2002）中</w:t>
            </w:r>
            <w:r>
              <w:rPr>
                <w:rFonts w:hint="eastAsia" w:ascii="Times New Roman" w:hAnsi="Times New Roman" w:eastAsia="宋体" w:cs="Times New Roman"/>
                <w:color w:val="auto"/>
                <w:lang w:val="en-US" w:eastAsia="zh-CN"/>
              </w:rPr>
              <w:t>的</w:t>
            </w:r>
            <w:r>
              <w:rPr>
                <w:rFonts w:hint="eastAsia" w:ascii="Times New Roman" w:hAnsi="Times New Roman" w:eastAsia="宋体" w:cs="Times New Roman"/>
                <w:color w:val="auto"/>
                <w:lang w:eastAsia="zh-CN"/>
              </w:rPr>
              <w:t>分类标准。</w:t>
            </w:r>
          </w:p>
          <w:p w14:paraId="26444EF5">
            <w:pPr>
              <w:pStyle w:val="16"/>
              <w:rPr>
                <w:rFonts w:eastAsia="宋体"/>
              </w:rPr>
            </w:pPr>
            <w:r>
              <w:rPr>
                <w:rFonts w:hint="eastAsia" w:eastAsia="宋体"/>
              </w:rPr>
              <w:t>表3-</w:t>
            </w:r>
            <w:r>
              <w:rPr>
                <w:rFonts w:hint="eastAsia" w:eastAsia="宋体"/>
                <w:lang w:val="en-US" w:eastAsia="zh-CN"/>
              </w:rPr>
              <w:t>4</w:t>
            </w:r>
            <w:r>
              <w:rPr>
                <w:rFonts w:hint="eastAsia" w:eastAsia="宋体"/>
              </w:rPr>
              <w:t xml:space="preserve">  </w:t>
            </w:r>
            <w:r>
              <w:rPr>
                <w:rFonts w:eastAsia="宋体"/>
              </w:rPr>
              <w:t>地下水质量标准（单位：mg/L，pH无量纲）</w:t>
            </w:r>
          </w:p>
          <w:tbl>
            <w:tblPr>
              <w:tblStyle w:val="1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18"/>
              <w:gridCol w:w="1026"/>
              <w:gridCol w:w="940"/>
              <w:gridCol w:w="956"/>
              <w:gridCol w:w="893"/>
              <w:gridCol w:w="926"/>
            </w:tblGrid>
            <w:tr w14:paraId="12C6E2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21" w:type="pct"/>
                  <w:vAlign w:val="center"/>
                </w:tcPr>
                <w:p w14:paraId="74191835">
                  <w:pPr>
                    <w:pStyle w:val="17"/>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项目</w:t>
                  </w:r>
                </w:p>
              </w:tc>
              <w:tc>
                <w:tcPr>
                  <w:tcW w:w="687" w:type="pct"/>
                  <w:vAlign w:val="center"/>
                </w:tcPr>
                <w:p w14:paraId="6AFB6C2D">
                  <w:pPr>
                    <w:pStyle w:val="17"/>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Ⅰ</w:t>
                  </w:r>
                </w:p>
              </w:tc>
              <w:tc>
                <w:tcPr>
                  <w:tcW w:w="630" w:type="pct"/>
                  <w:vAlign w:val="center"/>
                </w:tcPr>
                <w:p w14:paraId="145841B8">
                  <w:pPr>
                    <w:pStyle w:val="17"/>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Ⅱ</w:t>
                  </w:r>
                </w:p>
              </w:tc>
              <w:tc>
                <w:tcPr>
                  <w:tcW w:w="640" w:type="pct"/>
                  <w:vAlign w:val="center"/>
                </w:tcPr>
                <w:p w14:paraId="669C4704">
                  <w:pPr>
                    <w:pStyle w:val="17"/>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Ⅲ</w:t>
                  </w:r>
                </w:p>
              </w:tc>
              <w:tc>
                <w:tcPr>
                  <w:tcW w:w="598" w:type="pct"/>
                  <w:vAlign w:val="center"/>
                </w:tcPr>
                <w:p w14:paraId="5A0EEAAC">
                  <w:pPr>
                    <w:pStyle w:val="17"/>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Ⅳ</w:t>
                  </w:r>
                </w:p>
              </w:tc>
              <w:tc>
                <w:tcPr>
                  <w:tcW w:w="620" w:type="pct"/>
                  <w:vAlign w:val="center"/>
                </w:tcPr>
                <w:p w14:paraId="2890B9D9">
                  <w:pPr>
                    <w:pStyle w:val="17"/>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Ⅴ</w:t>
                  </w:r>
                </w:p>
              </w:tc>
            </w:tr>
            <w:tr w14:paraId="36F633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21" w:type="pct"/>
                  <w:vAlign w:val="center"/>
                </w:tcPr>
                <w:p w14:paraId="54579B81">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pH</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无量纲</w:t>
                  </w:r>
                  <w:r>
                    <w:rPr>
                      <w:rFonts w:hint="eastAsia" w:eastAsia="宋体"/>
                      <w:color w:val="000000" w:themeColor="text1"/>
                      <w14:textFill>
                        <w14:solidFill>
                          <w14:schemeClr w14:val="tx1"/>
                        </w14:solidFill>
                      </w14:textFill>
                    </w:rPr>
                    <w:t>）</w:t>
                  </w:r>
                </w:p>
              </w:tc>
              <w:tc>
                <w:tcPr>
                  <w:tcW w:w="1958" w:type="pct"/>
                  <w:gridSpan w:val="3"/>
                  <w:vAlign w:val="center"/>
                </w:tcPr>
                <w:p w14:paraId="6E34182B">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6.5～8.5</w:t>
                  </w:r>
                </w:p>
              </w:tc>
              <w:tc>
                <w:tcPr>
                  <w:tcW w:w="598" w:type="pct"/>
                  <w:vAlign w:val="center"/>
                </w:tcPr>
                <w:p w14:paraId="5FA3653B">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5.5~6.5</w:t>
                  </w:r>
                </w:p>
                <w:p w14:paraId="184A4FAD">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8.5~9.0</w:t>
                  </w:r>
                </w:p>
              </w:tc>
              <w:tc>
                <w:tcPr>
                  <w:tcW w:w="620" w:type="pct"/>
                  <w:vAlign w:val="center"/>
                </w:tcPr>
                <w:p w14:paraId="46B038D5">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＜5.5，＞9.0</w:t>
                  </w:r>
                </w:p>
              </w:tc>
            </w:tr>
            <w:tr w14:paraId="4EB679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21" w:type="pct"/>
                  <w:vAlign w:val="center"/>
                </w:tcPr>
                <w:p w14:paraId="5C9C7999">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氨氮</w:t>
                  </w:r>
                  <w:r>
                    <w:rPr>
                      <w:rFonts w:hint="eastAsia" w:eastAsia="宋体"/>
                      <w:color w:val="000000" w:themeColor="text1"/>
                      <w14:textFill>
                        <w14:solidFill>
                          <w14:schemeClr w14:val="tx1"/>
                        </w14:solidFill>
                      </w14:textFill>
                    </w:rPr>
                    <w:t>（以N计）</w:t>
                  </w:r>
                  <w:r>
                    <w:rPr>
                      <w:rFonts w:eastAsia="宋体"/>
                      <w:color w:val="000000" w:themeColor="text1"/>
                      <w14:textFill>
                        <w14:solidFill>
                          <w14:schemeClr w14:val="tx1"/>
                        </w14:solidFill>
                      </w14:textFill>
                    </w:rPr>
                    <w:t>（mg/L）</w:t>
                  </w:r>
                </w:p>
              </w:tc>
              <w:tc>
                <w:tcPr>
                  <w:tcW w:w="687" w:type="pct"/>
                  <w:vAlign w:val="center"/>
                </w:tcPr>
                <w:p w14:paraId="1C0D88DC">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w:t>
                  </w:r>
                  <w:r>
                    <w:rPr>
                      <w:rFonts w:hint="eastAsia" w:eastAsia="宋体"/>
                      <w:color w:val="000000" w:themeColor="text1"/>
                      <w14:textFill>
                        <w14:solidFill>
                          <w14:schemeClr w14:val="tx1"/>
                        </w14:solidFill>
                      </w14:textFill>
                    </w:rPr>
                    <w:t>02</w:t>
                  </w:r>
                </w:p>
              </w:tc>
              <w:tc>
                <w:tcPr>
                  <w:tcW w:w="630" w:type="pct"/>
                  <w:vAlign w:val="center"/>
                </w:tcPr>
                <w:p w14:paraId="394276B0">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w:t>
                  </w:r>
                  <w:r>
                    <w:rPr>
                      <w:rFonts w:hint="eastAsia" w:eastAsia="宋体"/>
                      <w:color w:val="000000" w:themeColor="text1"/>
                      <w14:textFill>
                        <w14:solidFill>
                          <w14:schemeClr w14:val="tx1"/>
                        </w14:solidFill>
                      </w14:textFill>
                    </w:rPr>
                    <w:t>10</w:t>
                  </w:r>
                </w:p>
              </w:tc>
              <w:tc>
                <w:tcPr>
                  <w:tcW w:w="640" w:type="pct"/>
                  <w:vAlign w:val="center"/>
                </w:tcPr>
                <w:p w14:paraId="13959F75">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w:t>
                  </w:r>
                  <w:r>
                    <w:rPr>
                      <w:rFonts w:hint="eastAsia" w:eastAsia="宋体"/>
                      <w:color w:val="000000" w:themeColor="text1"/>
                      <w14:textFill>
                        <w14:solidFill>
                          <w14:schemeClr w14:val="tx1"/>
                        </w14:solidFill>
                      </w14:textFill>
                    </w:rPr>
                    <w:t>5</w:t>
                  </w:r>
                </w:p>
              </w:tc>
              <w:tc>
                <w:tcPr>
                  <w:tcW w:w="598" w:type="pct"/>
                  <w:vAlign w:val="center"/>
                </w:tcPr>
                <w:p w14:paraId="264FA0B6">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1.50</w:t>
                  </w:r>
                </w:p>
              </w:tc>
              <w:tc>
                <w:tcPr>
                  <w:tcW w:w="620" w:type="pct"/>
                  <w:vAlign w:val="center"/>
                </w:tcPr>
                <w:p w14:paraId="2A0CC688">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＞1.50</w:t>
                  </w:r>
                </w:p>
              </w:tc>
            </w:tr>
            <w:tr w14:paraId="5FD4EC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21" w:type="pct"/>
                  <w:vAlign w:val="center"/>
                </w:tcPr>
                <w:p w14:paraId="56A68C19">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总硬度（以CaCO</w:t>
                  </w:r>
                  <w:r>
                    <w:rPr>
                      <w:rFonts w:eastAsia="宋体"/>
                      <w:color w:val="000000" w:themeColor="text1"/>
                      <w:vertAlign w:val="subscript"/>
                      <w14:textFill>
                        <w14:solidFill>
                          <w14:schemeClr w14:val="tx1"/>
                        </w14:solidFill>
                      </w14:textFill>
                    </w:rPr>
                    <w:t>3</w:t>
                  </w:r>
                  <w:r>
                    <w:rPr>
                      <w:rFonts w:eastAsia="宋体"/>
                      <w:color w:val="000000" w:themeColor="text1"/>
                      <w14:textFill>
                        <w14:solidFill>
                          <w14:schemeClr w14:val="tx1"/>
                        </w14:solidFill>
                      </w14:textFill>
                    </w:rPr>
                    <w:t>计）（mg/L）</w:t>
                  </w:r>
                </w:p>
              </w:tc>
              <w:tc>
                <w:tcPr>
                  <w:tcW w:w="687" w:type="pct"/>
                  <w:vAlign w:val="center"/>
                </w:tcPr>
                <w:p w14:paraId="1ED9132E">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150</w:t>
                  </w:r>
                </w:p>
              </w:tc>
              <w:tc>
                <w:tcPr>
                  <w:tcW w:w="630" w:type="pct"/>
                  <w:vAlign w:val="center"/>
                </w:tcPr>
                <w:p w14:paraId="1F15F4C5">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300</w:t>
                  </w:r>
                </w:p>
              </w:tc>
              <w:tc>
                <w:tcPr>
                  <w:tcW w:w="640" w:type="pct"/>
                  <w:vAlign w:val="center"/>
                </w:tcPr>
                <w:p w14:paraId="1ADDBC04">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≤450</w:t>
                  </w:r>
                </w:p>
              </w:tc>
              <w:tc>
                <w:tcPr>
                  <w:tcW w:w="598" w:type="pct"/>
                  <w:vAlign w:val="center"/>
                </w:tcPr>
                <w:p w14:paraId="09CF82C4">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650</w:t>
                  </w:r>
                </w:p>
              </w:tc>
              <w:tc>
                <w:tcPr>
                  <w:tcW w:w="620" w:type="pct"/>
                  <w:vAlign w:val="center"/>
                </w:tcPr>
                <w:p w14:paraId="593E85F7">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＞650</w:t>
                  </w:r>
                </w:p>
              </w:tc>
            </w:tr>
            <w:tr w14:paraId="3BC12E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21" w:type="pct"/>
                  <w:vAlign w:val="center"/>
                </w:tcPr>
                <w:p w14:paraId="75653A32">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硝酸盐</w:t>
                  </w:r>
                  <w:r>
                    <w:rPr>
                      <w:rFonts w:hint="eastAsia" w:eastAsia="宋体"/>
                      <w:color w:val="000000" w:themeColor="text1"/>
                      <w14:textFill>
                        <w14:solidFill>
                          <w14:schemeClr w14:val="tx1"/>
                        </w14:solidFill>
                      </w14:textFill>
                    </w:rPr>
                    <w:t>（以N计）</w:t>
                  </w:r>
                  <w:r>
                    <w:rPr>
                      <w:rFonts w:eastAsia="宋体"/>
                      <w:color w:val="000000" w:themeColor="text1"/>
                      <w14:textFill>
                        <w14:solidFill>
                          <w14:schemeClr w14:val="tx1"/>
                        </w14:solidFill>
                      </w14:textFill>
                    </w:rPr>
                    <w:t>（mg/L）</w:t>
                  </w:r>
                </w:p>
              </w:tc>
              <w:tc>
                <w:tcPr>
                  <w:tcW w:w="687" w:type="pct"/>
                  <w:vAlign w:val="center"/>
                </w:tcPr>
                <w:p w14:paraId="2E9855D6">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2.0</w:t>
                  </w:r>
                </w:p>
              </w:tc>
              <w:tc>
                <w:tcPr>
                  <w:tcW w:w="630" w:type="pct"/>
                  <w:vAlign w:val="center"/>
                </w:tcPr>
                <w:p w14:paraId="7C323F28">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5.0</w:t>
                  </w:r>
                </w:p>
              </w:tc>
              <w:tc>
                <w:tcPr>
                  <w:tcW w:w="640" w:type="pct"/>
                  <w:vAlign w:val="center"/>
                </w:tcPr>
                <w:p w14:paraId="4F58F335">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≤20</w:t>
                  </w:r>
                </w:p>
              </w:tc>
              <w:tc>
                <w:tcPr>
                  <w:tcW w:w="598" w:type="pct"/>
                  <w:vAlign w:val="center"/>
                </w:tcPr>
                <w:p w14:paraId="57207D58">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30</w:t>
                  </w:r>
                </w:p>
              </w:tc>
              <w:tc>
                <w:tcPr>
                  <w:tcW w:w="620" w:type="pct"/>
                  <w:vAlign w:val="center"/>
                </w:tcPr>
                <w:p w14:paraId="2FBB8973">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＞30</w:t>
                  </w:r>
                </w:p>
              </w:tc>
            </w:tr>
            <w:tr w14:paraId="76A095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21" w:type="pct"/>
                  <w:vAlign w:val="center"/>
                </w:tcPr>
                <w:p w14:paraId="624AB2D7">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亚硝酸盐（以N计）（mg/L）</w:t>
                  </w:r>
                </w:p>
              </w:tc>
              <w:tc>
                <w:tcPr>
                  <w:tcW w:w="687" w:type="pct"/>
                  <w:vAlign w:val="center"/>
                </w:tcPr>
                <w:p w14:paraId="30E503F7">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0.01</w:t>
                  </w:r>
                </w:p>
              </w:tc>
              <w:tc>
                <w:tcPr>
                  <w:tcW w:w="630" w:type="pct"/>
                  <w:vAlign w:val="center"/>
                </w:tcPr>
                <w:p w14:paraId="46BBB4B4">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0.10</w:t>
                  </w:r>
                </w:p>
              </w:tc>
              <w:tc>
                <w:tcPr>
                  <w:tcW w:w="640" w:type="pct"/>
                  <w:vAlign w:val="center"/>
                </w:tcPr>
                <w:p w14:paraId="3158CB4E">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≤1.0</w:t>
                  </w:r>
                </w:p>
              </w:tc>
              <w:tc>
                <w:tcPr>
                  <w:tcW w:w="598" w:type="pct"/>
                  <w:vAlign w:val="center"/>
                </w:tcPr>
                <w:p w14:paraId="48A97EBC">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4.8</w:t>
                  </w:r>
                </w:p>
              </w:tc>
              <w:tc>
                <w:tcPr>
                  <w:tcW w:w="620" w:type="pct"/>
                  <w:vAlign w:val="center"/>
                </w:tcPr>
                <w:p w14:paraId="6738F16B">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＞4.8</w:t>
                  </w:r>
                </w:p>
              </w:tc>
            </w:tr>
            <w:tr w14:paraId="684E0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21" w:type="pct"/>
                  <w:vAlign w:val="center"/>
                </w:tcPr>
                <w:p w14:paraId="5B3532DB">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硫酸盐（mg/L）</w:t>
                  </w:r>
                </w:p>
              </w:tc>
              <w:tc>
                <w:tcPr>
                  <w:tcW w:w="687" w:type="pct"/>
                  <w:vAlign w:val="center"/>
                </w:tcPr>
                <w:p w14:paraId="2BC56665">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50</w:t>
                  </w:r>
                </w:p>
              </w:tc>
              <w:tc>
                <w:tcPr>
                  <w:tcW w:w="630" w:type="pct"/>
                  <w:vAlign w:val="center"/>
                </w:tcPr>
                <w:p w14:paraId="747FB18D">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150</w:t>
                  </w:r>
                </w:p>
              </w:tc>
              <w:tc>
                <w:tcPr>
                  <w:tcW w:w="640" w:type="pct"/>
                  <w:vAlign w:val="center"/>
                </w:tcPr>
                <w:p w14:paraId="3B2C5270">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250</w:t>
                  </w:r>
                </w:p>
              </w:tc>
              <w:tc>
                <w:tcPr>
                  <w:tcW w:w="598" w:type="pct"/>
                  <w:vAlign w:val="center"/>
                </w:tcPr>
                <w:p w14:paraId="355127C8">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350</w:t>
                  </w:r>
                </w:p>
              </w:tc>
              <w:tc>
                <w:tcPr>
                  <w:tcW w:w="620" w:type="pct"/>
                  <w:vAlign w:val="center"/>
                </w:tcPr>
                <w:p w14:paraId="0410DEA3">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＞350</w:t>
                  </w:r>
                </w:p>
              </w:tc>
            </w:tr>
            <w:tr w14:paraId="31B65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21" w:type="pct"/>
                  <w:vAlign w:val="center"/>
                </w:tcPr>
                <w:p w14:paraId="1B2CC6B0">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溶解性总固体</w:t>
                  </w:r>
                  <w:r>
                    <w:rPr>
                      <w:rFonts w:eastAsia="宋体"/>
                      <w:color w:val="000000" w:themeColor="text1"/>
                      <w14:textFill>
                        <w14:solidFill>
                          <w14:schemeClr w14:val="tx1"/>
                        </w14:solidFill>
                      </w14:textFill>
                    </w:rPr>
                    <w:t>（mg/L）</w:t>
                  </w:r>
                </w:p>
              </w:tc>
              <w:tc>
                <w:tcPr>
                  <w:tcW w:w="687" w:type="pct"/>
                  <w:vAlign w:val="center"/>
                </w:tcPr>
                <w:p w14:paraId="77893DEA">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300</w:t>
                  </w:r>
                </w:p>
              </w:tc>
              <w:tc>
                <w:tcPr>
                  <w:tcW w:w="630" w:type="pct"/>
                  <w:vAlign w:val="center"/>
                </w:tcPr>
                <w:p w14:paraId="35E15E01">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500</w:t>
                  </w:r>
                </w:p>
              </w:tc>
              <w:tc>
                <w:tcPr>
                  <w:tcW w:w="640" w:type="pct"/>
                  <w:vAlign w:val="center"/>
                </w:tcPr>
                <w:p w14:paraId="0B5F5173">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1000</w:t>
                  </w:r>
                </w:p>
              </w:tc>
              <w:tc>
                <w:tcPr>
                  <w:tcW w:w="598" w:type="pct"/>
                  <w:vAlign w:val="center"/>
                </w:tcPr>
                <w:p w14:paraId="333553E4">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2000</w:t>
                  </w:r>
                </w:p>
              </w:tc>
              <w:tc>
                <w:tcPr>
                  <w:tcW w:w="620" w:type="pct"/>
                  <w:vAlign w:val="center"/>
                </w:tcPr>
                <w:p w14:paraId="2F439940">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＞2000</w:t>
                  </w:r>
                </w:p>
              </w:tc>
            </w:tr>
            <w:tr w14:paraId="444C65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21" w:type="pct"/>
                  <w:vAlign w:val="center"/>
                </w:tcPr>
                <w:p w14:paraId="495983F6">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耗氧量</w:t>
                  </w: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CODMn法，以O</w:t>
                  </w:r>
                  <w:r>
                    <w:rPr>
                      <w:rFonts w:hint="eastAsia" w:eastAsia="宋体"/>
                      <w:color w:val="000000" w:themeColor="text1"/>
                      <w:vertAlign w:val="subscript"/>
                      <w14:textFill>
                        <w14:solidFill>
                          <w14:schemeClr w14:val="tx1"/>
                        </w14:solidFill>
                      </w14:textFill>
                    </w:rPr>
                    <w:t>2</w:t>
                  </w:r>
                  <w:r>
                    <w:rPr>
                      <w:rFonts w:hint="eastAsia" w:eastAsia="宋体"/>
                      <w:color w:val="000000" w:themeColor="text1"/>
                      <w14:textFill>
                        <w14:solidFill>
                          <w14:schemeClr w14:val="tx1"/>
                        </w14:solidFill>
                      </w14:textFill>
                    </w:rPr>
                    <w:t>计/</w:t>
                  </w:r>
                  <w:r>
                    <w:rPr>
                      <w:rFonts w:eastAsia="宋体"/>
                      <w:color w:val="000000" w:themeColor="text1"/>
                      <w14:textFill>
                        <w14:solidFill>
                          <w14:schemeClr w14:val="tx1"/>
                        </w14:solidFill>
                      </w14:textFill>
                    </w:rPr>
                    <w:t>mg/L）</w:t>
                  </w:r>
                </w:p>
              </w:tc>
              <w:tc>
                <w:tcPr>
                  <w:tcW w:w="687" w:type="pct"/>
                  <w:vAlign w:val="center"/>
                </w:tcPr>
                <w:p w14:paraId="5A285E22">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1.0</w:t>
                  </w:r>
                </w:p>
              </w:tc>
              <w:tc>
                <w:tcPr>
                  <w:tcW w:w="630" w:type="pct"/>
                  <w:vAlign w:val="center"/>
                </w:tcPr>
                <w:p w14:paraId="13CC3A1D">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2.0</w:t>
                  </w:r>
                </w:p>
              </w:tc>
              <w:tc>
                <w:tcPr>
                  <w:tcW w:w="640" w:type="pct"/>
                  <w:vAlign w:val="center"/>
                </w:tcPr>
                <w:p w14:paraId="6B8B78DC">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3.0</w:t>
                  </w:r>
                </w:p>
              </w:tc>
              <w:tc>
                <w:tcPr>
                  <w:tcW w:w="598" w:type="pct"/>
                  <w:vAlign w:val="center"/>
                </w:tcPr>
                <w:p w14:paraId="1A6E3084">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10.0</w:t>
                  </w:r>
                </w:p>
              </w:tc>
              <w:tc>
                <w:tcPr>
                  <w:tcW w:w="620" w:type="pct"/>
                  <w:vAlign w:val="center"/>
                </w:tcPr>
                <w:p w14:paraId="0C64EB6D">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＞10.0</w:t>
                  </w:r>
                </w:p>
              </w:tc>
            </w:tr>
            <w:tr w14:paraId="16AE1F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21" w:type="pct"/>
                  <w:vAlign w:val="center"/>
                </w:tcPr>
                <w:p w14:paraId="4F343DB7">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氰化物</w:t>
                  </w:r>
                  <w:r>
                    <w:rPr>
                      <w:rFonts w:eastAsia="宋体"/>
                      <w:color w:val="000000" w:themeColor="text1"/>
                      <w14:textFill>
                        <w14:solidFill>
                          <w14:schemeClr w14:val="tx1"/>
                        </w14:solidFill>
                      </w14:textFill>
                    </w:rPr>
                    <w:t>（mg/L）</w:t>
                  </w:r>
                </w:p>
              </w:tc>
              <w:tc>
                <w:tcPr>
                  <w:tcW w:w="687" w:type="pct"/>
                  <w:vAlign w:val="center"/>
                </w:tcPr>
                <w:p w14:paraId="6C78E5E0">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0.001</w:t>
                  </w:r>
                </w:p>
              </w:tc>
              <w:tc>
                <w:tcPr>
                  <w:tcW w:w="630" w:type="pct"/>
                  <w:vAlign w:val="center"/>
                </w:tcPr>
                <w:p w14:paraId="0364E6E4">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0.01</w:t>
                  </w:r>
                </w:p>
              </w:tc>
              <w:tc>
                <w:tcPr>
                  <w:tcW w:w="640" w:type="pct"/>
                  <w:vAlign w:val="center"/>
                </w:tcPr>
                <w:p w14:paraId="23D6F03B">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0.05</w:t>
                  </w:r>
                </w:p>
              </w:tc>
              <w:tc>
                <w:tcPr>
                  <w:tcW w:w="598" w:type="pct"/>
                  <w:vAlign w:val="center"/>
                </w:tcPr>
                <w:p w14:paraId="6C0FF70E">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0.1</w:t>
                  </w:r>
                </w:p>
              </w:tc>
              <w:tc>
                <w:tcPr>
                  <w:tcW w:w="620" w:type="pct"/>
                  <w:vAlign w:val="center"/>
                </w:tcPr>
                <w:p w14:paraId="05A4D053">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＞0.1</w:t>
                  </w:r>
                </w:p>
              </w:tc>
            </w:tr>
            <w:tr w14:paraId="3EE7E6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21" w:type="pct"/>
                  <w:vAlign w:val="center"/>
                </w:tcPr>
                <w:p w14:paraId="04F59072">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氟化物</w:t>
                  </w:r>
                  <w:r>
                    <w:rPr>
                      <w:rFonts w:eastAsia="宋体"/>
                      <w:color w:val="000000" w:themeColor="text1"/>
                      <w14:textFill>
                        <w14:solidFill>
                          <w14:schemeClr w14:val="tx1"/>
                        </w14:solidFill>
                      </w14:textFill>
                    </w:rPr>
                    <w:t>（mg/L）</w:t>
                  </w:r>
                </w:p>
              </w:tc>
              <w:tc>
                <w:tcPr>
                  <w:tcW w:w="687" w:type="pct"/>
                  <w:vAlign w:val="center"/>
                </w:tcPr>
                <w:p w14:paraId="321563B8">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≤1.0</w:t>
                  </w:r>
                </w:p>
              </w:tc>
              <w:tc>
                <w:tcPr>
                  <w:tcW w:w="630" w:type="pct"/>
                  <w:vAlign w:val="center"/>
                </w:tcPr>
                <w:p w14:paraId="6ACFA9B7">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≤1.0</w:t>
                  </w:r>
                </w:p>
              </w:tc>
              <w:tc>
                <w:tcPr>
                  <w:tcW w:w="640" w:type="pct"/>
                  <w:vAlign w:val="center"/>
                </w:tcPr>
                <w:p w14:paraId="10F176ED">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≤1.0</w:t>
                  </w:r>
                </w:p>
              </w:tc>
              <w:tc>
                <w:tcPr>
                  <w:tcW w:w="598" w:type="pct"/>
                  <w:vAlign w:val="center"/>
                </w:tcPr>
                <w:p w14:paraId="34080D65">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2.0</w:t>
                  </w:r>
                </w:p>
              </w:tc>
              <w:tc>
                <w:tcPr>
                  <w:tcW w:w="620" w:type="pct"/>
                  <w:vAlign w:val="center"/>
                </w:tcPr>
                <w:p w14:paraId="1157FDBE">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＞2.0</w:t>
                  </w:r>
                </w:p>
              </w:tc>
            </w:tr>
            <w:tr w14:paraId="6EACEC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21" w:type="pct"/>
                  <w:vAlign w:val="center"/>
                </w:tcPr>
                <w:p w14:paraId="24AE480A">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氯化物</w:t>
                  </w:r>
                  <w:r>
                    <w:rPr>
                      <w:rFonts w:eastAsia="宋体"/>
                      <w:color w:val="000000" w:themeColor="text1"/>
                      <w14:textFill>
                        <w14:solidFill>
                          <w14:schemeClr w14:val="tx1"/>
                        </w14:solidFill>
                      </w14:textFill>
                    </w:rPr>
                    <w:t>（mg/L）</w:t>
                  </w:r>
                </w:p>
              </w:tc>
              <w:tc>
                <w:tcPr>
                  <w:tcW w:w="687" w:type="pct"/>
                  <w:vAlign w:val="center"/>
                </w:tcPr>
                <w:p w14:paraId="087FEAFB">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50</w:t>
                  </w:r>
                </w:p>
              </w:tc>
              <w:tc>
                <w:tcPr>
                  <w:tcW w:w="630" w:type="pct"/>
                  <w:vAlign w:val="center"/>
                </w:tcPr>
                <w:p w14:paraId="6A0242F7">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150</w:t>
                  </w:r>
                </w:p>
              </w:tc>
              <w:tc>
                <w:tcPr>
                  <w:tcW w:w="640" w:type="pct"/>
                  <w:vAlign w:val="center"/>
                </w:tcPr>
                <w:p w14:paraId="754457F7">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250</w:t>
                  </w:r>
                </w:p>
              </w:tc>
              <w:tc>
                <w:tcPr>
                  <w:tcW w:w="598" w:type="pct"/>
                  <w:vAlign w:val="center"/>
                </w:tcPr>
                <w:p w14:paraId="446C6C6F">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350</w:t>
                  </w:r>
                </w:p>
              </w:tc>
              <w:tc>
                <w:tcPr>
                  <w:tcW w:w="620" w:type="pct"/>
                  <w:vAlign w:val="center"/>
                </w:tcPr>
                <w:p w14:paraId="7FE69269">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＞350</w:t>
                  </w:r>
                </w:p>
              </w:tc>
            </w:tr>
            <w:tr w14:paraId="1D8BCC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21" w:type="pct"/>
                  <w:vAlign w:val="center"/>
                </w:tcPr>
                <w:p w14:paraId="17527C56">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挥发</w:t>
                  </w:r>
                  <w:r>
                    <w:rPr>
                      <w:rFonts w:hint="eastAsia" w:eastAsia="宋体"/>
                      <w:color w:val="000000" w:themeColor="text1"/>
                      <w14:textFill>
                        <w14:solidFill>
                          <w14:schemeClr w14:val="tx1"/>
                        </w14:solidFill>
                      </w14:textFill>
                    </w:rPr>
                    <w:t>性</w:t>
                  </w:r>
                  <w:r>
                    <w:rPr>
                      <w:rFonts w:eastAsia="宋体"/>
                      <w:color w:val="000000" w:themeColor="text1"/>
                      <w14:textFill>
                        <w14:solidFill>
                          <w14:schemeClr w14:val="tx1"/>
                        </w14:solidFill>
                      </w14:textFill>
                    </w:rPr>
                    <w:t>酚</w:t>
                  </w:r>
                  <w:r>
                    <w:rPr>
                      <w:rFonts w:hint="eastAsia" w:eastAsia="宋体"/>
                      <w:color w:val="000000" w:themeColor="text1"/>
                      <w14:textFill>
                        <w14:solidFill>
                          <w14:schemeClr w14:val="tx1"/>
                        </w14:solidFill>
                      </w14:textFill>
                    </w:rPr>
                    <w:t>类（以苯酚计）</w:t>
                  </w:r>
                  <w:r>
                    <w:rPr>
                      <w:rFonts w:eastAsia="宋体"/>
                      <w:color w:val="000000" w:themeColor="text1"/>
                      <w14:textFill>
                        <w14:solidFill>
                          <w14:schemeClr w14:val="tx1"/>
                        </w14:solidFill>
                      </w14:textFill>
                    </w:rPr>
                    <w:t>（mg/L）</w:t>
                  </w:r>
                </w:p>
              </w:tc>
              <w:tc>
                <w:tcPr>
                  <w:tcW w:w="687" w:type="pct"/>
                  <w:vAlign w:val="center"/>
                </w:tcPr>
                <w:p w14:paraId="722173B0">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≤0.00</w:t>
                  </w:r>
                  <w:r>
                    <w:rPr>
                      <w:rFonts w:hint="eastAsia" w:eastAsia="宋体"/>
                      <w:color w:val="000000" w:themeColor="text1"/>
                      <w14:textFill>
                        <w14:solidFill>
                          <w14:schemeClr w14:val="tx1"/>
                        </w14:solidFill>
                      </w14:textFill>
                    </w:rPr>
                    <w:t>1</w:t>
                  </w:r>
                </w:p>
              </w:tc>
              <w:tc>
                <w:tcPr>
                  <w:tcW w:w="630" w:type="pct"/>
                  <w:vAlign w:val="center"/>
                </w:tcPr>
                <w:p w14:paraId="12A2A041">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≤0.00</w:t>
                  </w:r>
                  <w:r>
                    <w:rPr>
                      <w:rFonts w:hint="eastAsia" w:eastAsia="宋体"/>
                      <w:color w:val="000000" w:themeColor="text1"/>
                      <w14:textFill>
                        <w14:solidFill>
                          <w14:schemeClr w14:val="tx1"/>
                        </w14:solidFill>
                      </w14:textFill>
                    </w:rPr>
                    <w:t>1</w:t>
                  </w:r>
                </w:p>
              </w:tc>
              <w:tc>
                <w:tcPr>
                  <w:tcW w:w="640" w:type="pct"/>
                  <w:vAlign w:val="center"/>
                </w:tcPr>
                <w:p w14:paraId="5C55191F">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≤0.002</w:t>
                  </w:r>
                </w:p>
              </w:tc>
              <w:tc>
                <w:tcPr>
                  <w:tcW w:w="598" w:type="pct"/>
                  <w:vAlign w:val="center"/>
                </w:tcPr>
                <w:p w14:paraId="18E4112F">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≤0.0</w:t>
                  </w:r>
                  <w:r>
                    <w:rPr>
                      <w:rFonts w:hint="eastAsia" w:eastAsia="宋体"/>
                      <w:color w:val="000000" w:themeColor="text1"/>
                      <w14:textFill>
                        <w14:solidFill>
                          <w14:schemeClr w14:val="tx1"/>
                        </w14:solidFill>
                      </w14:textFill>
                    </w:rPr>
                    <w:t>1</w:t>
                  </w:r>
                </w:p>
              </w:tc>
              <w:tc>
                <w:tcPr>
                  <w:tcW w:w="620" w:type="pct"/>
                  <w:vAlign w:val="center"/>
                </w:tcPr>
                <w:p w14:paraId="190B1714">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＞0.01</w:t>
                  </w:r>
                </w:p>
              </w:tc>
            </w:tr>
            <w:tr w14:paraId="7D82E1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21" w:type="pct"/>
                  <w:vAlign w:val="center"/>
                </w:tcPr>
                <w:p w14:paraId="71EA381B">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砷</w:t>
                  </w:r>
                  <w:r>
                    <w:rPr>
                      <w:rFonts w:eastAsia="宋体"/>
                      <w:color w:val="000000" w:themeColor="text1"/>
                      <w14:textFill>
                        <w14:solidFill>
                          <w14:schemeClr w14:val="tx1"/>
                        </w14:solidFill>
                      </w14:textFill>
                    </w:rPr>
                    <w:t>（mg/L）</w:t>
                  </w:r>
                </w:p>
              </w:tc>
              <w:tc>
                <w:tcPr>
                  <w:tcW w:w="687" w:type="pct"/>
                  <w:vAlign w:val="center"/>
                </w:tcPr>
                <w:p w14:paraId="0846EC72">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0.001</w:t>
                  </w:r>
                </w:p>
              </w:tc>
              <w:tc>
                <w:tcPr>
                  <w:tcW w:w="630" w:type="pct"/>
                  <w:vAlign w:val="center"/>
                </w:tcPr>
                <w:p w14:paraId="3CB2D5D8">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0.001</w:t>
                  </w:r>
                </w:p>
              </w:tc>
              <w:tc>
                <w:tcPr>
                  <w:tcW w:w="640" w:type="pct"/>
                  <w:vAlign w:val="center"/>
                </w:tcPr>
                <w:p w14:paraId="307D77D5">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0.01</w:t>
                  </w:r>
                </w:p>
              </w:tc>
              <w:tc>
                <w:tcPr>
                  <w:tcW w:w="598" w:type="pct"/>
                  <w:vAlign w:val="center"/>
                </w:tcPr>
                <w:p w14:paraId="1AD88E47">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0.05</w:t>
                  </w:r>
                </w:p>
              </w:tc>
              <w:tc>
                <w:tcPr>
                  <w:tcW w:w="620" w:type="pct"/>
                  <w:vAlign w:val="center"/>
                </w:tcPr>
                <w:p w14:paraId="104C1443">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＞0.05</w:t>
                  </w:r>
                </w:p>
              </w:tc>
            </w:tr>
            <w:tr w14:paraId="452B8E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21" w:type="pct"/>
                  <w:vAlign w:val="center"/>
                </w:tcPr>
                <w:p w14:paraId="64FBA3D4">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汞</w:t>
                  </w:r>
                  <w:r>
                    <w:rPr>
                      <w:rFonts w:eastAsia="宋体"/>
                      <w:color w:val="000000" w:themeColor="text1"/>
                      <w14:textFill>
                        <w14:solidFill>
                          <w14:schemeClr w14:val="tx1"/>
                        </w14:solidFill>
                      </w14:textFill>
                    </w:rPr>
                    <w:t>（mg/L）</w:t>
                  </w:r>
                </w:p>
              </w:tc>
              <w:tc>
                <w:tcPr>
                  <w:tcW w:w="687" w:type="pct"/>
                  <w:vAlign w:val="center"/>
                </w:tcPr>
                <w:p w14:paraId="2824E331">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0.0001</w:t>
                  </w:r>
                </w:p>
              </w:tc>
              <w:tc>
                <w:tcPr>
                  <w:tcW w:w="630" w:type="pct"/>
                  <w:vAlign w:val="center"/>
                </w:tcPr>
                <w:p w14:paraId="24BB4360">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0.0001</w:t>
                  </w:r>
                </w:p>
              </w:tc>
              <w:tc>
                <w:tcPr>
                  <w:tcW w:w="640" w:type="pct"/>
                  <w:vAlign w:val="center"/>
                </w:tcPr>
                <w:p w14:paraId="1043003F">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0.001</w:t>
                  </w:r>
                </w:p>
              </w:tc>
              <w:tc>
                <w:tcPr>
                  <w:tcW w:w="598" w:type="pct"/>
                  <w:vAlign w:val="center"/>
                </w:tcPr>
                <w:p w14:paraId="074E0EB0">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0.002</w:t>
                  </w:r>
                </w:p>
              </w:tc>
              <w:tc>
                <w:tcPr>
                  <w:tcW w:w="620" w:type="pct"/>
                  <w:vAlign w:val="center"/>
                </w:tcPr>
                <w:p w14:paraId="7B8E7742">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＞0.002</w:t>
                  </w:r>
                </w:p>
              </w:tc>
            </w:tr>
            <w:tr w14:paraId="5F3B69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21" w:type="pct"/>
                  <w:vAlign w:val="center"/>
                </w:tcPr>
                <w:p w14:paraId="5CD50971">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铬（六价）</w:t>
                  </w:r>
                  <w:r>
                    <w:rPr>
                      <w:rFonts w:eastAsia="宋体"/>
                      <w:color w:val="000000" w:themeColor="text1"/>
                      <w14:textFill>
                        <w14:solidFill>
                          <w14:schemeClr w14:val="tx1"/>
                        </w14:solidFill>
                      </w14:textFill>
                    </w:rPr>
                    <w:t>（mg/L）</w:t>
                  </w:r>
                </w:p>
              </w:tc>
              <w:tc>
                <w:tcPr>
                  <w:tcW w:w="687" w:type="pct"/>
                  <w:vAlign w:val="center"/>
                </w:tcPr>
                <w:p w14:paraId="3FC4EF39">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0.005</w:t>
                  </w:r>
                </w:p>
              </w:tc>
              <w:tc>
                <w:tcPr>
                  <w:tcW w:w="630" w:type="pct"/>
                  <w:vAlign w:val="center"/>
                </w:tcPr>
                <w:p w14:paraId="02B5053C">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0.01</w:t>
                  </w:r>
                </w:p>
              </w:tc>
              <w:tc>
                <w:tcPr>
                  <w:tcW w:w="640" w:type="pct"/>
                  <w:vAlign w:val="center"/>
                </w:tcPr>
                <w:p w14:paraId="1C98A6FA">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0.05</w:t>
                  </w:r>
                </w:p>
              </w:tc>
              <w:tc>
                <w:tcPr>
                  <w:tcW w:w="598" w:type="pct"/>
                  <w:vAlign w:val="center"/>
                </w:tcPr>
                <w:p w14:paraId="2B3C342C">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0.1</w:t>
                  </w:r>
                </w:p>
              </w:tc>
              <w:tc>
                <w:tcPr>
                  <w:tcW w:w="620" w:type="pct"/>
                  <w:vAlign w:val="center"/>
                </w:tcPr>
                <w:p w14:paraId="580172BF">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＞0.1</w:t>
                  </w:r>
                </w:p>
              </w:tc>
            </w:tr>
            <w:tr w14:paraId="0B487E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21" w:type="pct"/>
                  <w:vAlign w:val="center"/>
                </w:tcPr>
                <w:p w14:paraId="7B293A60">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铅（mg/L）</w:t>
                  </w:r>
                </w:p>
              </w:tc>
              <w:tc>
                <w:tcPr>
                  <w:tcW w:w="687" w:type="pct"/>
                  <w:vAlign w:val="center"/>
                </w:tcPr>
                <w:p w14:paraId="7380DD4A">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0.005</w:t>
                  </w:r>
                </w:p>
              </w:tc>
              <w:tc>
                <w:tcPr>
                  <w:tcW w:w="630" w:type="pct"/>
                  <w:vAlign w:val="center"/>
                </w:tcPr>
                <w:p w14:paraId="05BC6006">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0.005</w:t>
                  </w:r>
                </w:p>
              </w:tc>
              <w:tc>
                <w:tcPr>
                  <w:tcW w:w="640" w:type="pct"/>
                  <w:vAlign w:val="center"/>
                </w:tcPr>
                <w:p w14:paraId="193A0132">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0.01</w:t>
                  </w:r>
                </w:p>
              </w:tc>
              <w:tc>
                <w:tcPr>
                  <w:tcW w:w="598" w:type="pct"/>
                  <w:vAlign w:val="center"/>
                </w:tcPr>
                <w:p w14:paraId="777BE04C">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0.1</w:t>
                  </w:r>
                </w:p>
              </w:tc>
              <w:tc>
                <w:tcPr>
                  <w:tcW w:w="620" w:type="pct"/>
                  <w:vAlign w:val="center"/>
                </w:tcPr>
                <w:p w14:paraId="01F97D75">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＞0.1</w:t>
                  </w:r>
                </w:p>
              </w:tc>
            </w:tr>
            <w:tr w14:paraId="2B3782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21" w:type="pct"/>
                  <w:vAlign w:val="center"/>
                </w:tcPr>
                <w:p w14:paraId="70781DC2">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镉（mg/L）</w:t>
                  </w:r>
                </w:p>
              </w:tc>
              <w:tc>
                <w:tcPr>
                  <w:tcW w:w="687" w:type="pct"/>
                  <w:vAlign w:val="center"/>
                </w:tcPr>
                <w:p w14:paraId="6100A65C">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0.0001</w:t>
                  </w:r>
                </w:p>
              </w:tc>
              <w:tc>
                <w:tcPr>
                  <w:tcW w:w="630" w:type="pct"/>
                  <w:vAlign w:val="center"/>
                </w:tcPr>
                <w:p w14:paraId="6E1A04DD">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0.001</w:t>
                  </w:r>
                </w:p>
              </w:tc>
              <w:tc>
                <w:tcPr>
                  <w:tcW w:w="640" w:type="pct"/>
                  <w:vAlign w:val="center"/>
                </w:tcPr>
                <w:p w14:paraId="42DD5372">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0.005</w:t>
                  </w:r>
                </w:p>
              </w:tc>
              <w:tc>
                <w:tcPr>
                  <w:tcW w:w="598" w:type="pct"/>
                  <w:vAlign w:val="center"/>
                </w:tcPr>
                <w:p w14:paraId="2E6B25E8">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0.01</w:t>
                  </w:r>
                </w:p>
              </w:tc>
              <w:tc>
                <w:tcPr>
                  <w:tcW w:w="620" w:type="pct"/>
                  <w:vAlign w:val="center"/>
                </w:tcPr>
                <w:p w14:paraId="6F69171A">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＞0.01</w:t>
                  </w:r>
                </w:p>
              </w:tc>
            </w:tr>
            <w:tr w14:paraId="2CA0A8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21" w:type="pct"/>
                  <w:vAlign w:val="center"/>
                </w:tcPr>
                <w:p w14:paraId="15719568">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铁（mg/L）</w:t>
                  </w:r>
                </w:p>
              </w:tc>
              <w:tc>
                <w:tcPr>
                  <w:tcW w:w="687" w:type="pct"/>
                  <w:vAlign w:val="center"/>
                </w:tcPr>
                <w:p w14:paraId="51AE1C52">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0.1</w:t>
                  </w:r>
                </w:p>
              </w:tc>
              <w:tc>
                <w:tcPr>
                  <w:tcW w:w="630" w:type="pct"/>
                  <w:vAlign w:val="center"/>
                </w:tcPr>
                <w:p w14:paraId="63F87EA4">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0.2</w:t>
                  </w:r>
                </w:p>
              </w:tc>
              <w:tc>
                <w:tcPr>
                  <w:tcW w:w="640" w:type="pct"/>
                  <w:vAlign w:val="center"/>
                </w:tcPr>
                <w:p w14:paraId="7079F524">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0.3</w:t>
                  </w:r>
                </w:p>
              </w:tc>
              <w:tc>
                <w:tcPr>
                  <w:tcW w:w="598" w:type="pct"/>
                  <w:vAlign w:val="center"/>
                </w:tcPr>
                <w:p w14:paraId="4C6AF0ED">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2.0</w:t>
                  </w:r>
                </w:p>
              </w:tc>
              <w:tc>
                <w:tcPr>
                  <w:tcW w:w="620" w:type="pct"/>
                  <w:vAlign w:val="center"/>
                </w:tcPr>
                <w:p w14:paraId="4CE980E9">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＞2.0</w:t>
                  </w:r>
                </w:p>
              </w:tc>
            </w:tr>
            <w:tr w14:paraId="1EEC5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21" w:type="pct"/>
                  <w:vAlign w:val="center"/>
                </w:tcPr>
                <w:p w14:paraId="7BE82B97">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锰（mg/L）</w:t>
                  </w:r>
                </w:p>
              </w:tc>
              <w:tc>
                <w:tcPr>
                  <w:tcW w:w="687" w:type="pct"/>
                  <w:vAlign w:val="center"/>
                </w:tcPr>
                <w:p w14:paraId="03D8E9FF">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0.05</w:t>
                  </w:r>
                </w:p>
              </w:tc>
              <w:tc>
                <w:tcPr>
                  <w:tcW w:w="630" w:type="pct"/>
                  <w:vAlign w:val="center"/>
                </w:tcPr>
                <w:p w14:paraId="576D7A57">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0.05</w:t>
                  </w:r>
                </w:p>
              </w:tc>
              <w:tc>
                <w:tcPr>
                  <w:tcW w:w="640" w:type="pct"/>
                  <w:vAlign w:val="center"/>
                </w:tcPr>
                <w:p w14:paraId="607A2101">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0.10</w:t>
                  </w:r>
                </w:p>
              </w:tc>
              <w:tc>
                <w:tcPr>
                  <w:tcW w:w="598" w:type="pct"/>
                  <w:vAlign w:val="center"/>
                </w:tcPr>
                <w:p w14:paraId="3D58044D">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1.50</w:t>
                  </w:r>
                </w:p>
              </w:tc>
              <w:tc>
                <w:tcPr>
                  <w:tcW w:w="620" w:type="pct"/>
                  <w:vAlign w:val="center"/>
                </w:tcPr>
                <w:p w14:paraId="2358D4B2">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＞1.50</w:t>
                  </w:r>
                </w:p>
              </w:tc>
            </w:tr>
            <w:tr w14:paraId="7FD8AA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21" w:type="pct"/>
                  <w:vAlign w:val="center"/>
                </w:tcPr>
                <w:p w14:paraId="13B8878D">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总大肠菌群（MPNa/100ml或CFUb/100ml）</w:t>
                  </w:r>
                </w:p>
              </w:tc>
              <w:tc>
                <w:tcPr>
                  <w:tcW w:w="687" w:type="pct"/>
                  <w:vAlign w:val="center"/>
                </w:tcPr>
                <w:p w14:paraId="07D1AB70">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3.0</w:t>
                  </w:r>
                </w:p>
              </w:tc>
              <w:tc>
                <w:tcPr>
                  <w:tcW w:w="630" w:type="pct"/>
                  <w:vAlign w:val="center"/>
                </w:tcPr>
                <w:p w14:paraId="192DD16B">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3.0</w:t>
                  </w:r>
                </w:p>
              </w:tc>
              <w:tc>
                <w:tcPr>
                  <w:tcW w:w="640" w:type="pct"/>
                  <w:vAlign w:val="center"/>
                </w:tcPr>
                <w:p w14:paraId="0AAE59EF">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3.0</w:t>
                  </w:r>
                </w:p>
              </w:tc>
              <w:tc>
                <w:tcPr>
                  <w:tcW w:w="598" w:type="pct"/>
                  <w:vAlign w:val="center"/>
                </w:tcPr>
                <w:p w14:paraId="61020993">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100</w:t>
                  </w:r>
                </w:p>
              </w:tc>
              <w:tc>
                <w:tcPr>
                  <w:tcW w:w="620" w:type="pct"/>
                  <w:vAlign w:val="center"/>
                </w:tcPr>
                <w:p w14:paraId="5A09E8AF">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＞100</w:t>
                  </w:r>
                </w:p>
              </w:tc>
            </w:tr>
            <w:tr w14:paraId="202054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21" w:type="pct"/>
                  <w:vAlign w:val="center"/>
                </w:tcPr>
                <w:p w14:paraId="4E42EF60">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菌落总数/（CFU/ml）</w:t>
                  </w:r>
                </w:p>
              </w:tc>
              <w:tc>
                <w:tcPr>
                  <w:tcW w:w="687" w:type="pct"/>
                  <w:vAlign w:val="center"/>
                </w:tcPr>
                <w:p w14:paraId="37AAE484">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100</w:t>
                  </w:r>
                </w:p>
              </w:tc>
              <w:tc>
                <w:tcPr>
                  <w:tcW w:w="630" w:type="pct"/>
                  <w:vAlign w:val="center"/>
                </w:tcPr>
                <w:p w14:paraId="01373BDC">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100</w:t>
                  </w:r>
                </w:p>
              </w:tc>
              <w:tc>
                <w:tcPr>
                  <w:tcW w:w="640" w:type="pct"/>
                  <w:vAlign w:val="center"/>
                </w:tcPr>
                <w:p w14:paraId="08ED14C6">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100</w:t>
                  </w:r>
                </w:p>
              </w:tc>
              <w:tc>
                <w:tcPr>
                  <w:tcW w:w="598" w:type="pct"/>
                  <w:vAlign w:val="center"/>
                </w:tcPr>
                <w:p w14:paraId="6C0B3222">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1000</w:t>
                  </w:r>
                </w:p>
              </w:tc>
              <w:tc>
                <w:tcPr>
                  <w:tcW w:w="620" w:type="pct"/>
                  <w:vAlign w:val="center"/>
                </w:tcPr>
                <w:p w14:paraId="1DBA04CC">
                  <w:pPr>
                    <w:pStyle w:val="17"/>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＞1000</w:t>
                  </w:r>
                </w:p>
              </w:tc>
            </w:tr>
            <w:tr w14:paraId="07D885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6"/>
                  <w:vAlign w:val="center"/>
                </w:tcPr>
                <w:p w14:paraId="5F377AFD">
                  <w:pPr>
                    <w:pStyle w:val="17"/>
                    <w:jc w:val="both"/>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a：MPN表示最可能数</w:t>
                  </w:r>
                </w:p>
                <w:p w14:paraId="18278968">
                  <w:pPr>
                    <w:pStyle w:val="17"/>
                    <w:jc w:val="both"/>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b：CFU表示菌落形成单位</w:t>
                  </w:r>
                </w:p>
              </w:tc>
            </w:tr>
          </w:tbl>
          <w:p w14:paraId="7F0EE1BD">
            <w:pPr>
              <w:pStyle w:val="3"/>
              <w:ind w:firstLine="480"/>
              <w:rPr>
                <w:rFonts w:eastAsia="宋体"/>
              </w:rPr>
            </w:pPr>
            <w:r>
              <w:rPr>
                <w:rFonts w:hint="eastAsia" w:eastAsia="宋体"/>
              </w:rPr>
              <w:t>（3）声环境</w:t>
            </w:r>
          </w:p>
          <w:p w14:paraId="1E51BC6E">
            <w:pPr>
              <w:pStyle w:val="3"/>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项目地未进行声环境功能区划，由于项目位于农村地区，噪声适用《声环境质量标准》（GB3096-2008）中1类标准，标准值详见下表：</w:t>
            </w:r>
          </w:p>
          <w:p w14:paraId="74EDA60C">
            <w:pPr>
              <w:pStyle w:val="16"/>
              <w:rPr>
                <w:rFonts w:eastAsia="宋体"/>
              </w:rPr>
            </w:pPr>
            <w:r>
              <w:rPr>
                <w:rFonts w:eastAsia="宋体"/>
              </w:rPr>
              <w:t>表</w:t>
            </w:r>
            <w:r>
              <w:rPr>
                <w:rFonts w:hint="eastAsia" w:eastAsia="宋体"/>
              </w:rPr>
              <w:t>3-</w:t>
            </w:r>
            <w:r>
              <w:rPr>
                <w:rFonts w:hint="eastAsia" w:eastAsia="宋体"/>
                <w:lang w:val="en-US" w:eastAsia="zh-CN"/>
              </w:rPr>
              <w:t>5</w:t>
            </w:r>
            <w:r>
              <w:rPr>
                <w:rFonts w:hint="eastAsia" w:eastAsia="宋体"/>
              </w:rPr>
              <w:t xml:space="preserve">  </w:t>
            </w:r>
            <w:r>
              <w:rPr>
                <w:rFonts w:eastAsia="宋体"/>
              </w:rPr>
              <w:t>声环境质量标准</w:t>
            </w:r>
          </w:p>
          <w:tbl>
            <w:tblPr>
              <w:tblStyle w:val="1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16"/>
              <w:gridCol w:w="2712"/>
              <w:gridCol w:w="2629"/>
            </w:tblGrid>
            <w:tr w14:paraId="31611B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pct"/>
                  <w:vMerge w:val="restart"/>
                  <w:vAlign w:val="center"/>
                </w:tcPr>
                <w:p w14:paraId="1E0AFA76">
                  <w:pPr>
                    <w:pStyle w:val="17"/>
                    <w:rPr>
                      <w:rFonts w:eastAsia="宋体"/>
                      <w:b/>
                      <w:bCs/>
                    </w:rPr>
                  </w:pPr>
                  <w:r>
                    <w:rPr>
                      <w:rFonts w:eastAsia="宋体"/>
                      <w:b/>
                      <w:bCs/>
                    </w:rPr>
                    <w:t>类别</w:t>
                  </w:r>
                </w:p>
              </w:tc>
              <w:tc>
                <w:tcPr>
                  <w:tcW w:w="3580" w:type="pct"/>
                  <w:gridSpan w:val="2"/>
                  <w:vAlign w:val="center"/>
                </w:tcPr>
                <w:p w14:paraId="0B4BB6A4">
                  <w:pPr>
                    <w:pStyle w:val="17"/>
                    <w:rPr>
                      <w:rFonts w:eastAsia="宋体"/>
                      <w:b/>
                      <w:bCs/>
                    </w:rPr>
                  </w:pPr>
                  <w:r>
                    <w:rPr>
                      <w:rFonts w:eastAsia="宋体"/>
                      <w:b/>
                      <w:bCs/>
                    </w:rPr>
                    <w:t>标准限值dB(A)</w:t>
                  </w:r>
                </w:p>
              </w:tc>
            </w:tr>
            <w:tr w14:paraId="3465D0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pct"/>
                  <w:vMerge w:val="continue"/>
                  <w:vAlign w:val="center"/>
                </w:tcPr>
                <w:p w14:paraId="396FA19F">
                  <w:pPr>
                    <w:pStyle w:val="17"/>
                    <w:rPr>
                      <w:rFonts w:eastAsia="宋体"/>
                      <w:b/>
                      <w:bCs/>
                    </w:rPr>
                  </w:pPr>
                </w:p>
              </w:tc>
              <w:tc>
                <w:tcPr>
                  <w:tcW w:w="1818" w:type="pct"/>
                  <w:vAlign w:val="center"/>
                </w:tcPr>
                <w:p w14:paraId="70D2577E">
                  <w:pPr>
                    <w:pStyle w:val="17"/>
                    <w:rPr>
                      <w:rFonts w:eastAsia="宋体"/>
                      <w:b/>
                      <w:bCs/>
                    </w:rPr>
                  </w:pPr>
                  <w:r>
                    <w:rPr>
                      <w:rFonts w:eastAsia="宋体"/>
                      <w:b/>
                      <w:bCs/>
                    </w:rPr>
                    <w:t>昼间</w:t>
                  </w:r>
                </w:p>
              </w:tc>
              <w:tc>
                <w:tcPr>
                  <w:tcW w:w="1762" w:type="pct"/>
                  <w:vAlign w:val="center"/>
                </w:tcPr>
                <w:p w14:paraId="698AEEA0">
                  <w:pPr>
                    <w:pStyle w:val="17"/>
                    <w:rPr>
                      <w:rFonts w:eastAsia="宋体"/>
                      <w:b/>
                      <w:bCs/>
                    </w:rPr>
                  </w:pPr>
                  <w:r>
                    <w:rPr>
                      <w:rFonts w:eastAsia="宋体"/>
                      <w:b/>
                      <w:bCs/>
                    </w:rPr>
                    <w:t>夜间</w:t>
                  </w:r>
                </w:p>
              </w:tc>
            </w:tr>
            <w:tr w14:paraId="2080A2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pct"/>
                  <w:vAlign w:val="center"/>
                </w:tcPr>
                <w:p w14:paraId="362D4D16">
                  <w:pPr>
                    <w:pStyle w:val="17"/>
                    <w:rPr>
                      <w:rFonts w:eastAsia="宋体"/>
                    </w:rPr>
                  </w:pPr>
                  <w:r>
                    <w:rPr>
                      <w:rFonts w:hint="eastAsia" w:eastAsia="宋体"/>
                    </w:rPr>
                    <w:t>1类</w:t>
                  </w:r>
                </w:p>
              </w:tc>
              <w:tc>
                <w:tcPr>
                  <w:tcW w:w="1818" w:type="pct"/>
                  <w:vAlign w:val="center"/>
                </w:tcPr>
                <w:p w14:paraId="0AAFFD57">
                  <w:pPr>
                    <w:pStyle w:val="17"/>
                    <w:rPr>
                      <w:rFonts w:eastAsia="宋体"/>
                    </w:rPr>
                  </w:pPr>
                  <w:r>
                    <w:rPr>
                      <w:rFonts w:hint="eastAsia" w:eastAsia="宋体"/>
                    </w:rPr>
                    <w:t>55</w:t>
                  </w:r>
                </w:p>
              </w:tc>
              <w:tc>
                <w:tcPr>
                  <w:tcW w:w="1762" w:type="pct"/>
                  <w:vAlign w:val="center"/>
                </w:tcPr>
                <w:p w14:paraId="2BDC9C26">
                  <w:pPr>
                    <w:pStyle w:val="17"/>
                    <w:rPr>
                      <w:rFonts w:eastAsia="宋体"/>
                    </w:rPr>
                  </w:pPr>
                  <w:r>
                    <w:rPr>
                      <w:rFonts w:hint="eastAsia" w:eastAsia="宋体"/>
                    </w:rPr>
                    <w:t>45</w:t>
                  </w:r>
                </w:p>
              </w:tc>
            </w:tr>
          </w:tbl>
          <w:p w14:paraId="61566E08">
            <w:pPr>
              <w:pStyle w:val="3"/>
              <w:ind w:firstLine="480"/>
              <w:rPr>
                <w:rFonts w:eastAsia="宋体"/>
              </w:rPr>
            </w:pPr>
            <w:r>
              <w:rPr>
                <w:rFonts w:hint="eastAsia" w:eastAsia="宋体"/>
              </w:rPr>
              <w:t>（4）土壤</w:t>
            </w:r>
          </w:p>
          <w:p w14:paraId="54F96D31">
            <w:pPr>
              <w:pStyle w:val="3"/>
              <w:ind w:firstLine="480"/>
              <w:rPr>
                <w:rFonts w:hint="eastAsia" w:ascii="Times New Roman" w:hAnsi="Times New Roman" w:eastAsia="宋体" w:cs="Times New Roman"/>
                <w:color w:val="auto"/>
              </w:rPr>
            </w:pPr>
            <w:r>
              <w:rPr>
                <w:rFonts w:hint="eastAsia" w:eastAsia="宋体"/>
                <w:color w:val="auto"/>
                <w:lang w:val="en-US" w:eastAsia="zh-CN"/>
              </w:rPr>
              <w:t>项目用地为</w:t>
            </w:r>
            <w:r>
              <w:rPr>
                <w:rFonts w:hint="eastAsia" w:eastAsia="宋体"/>
                <w:color w:val="auto"/>
              </w:rPr>
              <w:t>临时用地，结束后，</w:t>
            </w:r>
            <w:r>
              <w:rPr>
                <w:rFonts w:hint="eastAsia" w:ascii="Times New Roman" w:hAnsi="Times New Roman" w:eastAsia="宋体" w:cs="Times New Roman"/>
                <w:color w:val="auto"/>
              </w:rPr>
              <w:t>恢复</w:t>
            </w:r>
            <w:r>
              <w:rPr>
                <w:rFonts w:hint="eastAsia" w:ascii="Times New Roman" w:hAnsi="Times New Roman" w:eastAsia="宋体" w:cs="Times New Roman"/>
                <w:color w:val="auto"/>
                <w:lang w:val="en-US" w:eastAsia="zh-CN"/>
              </w:rPr>
              <w:t>为</w:t>
            </w:r>
            <w:r>
              <w:rPr>
                <w:rFonts w:hint="eastAsia" w:ascii="Times New Roman" w:hAnsi="Times New Roman" w:eastAsia="宋体" w:cs="Times New Roman"/>
                <w:color w:val="auto"/>
              </w:rPr>
              <w:t>原来农用地</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执行《土壤环境质量 农用地土壤污染风险管控标准</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试行）</w:t>
            </w:r>
            <w:r>
              <w:rPr>
                <w:rFonts w:hint="eastAsia" w:ascii="Times New Roman" w:hAnsi="Times New Roman" w:eastAsia="宋体" w:cs="Times New Roman"/>
                <w:color w:val="auto"/>
              </w:rPr>
              <w:t>》（GB15618-2018）相关标准，</w:t>
            </w:r>
            <w:r>
              <w:rPr>
                <w:rFonts w:hint="eastAsia" w:ascii="Times New Roman" w:hAnsi="Times New Roman" w:eastAsia="宋体" w:cs="Times New Roman"/>
                <w:color w:val="auto"/>
                <w:lang w:val="en-US" w:eastAsia="zh-CN"/>
              </w:rPr>
              <w:t>特征因子</w:t>
            </w:r>
            <w:r>
              <w:rPr>
                <w:rFonts w:hint="eastAsia" w:ascii="Times New Roman" w:hAnsi="Times New Roman" w:eastAsia="宋体" w:cs="Times New Roman"/>
                <w:color w:val="auto"/>
              </w:rPr>
              <w:t xml:space="preserve">石油烃参照《土壤环境质量 </w:t>
            </w:r>
            <w:r>
              <w:rPr>
                <w:rFonts w:hint="eastAsia" w:eastAsia="宋体" w:cs="Times New Roman"/>
                <w:color w:val="auto"/>
                <w:lang w:val="en-US" w:eastAsia="zh-CN"/>
              </w:rPr>
              <w:t>建设用地</w:t>
            </w:r>
            <w:r>
              <w:rPr>
                <w:rFonts w:hint="eastAsia" w:ascii="Times New Roman" w:hAnsi="Times New Roman" w:eastAsia="宋体" w:cs="Times New Roman"/>
                <w:color w:val="auto"/>
              </w:rPr>
              <w:t>土壤污染风险管控标准</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试行）</w:t>
            </w:r>
            <w:r>
              <w:rPr>
                <w:rFonts w:hint="eastAsia" w:ascii="Times New Roman" w:hAnsi="Times New Roman" w:eastAsia="宋体" w:cs="Times New Roman"/>
                <w:color w:val="auto"/>
              </w:rPr>
              <w:t>》（GB15618-2018）相关标准。</w:t>
            </w:r>
          </w:p>
          <w:p w14:paraId="551F632F">
            <w:pPr>
              <w:pStyle w:val="16"/>
              <w:rPr>
                <w:rFonts w:eastAsia="宋体"/>
              </w:rPr>
            </w:pPr>
            <w:r>
              <w:rPr>
                <w:rFonts w:hint="eastAsia" w:eastAsia="宋体"/>
              </w:rPr>
              <w:t>表3-</w:t>
            </w:r>
            <w:r>
              <w:rPr>
                <w:rFonts w:hint="eastAsia" w:eastAsia="宋体"/>
                <w:lang w:val="en-US" w:eastAsia="zh-CN"/>
              </w:rPr>
              <w:t>6</w:t>
            </w:r>
            <w:r>
              <w:rPr>
                <w:rFonts w:hint="eastAsia" w:eastAsia="宋体"/>
              </w:rPr>
              <w:t xml:space="preserve">  土壤环境质量标准（农用地）  单位：mg/kg</w:t>
            </w:r>
          </w:p>
          <w:tbl>
            <w:tblPr>
              <w:tblStyle w:val="11"/>
              <w:tblW w:w="746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5"/>
              <w:gridCol w:w="842"/>
              <w:gridCol w:w="916"/>
              <w:gridCol w:w="1208"/>
              <w:gridCol w:w="1472"/>
              <w:gridCol w:w="1341"/>
              <w:gridCol w:w="942"/>
            </w:tblGrid>
            <w:tr w14:paraId="045B83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restart"/>
                  <w:tcBorders>
                    <w:tl2br w:val="nil"/>
                    <w:tr2bl w:val="nil"/>
                  </w:tcBorders>
                  <w:tcMar>
                    <w:left w:w="57" w:type="dxa"/>
                    <w:right w:w="57" w:type="dxa"/>
                  </w:tcMar>
                  <w:vAlign w:val="center"/>
                </w:tcPr>
                <w:p w14:paraId="679ACA7F">
                  <w:pPr>
                    <w:pStyle w:val="17"/>
                    <w:rPr>
                      <w:rFonts w:eastAsia="宋体"/>
                      <w:b/>
                      <w:bCs/>
                    </w:rPr>
                  </w:pPr>
                  <w:r>
                    <w:rPr>
                      <w:rFonts w:hint="eastAsia" w:eastAsia="宋体"/>
                      <w:b/>
                      <w:bCs/>
                    </w:rPr>
                    <w:t>序号</w:t>
                  </w:r>
                </w:p>
              </w:tc>
              <w:tc>
                <w:tcPr>
                  <w:tcW w:w="1758" w:type="dxa"/>
                  <w:gridSpan w:val="2"/>
                  <w:vMerge w:val="restart"/>
                  <w:tcBorders>
                    <w:tl2br w:val="nil"/>
                    <w:tr2bl w:val="nil"/>
                  </w:tcBorders>
                  <w:tcMar>
                    <w:left w:w="57" w:type="dxa"/>
                    <w:right w:w="57" w:type="dxa"/>
                  </w:tcMar>
                  <w:vAlign w:val="center"/>
                </w:tcPr>
                <w:p w14:paraId="68AAD953">
                  <w:pPr>
                    <w:pStyle w:val="17"/>
                    <w:rPr>
                      <w:rFonts w:eastAsia="宋体"/>
                      <w:b/>
                      <w:bCs/>
                    </w:rPr>
                  </w:pPr>
                  <w:r>
                    <w:rPr>
                      <w:rFonts w:hint="eastAsia" w:eastAsia="宋体"/>
                      <w:b/>
                      <w:bCs/>
                    </w:rPr>
                    <w:t>污染物项目</w:t>
                  </w:r>
                </w:p>
              </w:tc>
              <w:tc>
                <w:tcPr>
                  <w:tcW w:w="4963" w:type="dxa"/>
                  <w:gridSpan w:val="4"/>
                  <w:tcBorders>
                    <w:tl2br w:val="nil"/>
                    <w:tr2bl w:val="nil"/>
                  </w:tcBorders>
                  <w:tcMar>
                    <w:left w:w="57" w:type="dxa"/>
                    <w:right w:w="57" w:type="dxa"/>
                  </w:tcMar>
                  <w:vAlign w:val="center"/>
                </w:tcPr>
                <w:p w14:paraId="3CB17D32">
                  <w:pPr>
                    <w:pStyle w:val="17"/>
                    <w:rPr>
                      <w:rFonts w:eastAsia="宋体"/>
                      <w:b/>
                      <w:bCs/>
                    </w:rPr>
                  </w:pPr>
                  <w:r>
                    <w:rPr>
                      <w:rFonts w:hint="eastAsia" w:eastAsia="宋体"/>
                      <w:b/>
                      <w:bCs/>
                    </w:rPr>
                    <w:t>风险筛选值</w:t>
                  </w:r>
                </w:p>
              </w:tc>
            </w:tr>
            <w:tr w14:paraId="238439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continue"/>
                  <w:tcBorders>
                    <w:tl2br w:val="nil"/>
                    <w:tr2bl w:val="nil"/>
                  </w:tcBorders>
                  <w:tcMar>
                    <w:left w:w="57" w:type="dxa"/>
                    <w:right w:w="57" w:type="dxa"/>
                  </w:tcMar>
                  <w:vAlign w:val="center"/>
                </w:tcPr>
                <w:p w14:paraId="06A231D9">
                  <w:pPr>
                    <w:pStyle w:val="17"/>
                    <w:rPr>
                      <w:rFonts w:eastAsia="宋体"/>
                      <w:b/>
                      <w:bCs/>
                    </w:rPr>
                  </w:pPr>
                </w:p>
              </w:tc>
              <w:tc>
                <w:tcPr>
                  <w:tcW w:w="1758" w:type="dxa"/>
                  <w:gridSpan w:val="2"/>
                  <w:vMerge w:val="continue"/>
                  <w:tcBorders>
                    <w:tl2br w:val="nil"/>
                    <w:tr2bl w:val="nil"/>
                  </w:tcBorders>
                  <w:tcMar>
                    <w:left w:w="57" w:type="dxa"/>
                    <w:right w:w="57" w:type="dxa"/>
                  </w:tcMar>
                  <w:vAlign w:val="center"/>
                </w:tcPr>
                <w:p w14:paraId="4B59E6CE">
                  <w:pPr>
                    <w:pStyle w:val="17"/>
                    <w:rPr>
                      <w:rFonts w:eastAsia="宋体"/>
                      <w:b/>
                      <w:bCs/>
                    </w:rPr>
                  </w:pPr>
                </w:p>
              </w:tc>
              <w:tc>
                <w:tcPr>
                  <w:tcW w:w="1208" w:type="dxa"/>
                  <w:tcBorders>
                    <w:tl2br w:val="nil"/>
                    <w:tr2bl w:val="nil"/>
                  </w:tcBorders>
                  <w:tcMar>
                    <w:left w:w="57" w:type="dxa"/>
                    <w:right w:w="57" w:type="dxa"/>
                  </w:tcMar>
                  <w:vAlign w:val="center"/>
                </w:tcPr>
                <w:p w14:paraId="778E90E3">
                  <w:pPr>
                    <w:pStyle w:val="17"/>
                    <w:rPr>
                      <w:rFonts w:eastAsia="宋体"/>
                      <w:b/>
                      <w:bCs/>
                    </w:rPr>
                  </w:pPr>
                  <w:r>
                    <w:rPr>
                      <w:rFonts w:hint="eastAsia" w:eastAsia="宋体"/>
                      <w:b/>
                      <w:bCs/>
                    </w:rPr>
                    <w:t>pH≤5.5</w:t>
                  </w:r>
                </w:p>
              </w:tc>
              <w:tc>
                <w:tcPr>
                  <w:tcW w:w="1472" w:type="dxa"/>
                  <w:tcBorders>
                    <w:tl2br w:val="nil"/>
                    <w:tr2bl w:val="nil"/>
                  </w:tcBorders>
                  <w:tcMar>
                    <w:left w:w="57" w:type="dxa"/>
                    <w:right w:w="57" w:type="dxa"/>
                  </w:tcMar>
                  <w:vAlign w:val="center"/>
                </w:tcPr>
                <w:p w14:paraId="48ADAF66">
                  <w:pPr>
                    <w:pStyle w:val="17"/>
                    <w:rPr>
                      <w:rFonts w:eastAsia="宋体"/>
                      <w:b/>
                      <w:bCs/>
                    </w:rPr>
                  </w:pPr>
                  <w:r>
                    <w:rPr>
                      <w:rFonts w:hint="eastAsia" w:eastAsia="宋体"/>
                      <w:b/>
                      <w:bCs/>
                    </w:rPr>
                    <w:t>5.5＜pH≤6.5</w:t>
                  </w:r>
                </w:p>
              </w:tc>
              <w:tc>
                <w:tcPr>
                  <w:tcW w:w="1341" w:type="dxa"/>
                  <w:tcBorders>
                    <w:tl2br w:val="nil"/>
                    <w:tr2bl w:val="nil"/>
                  </w:tcBorders>
                  <w:tcMar>
                    <w:left w:w="57" w:type="dxa"/>
                    <w:right w:w="57" w:type="dxa"/>
                  </w:tcMar>
                  <w:vAlign w:val="center"/>
                </w:tcPr>
                <w:p w14:paraId="3459E9F0">
                  <w:pPr>
                    <w:pStyle w:val="17"/>
                    <w:rPr>
                      <w:rFonts w:eastAsia="宋体"/>
                      <w:b/>
                      <w:bCs/>
                    </w:rPr>
                  </w:pPr>
                  <w:r>
                    <w:rPr>
                      <w:rFonts w:hint="eastAsia" w:eastAsia="宋体"/>
                      <w:b/>
                      <w:bCs/>
                    </w:rPr>
                    <w:t>6.5＜pH≤7.5</w:t>
                  </w:r>
                </w:p>
              </w:tc>
              <w:tc>
                <w:tcPr>
                  <w:tcW w:w="942" w:type="dxa"/>
                  <w:tcBorders>
                    <w:tl2br w:val="nil"/>
                    <w:tr2bl w:val="nil"/>
                  </w:tcBorders>
                  <w:tcMar>
                    <w:left w:w="57" w:type="dxa"/>
                    <w:right w:w="57" w:type="dxa"/>
                  </w:tcMar>
                  <w:vAlign w:val="center"/>
                </w:tcPr>
                <w:p w14:paraId="6E596769">
                  <w:pPr>
                    <w:pStyle w:val="17"/>
                    <w:rPr>
                      <w:rFonts w:eastAsia="宋体"/>
                      <w:b/>
                      <w:bCs/>
                    </w:rPr>
                  </w:pPr>
                  <w:r>
                    <w:rPr>
                      <w:rFonts w:hint="eastAsia" w:eastAsia="宋体"/>
                      <w:b/>
                      <w:bCs/>
                    </w:rPr>
                    <w:t>pH＞7.5</w:t>
                  </w:r>
                </w:p>
              </w:tc>
            </w:tr>
            <w:tr w14:paraId="55F3B8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restart"/>
                  <w:tcBorders>
                    <w:tl2br w:val="nil"/>
                    <w:tr2bl w:val="nil"/>
                  </w:tcBorders>
                  <w:tcMar>
                    <w:left w:w="57" w:type="dxa"/>
                    <w:right w:w="57" w:type="dxa"/>
                  </w:tcMar>
                  <w:vAlign w:val="center"/>
                </w:tcPr>
                <w:p w14:paraId="1B040D04">
                  <w:pPr>
                    <w:pStyle w:val="17"/>
                    <w:rPr>
                      <w:rFonts w:eastAsia="宋体"/>
                    </w:rPr>
                  </w:pPr>
                  <w:r>
                    <w:rPr>
                      <w:rFonts w:hint="eastAsia" w:eastAsia="宋体"/>
                    </w:rPr>
                    <w:t>1</w:t>
                  </w:r>
                </w:p>
              </w:tc>
              <w:tc>
                <w:tcPr>
                  <w:tcW w:w="842" w:type="dxa"/>
                  <w:vMerge w:val="restart"/>
                  <w:tcBorders>
                    <w:tl2br w:val="nil"/>
                    <w:tr2bl w:val="nil"/>
                  </w:tcBorders>
                  <w:tcMar>
                    <w:left w:w="57" w:type="dxa"/>
                    <w:right w:w="57" w:type="dxa"/>
                  </w:tcMar>
                  <w:vAlign w:val="center"/>
                </w:tcPr>
                <w:p w14:paraId="6851F1DC">
                  <w:pPr>
                    <w:pStyle w:val="17"/>
                    <w:rPr>
                      <w:rFonts w:eastAsia="宋体"/>
                    </w:rPr>
                  </w:pPr>
                  <w:r>
                    <w:rPr>
                      <w:rFonts w:hint="eastAsia" w:eastAsia="宋体"/>
                    </w:rPr>
                    <w:t>镉</w:t>
                  </w:r>
                </w:p>
              </w:tc>
              <w:tc>
                <w:tcPr>
                  <w:tcW w:w="916" w:type="dxa"/>
                  <w:tcBorders>
                    <w:tl2br w:val="nil"/>
                    <w:tr2bl w:val="nil"/>
                  </w:tcBorders>
                  <w:tcMar>
                    <w:left w:w="57" w:type="dxa"/>
                    <w:right w:w="57" w:type="dxa"/>
                  </w:tcMar>
                  <w:vAlign w:val="center"/>
                </w:tcPr>
                <w:p w14:paraId="0C44FF8B">
                  <w:pPr>
                    <w:pStyle w:val="17"/>
                    <w:rPr>
                      <w:rFonts w:eastAsia="宋体"/>
                    </w:rPr>
                  </w:pPr>
                  <w:r>
                    <w:rPr>
                      <w:rFonts w:hint="eastAsia" w:eastAsia="宋体"/>
                    </w:rPr>
                    <w:t>水田</w:t>
                  </w:r>
                </w:p>
              </w:tc>
              <w:tc>
                <w:tcPr>
                  <w:tcW w:w="1208" w:type="dxa"/>
                  <w:tcBorders>
                    <w:tl2br w:val="nil"/>
                    <w:tr2bl w:val="nil"/>
                  </w:tcBorders>
                  <w:tcMar>
                    <w:left w:w="57" w:type="dxa"/>
                    <w:right w:w="57" w:type="dxa"/>
                  </w:tcMar>
                  <w:vAlign w:val="center"/>
                </w:tcPr>
                <w:p w14:paraId="5BF78BB4">
                  <w:pPr>
                    <w:pStyle w:val="17"/>
                    <w:rPr>
                      <w:rFonts w:eastAsia="宋体"/>
                    </w:rPr>
                  </w:pPr>
                  <w:r>
                    <w:rPr>
                      <w:rFonts w:hint="eastAsia" w:eastAsia="宋体"/>
                    </w:rPr>
                    <w:t>0.3</w:t>
                  </w:r>
                </w:p>
              </w:tc>
              <w:tc>
                <w:tcPr>
                  <w:tcW w:w="1472" w:type="dxa"/>
                  <w:tcBorders>
                    <w:tl2br w:val="nil"/>
                    <w:tr2bl w:val="nil"/>
                  </w:tcBorders>
                  <w:tcMar>
                    <w:left w:w="57" w:type="dxa"/>
                    <w:right w:w="57" w:type="dxa"/>
                  </w:tcMar>
                  <w:vAlign w:val="center"/>
                </w:tcPr>
                <w:p w14:paraId="327703F7">
                  <w:pPr>
                    <w:pStyle w:val="17"/>
                    <w:rPr>
                      <w:rFonts w:eastAsia="宋体"/>
                    </w:rPr>
                  </w:pPr>
                  <w:r>
                    <w:rPr>
                      <w:rFonts w:hint="eastAsia" w:eastAsia="宋体"/>
                    </w:rPr>
                    <w:t>0.4</w:t>
                  </w:r>
                </w:p>
              </w:tc>
              <w:tc>
                <w:tcPr>
                  <w:tcW w:w="1341" w:type="dxa"/>
                  <w:tcBorders>
                    <w:tl2br w:val="nil"/>
                    <w:tr2bl w:val="nil"/>
                  </w:tcBorders>
                  <w:tcMar>
                    <w:left w:w="57" w:type="dxa"/>
                    <w:right w:w="57" w:type="dxa"/>
                  </w:tcMar>
                  <w:vAlign w:val="center"/>
                </w:tcPr>
                <w:p w14:paraId="37AE0C6A">
                  <w:pPr>
                    <w:pStyle w:val="17"/>
                    <w:rPr>
                      <w:rFonts w:eastAsia="宋体"/>
                    </w:rPr>
                  </w:pPr>
                  <w:r>
                    <w:rPr>
                      <w:rFonts w:hint="eastAsia" w:eastAsia="宋体"/>
                    </w:rPr>
                    <w:t>0.6</w:t>
                  </w:r>
                </w:p>
              </w:tc>
              <w:tc>
                <w:tcPr>
                  <w:tcW w:w="942" w:type="dxa"/>
                  <w:tcBorders>
                    <w:tl2br w:val="nil"/>
                    <w:tr2bl w:val="nil"/>
                  </w:tcBorders>
                  <w:tcMar>
                    <w:left w:w="57" w:type="dxa"/>
                    <w:right w:w="57" w:type="dxa"/>
                  </w:tcMar>
                  <w:vAlign w:val="center"/>
                </w:tcPr>
                <w:p w14:paraId="36E9B26D">
                  <w:pPr>
                    <w:pStyle w:val="17"/>
                    <w:rPr>
                      <w:rFonts w:eastAsia="宋体"/>
                    </w:rPr>
                  </w:pPr>
                  <w:r>
                    <w:rPr>
                      <w:rFonts w:hint="eastAsia" w:eastAsia="宋体"/>
                    </w:rPr>
                    <w:t>0.8</w:t>
                  </w:r>
                </w:p>
              </w:tc>
            </w:tr>
            <w:tr w14:paraId="657819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continue"/>
                  <w:tcBorders>
                    <w:tl2br w:val="nil"/>
                    <w:tr2bl w:val="nil"/>
                  </w:tcBorders>
                  <w:tcMar>
                    <w:left w:w="57" w:type="dxa"/>
                    <w:right w:w="57" w:type="dxa"/>
                  </w:tcMar>
                  <w:vAlign w:val="center"/>
                </w:tcPr>
                <w:p w14:paraId="57D6F3C8">
                  <w:pPr>
                    <w:pStyle w:val="17"/>
                    <w:rPr>
                      <w:rFonts w:eastAsia="宋体"/>
                    </w:rPr>
                  </w:pPr>
                </w:p>
              </w:tc>
              <w:tc>
                <w:tcPr>
                  <w:tcW w:w="842" w:type="dxa"/>
                  <w:vMerge w:val="continue"/>
                  <w:tcBorders>
                    <w:tl2br w:val="nil"/>
                    <w:tr2bl w:val="nil"/>
                  </w:tcBorders>
                  <w:tcMar>
                    <w:left w:w="57" w:type="dxa"/>
                    <w:right w:w="57" w:type="dxa"/>
                  </w:tcMar>
                  <w:vAlign w:val="center"/>
                </w:tcPr>
                <w:p w14:paraId="5F4E976B">
                  <w:pPr>
                    <w:pStyle w:val="17"/>
                    <w:rPr>
                      <w:rFonts w:eastAsia="宋体"/>
                    </w:rPr>
                  </w:pPr>
                </w:p>
              </w:tc>
              <w:tc>
                <w:tcPr>
                  <w:tcW w:w="916" w:type="dxa"/>
                  <w:tcBorders>
                    <w:tl2br w:val="nil"/>
                    <w:tr2bl w:val="nil"/>
                  </w:tcBorders>
                  <w:tcMar>
                    <w:left w:w="57" w:type="dxa"/>
                    <w:right w:w="57" w:type="dxa"/>
                  </w:tcMar>
                  <w:vAlign w:val="center"/>
                </w:tcPr>
                <w:p w14:paraId="55B0F8BA">
                  <w:pPr>
                    <w:pStyle w:val="17"/>
                    <w:rPr>
                      <w:rFonts w:eastAsia="宋体"/>
                    </w:rPr>
                  </w:pPr>
                  <w:r>
                    <w:rPr>
                      <w:rFonts w:hint="eastAsia" w:eastAsia="宋体"/>
                    </w:rPr>
                    <w:t>其他</w:t>
                  </w:r>
                </w:p>
              </w:tc>
              <w:tc>
                <w:tcPr>
                  <w:tcW w:w="1208" w:type="dxa"/>
                  <w:tcBorders>
                    <w:tl2br w:val="nil"/>
                    <w:tr2bl w:val="nil"/>
                  </w:tcBorders>
                  <w:tcMar>
                    <w:left w:w="57" w:type="dxa"/>
                    <w:right w:w="57" w:type="dxa"/>
                  </w:tcMar>
                  <w:vAlign w:val="center"/>
                </w:tcPr>
                <w:p w14:paraId="14B36466">
                  <w:pPr>
                    <w:pStyle w:val="17"/>
                    <w:rPr>
                      <w:rFonts w:eastAsia="宋体"/>
                    </w:rPr>
                  </w:pPr>
                  <w:r>
                    <w:rPr>
                      <w:rFonts w:hint="eastAsia" w:eastAsia="宋体"/>
                    </w:rPr>
                    <w:t>0.3</w:t>
                  </w:r>
                </w:p>
              </w:tc>
              <w:tc>
                <w:tcPr>
                  <w:tcW w:w="1472" w:type="dxa"/>
                  <w:tcBorders>
                    <w:tl2br w:val="nil"/>
                    <w:tr2bl w:val="nil"/>
                  </w:tcBorders>
                  <w:tcMar>
                    <w:left w:w="57" w:type="dxa"/>
                    <w:right w:w="57" w:type="dxa"/>
                  </w:tcMar>
                  <w:vAlign w:val="center"/>
                </w:tcPr>
                <w:p w14:paraId="6FCD6D26">
                  <w:pPr>
                    <w:pStyle w:val="17"/>
                    <w:rPr>
                      <w:rFonts w:eastAsia="宋体"/>
                    </w:rPr>
                  </w:pPr>
                  <w:r>
                    <w:rPr>
                      <w:rFonts w:hint="eastAsia" w:eastAsia="宋体"/>
                    </w:rPr>
                    <w:t>0.3</w:t>
                  </w:r>
                </w:p>
              </w:tc>
              <w:tc>
                <w:tcPr>
                  <w:tcW w:w="1341" w:type="dxa"/>
                  <w:tcBorders>
                    <w:tl2br w:val="nil"/>
                    <w:tr2bl w:val="nil"/>
                  </w:tcBorders>
                  <w:tcMar>
                    <w:left w:w="57" w:type="dxa"/>
                    <w:right w:w="57" w:type="dxa"/>
                  </w:tcMar>
                  <w:vAlign w:val="center"/>
                </w:tcPr>
                <w:p w14:paraId="5563DA26">
                  <w:pPr>
                    <w:pStyle w:val="17"/>
                    <w:rPr>
                      <w:rFonts w:eastAsia="宋体"/>
                    </w:rPr>
                  </w:pPr>
                  <w:r>
                    <w:rPr>
                      <w:rFonts w:hint="eastAsia" w:eastAsia="宋体"/>
                    </w:rPr>
                    <w:t>0.3</w:t>
                  </w:r>
                </w:p>
              </w:tc>
              <w:tc>
                <w:tcPr>
                  <w:tcW w:w="942" w:type="dxa"/>
                  <w:tcBorders>
                    <w:tl2br w:val="nil"/>
                    <w:tr2bl w:val="nil"/>
                  </w:tcBorders>
                  <w:tcMar>
                    <w:left w:w="57" w:type="dxa"/>
                    <w:right w:w="57" w:type="dxa"/>
                  </w:tcMar>
                  <w:vAlign w:val="center"/>
                </w:tcPr>
                <w:p w14:paraId="4AF7F996">
                  <w:pPr>
                    <w:pStyle w:val="17"/>
                    <w:rPr>
                      <w:rFonts w:eastAsia="宋体"/>
                    </w:rPr>
                  </w:pPr>
                  <w:r>
                    <w:rPr>
                      <w:rFonts w:hint="eastAsia" w:eastAsia="宋体"/>
                    </w:rPr>
                    <w:t>0.6</w:t>
                  </w:r>
                </w:p>
              </w:tc>
            </w:tr>
            <w:tr w14:paraId="08433B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restart"/>
                  <w:tcBorders>
                    <w:tl2br w:val="nil"/>
                    <w:tr2bl w:val="nil"/>
                  </w:tcBorders>
                  <w:tcMar>
                    <w:left w:w="57" w:type="dxa"/>
                    <w:right w:w="57" w:type="dxa"/>
                  </w:tcMar>
                  <w:vAlign w:val="center"/>
                </w:tcPr>
                <w:p w14:paraId="536F3E31">
                  <w:pPr>
                    <w:pStyle w:val="17"/>
                    <w:rPr>
                      <w:rFonts w:eastAsia="宋体"/>
                    </w:rPr>
                  </w:pPr>
                  <w:r>
                    <w:rPr>
                      <w:rFonts w:hint="eastAsia" w:eastAsia="宋体"/>
                    </w:rPr>
                    <w:t>2</w:t>
                  </w:r>
                </w:p>
              </w:tc>
              <w:tc>
                <w:tcPr>
                  <w:tcW w:w="842" w:type="dxa"/>
                  <w:vMerge w:val="restart"/>
                  <w:tcBorders>
                    <w:tl2br w:val="nil"/>
                    <w:tr2bl w:val="nil"/>
                  </w:tcBorders>
                  <w:tcMar>
                    <w:left w:w="57" w:type="dxa"/>
                    <w:right w:w="57" w:type="dxa"/>
                  </w:tcMar>
                  <w:vAlign w:val="center"/>
                </w:tcPr>
                <w:p w14:paraId="0B43AE6D">
                  <w:pPr>
                    <w:pStyle w:val="17"/>
                    <w:rPr>
                      <w:rFonts w:eastAsia="宋体"/>
                    </w:rPr>
                  </w:pPr>
                  <w:r>
                    <w:rPr>
                      <w:rFonts w:hint="eastAsia" w:eastAsia="宋体"/>
                    </w:rPr>
                    <w:t>汞</w:t>
                  </w:r>
                </w:p>
              </w:tc>
              <w:tc>
                <w:tcPr>
                  <w:tcW w:w="916" w:type="dxa"/>
                  <w:tcBorders>
                    <w:tl2br w:val="nil"/>
                    <w:tr2bl w:val="nil"/>
                  </w:tcBorders>
                  <w:tcMar>
                    <w:left w:w="57" w:type="dxa"/>
                    <w:right w:w="57" w:type="dxa"/>
                  </w:tcMar>
                  <w:vAlign w:val="center"/>
                </w:tcPr>
                <w:p w14:paraId="52D74602">
                  <w:pPr>
                    <w:pStyle w:val="17"/>
                    <w:rPr>
                      <w:rFonts w:eastAsia="宋体"/>
                    </w:rPr>
                  </w:pPr>
                  <w:r>
                    <w:rPr>
                      <w:rFonts w:hint="eastAsia" w:eastAsia="宋体"/>
                    </w:rPr>
                    <w:t>水田</w:t>
                  </w:r>
                </w:p>
              </w:tc>
              <w:tc>
                <w:tcPr>
                  <w:tcW w:w="1208" w:type="dxa"/>
                  <w:tcBorders>
                    <w:tl2br w:val="nil"/>
                    <w:tr2bl w:val="nil"/>
                  </w:tcBorders>
                  <w:tcMar>
                    <w:left w:w="57" w:type="dxa"/>
                    <w:right w:w="57" w:type="dxa"/>
                  </w:tcMar>
                  <w:vAlign w:val="center"/>
                </w:tcPr>
                <w:p w14:paraId="71DAEABE">
                  <w:pPr>
                    <w:pStyle w:val="17"/>
                    <w:rPr>
                      <w:rFonts w:eastAsia="宋体"/>
                    </w:rPr>
                  </w:pPr>
                  <w:r>
                    <w:rPr>
                      <w:rFonts w:hint="eastAsia" w:eastAsia="宋体"/>
                    </w:rPr>
                    <w:t>0.5</w:t>
                  </w:r>
                </w:p>
              </w:tc>
              <w:tc>
                <w:tcPr>
                  <w:tcW w:w="1472" w:type="dxa"/>
                  <w:tcBorders>
                    <w:tl2br w:val="nil"/>
                    <w:tr2bl w:val="nil"/>
                  </w:tcBorders>
                  <w:tcMar>
                    <w:left w:w="57" w:type="dxa"/>
                    <w:right w:w="57" w:type="dxa"/>
                  </w:tcMar>
                  <w:vAlign w:val="center"/>
                </w:tcPr>
                <w:p w14:paraId="37C69382">
                  <w:pPr>
                    <w:pStyle w:val="17"/>
                    <w:rPr>
                      <w:rFonts w:eastAsia="宋体"/>
                    </w:rPr>
                  </w:pPr>
                  <w:r>
                    <w:rPr>
                      <w:rFonts w:hint="eastAsia" w:eastAsia="宋体"/>
                    </w:rPr>
                    <w:t>0.5</w:t>
                  </w:r>
                </w:p>
              </w:tc>
              <w:tc>
                <w:tcPr>
                  <w:tcW w:w="1341" w:type="dxa"/>
                  <w:tcBorders>
                    <w:tl2br w:val="nil"/>
                    <w:tr2bl w:val="nil"/>
                  </w:tcBorders>
                  <w:tcMar>
                    <w:left w:w="57" w:type="dxa"/>
                    <w:right w:w="57" w:type="dxa"/>
                  </w:tcMar>
                  <w:vAlign w:val="center"/>
                </w:tcPr>
                <w:p w14:paraId="12E54E17">
                  <w:pPr>
                    <w:pStyle w:val="17"/>
                    <w:rPr>
                      <w:rFonts w:eastAsia="宋体"/>
                    </w:rPr>
                  </w:pPr>
                  <w:r>
                    <w:rPr>
                      <w:rFonts w:hint="eastAsia" w:eastAsia="宋体"/>
                    </w:rPr>
                    <w:t>0.6</w:t>
                  </w:r>
                </w:p>
              </w:tc>
              <w:tc>
                <w:tcPr>
                  <w:tcW w:w="942" w:type="dxa"/>
                  <w:tcBorders>
                    <w:tl2br w:val="nil"/>
                    <w:tr2bl w:val="nil"/>
                  </w:tcBorders>
                  <w:tcMar>
                    <w:left w:w="57" w:type="dxa"/>
                    <w:right w:w="57" w:type="dxa"/>
                  </w:tcMar>
                  <w:vAlign w:val="center"/>
                </w:tcPr>
                <w:p w14:paraId="27D5719F">
                  <w:pPr>
                    <w:pStyle w:val="17"/>
                    <w:rPr>
                      <w:rFonts w:eastAsia="宋体"/>
                    </w:rPr>
                  </w:pPr>
                  <w:r>
                    <w:rPr>
                      <w:rFonts w:hint="eastAsia" w:eastAsia="宋体"/>
                    </w:rPr>
                    <w:t>1.0</w:t>
                  </w:r>
                </w:p>
              </w:tc>
            </w:tr>
            <w:tr w14:paraId="62B74F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continue"/>
                  <w:tcBorders>
                    <w:tl2br w:val="nil"/>
                    <w:tr2bl w:val="nil"/>
                  </w:tcBorders>
                  <w:tcMar>
                    <w:left w:w="57" w:type="dxa"/>
                    <w:right w:w="57" w:type="dxa"/>
                  </w:tcMar>
                  <w:vAlign w:val="center"/>
                </w:tcPr>
                <w:p w14:paraId="66D9F95E">
                  <w:pPr>
                    <w:pStyle w:val="17"/>
                    <w:rPr>
                      <w:rFonts w:eastAsia="宋体"/>
                    </w:rPr>
                  </w:pPr>
                </w:p>
              </w:tc>
              <w:tc>
                <w:tcPr>
                  <w:tcW w:w="842" w:type="dxa"/>
                  <w:vMerge w:val="continue"/>
                  <w:tcBorders>
                    <w:tl2br w:val="nil"/>
                    <w:tr2bl w:val="nil"/>
                  </w:tcBorders>
                  <w:tcMar>
                    <w:left w:w="57" w:type="dxa"/>
                    <w:right w:w="57" w:type="dxa"/>
                  </w:tcMar>
                  <w:vAlign w:val="center"/>
                </w:tcPr>
                <w:p w14:paraId="5D7814A7">
                  <w:pPr>
                    <w:pStyle w:val="17"/>
                    <w:rPr>
                      <w:rFonts w:eastAsia="宋体"/>
                    </w:rPr>
                  </w:pPr>
                </w:p>
              </w:tc>
              <w:tc>
                <w:tcPr>
                  <w:tcW w:w="916" w:type="dxa"/>
                  <w:tcBorders>
                    <w:tl2br w:val="nil"/>
                    <w:tr2bl w:val="nil"/>
                  </w:tcBorders>
                  <w:tcMar>
                    <w:left w:w="57" w:type="dxa"/>
                    <w:right w:w="57" w:type="dxa"/>
                  </w:tcMar>
                  <w:vAlign w:val="center"/>
                </w:tcPr>
                <w:p w14:paraId="66E8296D">
                  <w:pPr>
                    <w:pStyle w:val="17"/>
                    <w:rPr>
                      <w:rFonts w:eastAsia="宋体"/>
                    </w:rPr>
                  </w:pPr>
                  <w:r>
                    <w:rPr>
                      <w:rFonts w:hint="eastAsia" w:eastAsia="宋体"/>
                    </w:rPr>
                    <w:t>其他</w:t>
                  </w:r>
                </w:p>
              </w:tc>
              <w:tc>
                <w:tcPr>
                  <w:tcW w:w="1208" w:type="dxa"/>
                  <w:tcBorders>
                    <w:tl2br w:val="nil"/>
                    <w:tr2bl w:val="nil"/>
                  </w:tcBorders>
                  <w:tcMar>
                    <w:left w:w="57" w:type="dxa"/>
                    <w:right w:w="57" w:type="dxa"/>
                  </w:tcMar>
                  <w:vAlign w:val="center"/>
                </w:tcPr>
                <w:p w14:paraId="15952E27">
                  <w:pPr>
                    <w:pStyle w:val="17"/>
                    <w:rPr>
                      <w:rFonts w:eastAsia="宋体"/>
                    </w:rPr>
                  </w:pPr>
                  <w:r>
                    <w:rPr>
                      <w:rFonts w:hint="eastAsia" w:eastAsia="宋体"/>
                    </w:rPr>
                    <w:t>1.3</w:t>
                  </w:r>
                </w:p>
              </w:tc>
              <w:tc>
                <w:tcPr>
                  <w:tcW w:w="1472" w:type="dxa"/>
                  <w:tcBorders>
                    <w:tl2br w:val="nil"/>
                    <w:tr2bl w:val="nil"/>
                  </w:tcBorders>
                  <w:tcMar>
                    <w:left w:w="57" w:type="dxa"/>
                    <w:right w:w="57" w:type="dxa"/>
                  </w:tcMar>
                  <w:vAlign w:val="center"/>
                </w:tcPr>
                <w:p w14:paraId="4821292B">
                  <w:pPr>
                    <w:pStyle w:val="17"/>
                    <w:rPr>
                      <w:rFonts w:eastAsia="宋体"/>
                    </w:rPr>
                  </w:pPr>
                  <w:r>
                    <w:rPr>
                      <w:rFonts w:hint="eastAsia" w:eastAsia="宋体"/>
                    </w:rPr>
                    <w:t>1.8</w:t>
                  </w:r>
                </w:p>
              </w:tc>
              <w:tc>
                <w:tcPr>
                  <w:tcW w:w="1341" w:type="dxa"/>
                  <w:tcBorders>
                    <w:tl2br w:val="nil"/>
                    <w:tr2bl w:val="nil"/>
                  </w:tcBorders>
                  <w:tcMar>
                    <w:left w:w="57" w:type="dxa"/>
                    <w:right w:w="57" w:type="dxa"/>
                  </w:tcMar>
                  <w:vAlign w:val="center"/>
                </w:tcPr>
                <w:p w14:paraId="14D6F1BC">
                  <w:pPr>
                    <w:pStyle w:val="17"/>
                    <w:rPr>
                      <w:rFonts w:eastAsia="宋体"/>
                    </w:rPr>
                  </w:pPr>
                  <w:r>
                    <w:rPr>
                      <w:rFonts w:hint="eastAsia" w:eastAsia="宋体"/>
                    </w:rPr>
                    <w:t>2.4</w:t>
                  </w:r>
                </w:p>
              </w:tc>
              <w:tc>
                <w:tcPr>
                  <w:tcW w:w="942" w:type="dxa"/>
                  <w:tcBorders>
                    <w:tl2br w:val="nil"/>
                    <w:tr2bl w:val="nil"/>
                  </w:tcBorders>
                  <w:tcMar>
                    <w:left w:w="57" w:type="dxa"/>
                    <w:right w:w="57" w:type="dxa"/>
                  </w:tcMar>
                  <w:vAlign w:val="center"/>
                </w:tcPr>
                <w:p w14:paraId="3E4DB833">
                  <w:pPr>
                    <w:pStyle w:val="17"/>
                    <w:rPr>
                      <w:rFonts w:eastAsia="宋体"/>
                    </w:rPr>
                  </w:pPr>
                  <w:r>
                    <w:rPr>
                      <w:rFonts w:hint="eastAsia" w:eastAsia="宋体"/>
                    </w:rPr>
                    <w:t>3.4</w:t>
                  </w:r>
                </w:p>
              </w:tc>
            </w:tr>
            <w:tr w14:paraId="63807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restart"/>
                  <w:tcBorders>
                    <w:tl2br w:val="nil"/>
                    <w:tr2bl w:val="nil"/>
                  </w:tcBorders>
                  <w:tcMar>
                    <w:left w:w="57" w:type="dxa"/>
                    <w:right w:w="57" w:type="dxa"/>
                  </w:tcMar>
                  <w:vAlign w:val="center"/>
                </w:tcPr>
                <w:p w14:paraId="22CB23F4">
                  <w:pPr>
                    <w:pStyle w:val="17"/>
                    <w:rPr>
                      <w:rFonts w:eastAsia="宋体"/>
                    </w:rPr>
                  </w:pPr>
                  <w:r>
                    <w:rPr>
                      <w:rFonts w:hint="eastAsia" w:eastAsia="宋体"/>
                    </w:rPr>
                    <w:t>3</w:t>
                  </w:r>
                </w:p>
              </w:tc>
              <w:tc>
                <w:tcPr>
                  <w:tcW w:w="842" w:type="dxa"/>
                  <w:vMerge w:val="restart"/>
                  <w:tcBorders>
                    <w:tl2br w:val="nil"/>
                    <w:tr2bl w:val="nil"/>
                  </w:tcBorders>
                  <w:tcMar>
                    <w:left w:w="57" w:type="dxa"/>
                    <w:right w:w="57" w:type="dxa"/>
                  </w:tcMar>
                  <w:vAlign w:val="center"/>
                </w:tcPr>
                <w:p w14:paraId="09167719">
                  <w:pPr>
                    <w:pStyle w:val="17"/>
                    <w:rPr>
                      <w:rFonts w:eastAsia="宋体"/>
                    </w:rPr>
                  </w:pPr>
                  <w:r>
                    <w:rPr>
                      <w:rFonts w:hint="eastAsia" w:eastAsia="宋体"/>
                    </w:rPr>
                    <w:t>砷</w:t>
                  </w:r>
                </w:p>
              </w:tc>
              <w:tc>
                <w:tcPr>
                  <w:tcW w:w="916" w:type="dxa"/>
                  <w:tcBorders>
                    <w:tl2br w:val="nil"/>
                    <w:tr2bl w:val="nil"/>
                  </w:tcBorders>
                  <w:tcMar>
                    <w:left w:w="57" w:type="dxa"/>
                    <w:right w:w="57" w:type="dxa"/>
                  </w:tcMar>
                  <w:vAlign w:val="center"/>
                </w:tcPr>
                <w:p w14:paraId="7C9DCB94">
                  <w:pPr>
                    <w:pStyle w:val="17"/>
                    <w:rPr>
                      <w:rFonts w:eastAsia="宋体"/>
                    </w:rPr>
                  </w:pPr>
                  <w:r>
                    <w:rPr>
                      <w:rFonts w:hint="eastAsia" w:eastAsia="宋体"/>
                    </w:rPr>
                    <w:t>水田</w:t>
                  </w:r>
                </w:p>
              </w:tc>
              <w:tc>
                <w:tcPr>
                  <w:tcW w:w="1208" w:type="dxa"/>
                  <w:tcBorders>
                    <w:tl2br w:val="nil"/>
                    <w:tr2bl w:val="nil"/>
                  </w:tcBorders>
                  <w:tcMar>
                    <w:left w:w="57" w:type="dxa"/>
                    <w:right w:w="57" w:type="dxa"/>
                  </w:tcMar>
                  <w:vAlign w:val="center"/>
                </w:tcPr>
                <w:p w14:paraId="49513943">
                  <w:pPr>
                    <w:pStyle w:val="17"/>
                    <w:rPr>
                      <w:rFonts w:eastAsia="宋体"/>
                    </w:rPr>
                  </w:pPr>
                  <w:r>
                    <w:rPr>
                      <w:rFonts w:hint="eastAsia" w:eastAsia="宋体"/>
                    </w:rPr>
                    <w:t>30</w:t>
                  </w:r>
                </w:p>
              </w:tc>
              <w:tc>
                <w:tcPr>
                  <w:tcW w:w="1472" w:type="dxa"/>
                  <w:tcBorders>
                    <w:tl2br w:val="nil"/>
                    <w:tr2bl w:val="nil"/>
                  </w:tcBorders>
                  <w:tcMar>
                    <w:left w:w="57" w:type="dxa"/>
                    <w:right w:w="57" w:type="dxa"/>
                  </w:tcMar>
                  <w:vAlign w:val="center"/>
                </w:tcPr>
                <w:p w14:paraId="71C21EBC">
                  <w:pPr>
                    <w:pStyle w:val="17"/>
                    <w:rPr>
                      <w:rFonts w:eastAsia="宋体"/>
                    </w:rPr>
                  </w:pPr>
                  <w:r>
                    <w:rPr>
                      <w:rFonts w:hint="eastAsia" w:eastAsia="宋体"/>
                    </w:rPr>
                    <w:t>30</w:t>
                  </w:r>
                </w:p>
              </w:tc>
              <w:tc>
                <w:tcPr>
                  <w:tcW w:w="1341" w:type="dxa"/>
                  <w:tcBorders>
                    <w:tl2br w:val="nil"/>
                    <w:tr2bl w:val="nil"/>
                  </w:tcBorders>
                  <w:tcMar>
                    <w:left w:w="57" w:type="dxa"/>
                    <w:right w:w="57" w:type="dxa"/>
                  </w:tcMar>
                  <w:vAlign w:val="center"/>
                </w:tcPr>
                <w:p w14:paraId="629A0AB1">
                  <w:pPr>
                    <w:pStyle w:val="17"/>
                    <w:rPr>
                      <w:rFonts w:eastAsia="宋体"/>
                    </w:rPr>
                  </w:pPr>
                  <w:r>
                    <w:rPr>
                      <w:rFonts w:hint="eastAsia" w:eastAsia="宋体"/>
                    </w:rPr>
                    <w:t>25</w:t>
                  </w:r>
                </w:p>
              </w:tc>
              <w:tc>
                <w:tcPr>
                  <w:tcW w:w="942" w:type="dxa"/>
                  <w:tcBorders>
                    <w:tl2br w:val="nil"/>
                    <w:tr2bl w:val="nil"/>
                  </w:tcBorders>
                  <w:tcMar>
                    <w:left w:w="57" w:type="dxa"/>
                    <w:right w:w="57" w:type="dxa"/>
                  </w:tcMar>
                  <w:vAlign w:val="center"/>
                </w:tcPr>
                <w:p w14:paraId="28223DC9">
                  <w:pPr>
                    <w:pStyle w:val="17"/>
                    <w:rPr>
                      <w:rFonts w:eastAsia="宋体"/>
                    </w:rPr>
                  </w:pPr>
                  <w:r>
                    <w:rPr>
                      <w:rFonts w:hint="eastAsia" w:eastAsia="宋体"/>
                    </w:rPr>
                    <w:t>20</w:t>
                  </w:r>
                </w:p>
              </w:tc>
            </w:tr>
            <w:tr w14:paraId="38FF17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continue"/>
                  <w:tcBorders>
                    <w:tl2br w:val="nil"/>
                    <w:tr2bl w:val="nil"/>
                  </w:tcBorders>
                  <w:tcMar>
                    <w:left w:w="57" w:type="dxa"/>
                    <w:right w:w="57" w:type="dxa"/>
                  </w:tcMar>
                  <w:vAlign w:val="center"/>
                </w:tcPr>
                <w:p w14:paraId="7B7FBE31">
                  <w:pPr>
                    <w:pStyle w:val="17"/>
                    <w:rPr>
                      <w:rFonts w:eastAsia="宋体"/>
                    </w:rPr>
                  </w:pPr>
                </w:p>
              </w:tc>
              <w:tc>
                <w:tcPr>
                  <w:tcW w:w="842" w:type="dxa"/>
                  <w:vMerge w:val="continue"/>
                  <w:tcBorders>
                    <w:tl2br w:val="nil"/>
                    <w:tr2bl w:val="nil"/>
                  </w:tcBorders>
                  <w:tcMar>
                    <w:left w:w="57" w:type="dxa"/>
                    <w:right w:w="57" w:type="dxa"/>
                  </w:tcMar>
                  <w:vAlign w:val="center"/>
                </w:tcPr>
                <w:p w14:paraId="27866B91">
                  <w:pPr>
                    <w:pStyle w:val="17"/>
                    <w:rPr>
                      <w:rFonts w:eastAsia="宋体"/>
                    </w:rPr>
                  </w:pPr>
                </w:p>
              </w:tc>
              <w:tc>
                <w:tcPr>
                  <w:tcW w:w="916" w:type="dxa"/>
                  <w:tcBorders>
                    <w:tl2br w:val="nil"/>
                    <w:tr2bl w:val="nil"/>
                  </w:tcBorders>
                  <w:tcMar>
                    <w:left w:w="57" w:type="dxa"/>
                    <w:right w:w="57" w:type="dxa"/>
                  </w:tcMar>
                  <w:vAlign w:val="center"/>
                </w:tcPr>
                <w:p w14:paraId="55CDF1A0">
                  <w:pPr>
                    <w:pStyle w:val="17"/>
                    <w:rPr>
                      <w:rFonts w:eastAsia="宋体"/>
                    </w:rPr>
                  </w:pPr>
                  <w:r>
                    <w:rPr>
                      <w:rFonts w:hint="eastAsia" w:eastAsia="宋体"/>
                    </w:rPr>
                    <w:t>其他</w:t>
                  </w:r>
                </w:p>
              </w:tc>
              <w:tc>
                <w:tcPr>
                  <w:tcW w:w="1208" w:type="dxa"/>
                  <w:tcBorders>
                    <w:tl2br w:val="nil"/>
                    <w:tr2bl w:val="nil"/>
                  </w:tcBorders>
                  <w:tcMar>
                    <w:left w:w="57" w:type="dxa"/>
                    <w:right w:w="57" w:type="dxa"/>
                  </w:tcMar>
                  <w:vAlign w:val="center"/>
                </w:tcPr>
                <w:p w14:paraId="1D4D5D09">
                  <w:pPr>
                    <w:pStyle w:val="17"/>
                    <w:rPr>
                      <w:rFonts w:eastAsia="宋体"/>
                    </w:rPr>
                  </w:pPr>
                  <w:r>
                    <w:rPr>
                      <w:rFonts w:hint="eastAsia" w:eastAsia="宋体"/>
                    </w:rPr>
                    <w:t>40</w:t>
                  </w:r>
                </w:p>
              </w:tc>
              <w:tc>
                <w:tcPr>
                  <w:tcW w:w="1472" w:type="dxa"/>
                  <w:tcBorders>
                    <w:tl2br w:val="nil"/>
                    <w:tr2bl w:val="nil"/>
                  </w:tcBorders>
                  <w:tcMar>
                    <w:left w:w="57" w:type="dxa"/>
                    <w:right w:w="57" w:type="dxa"/>
                  </w:tcMar>
                  <w:vAlign w:val="center"/>
                </w:tcPr>
                <w:p w14:paraId="74795153">
                  <w:pPr>
                    <w:pStyle w:val="17"/>
                    <w:rPr>
                      <w:rFonts w:eastAsia="宋体"/>
                    </w:rPr>
                  </w:pPr>
                  <w:r>
                    <w:rPr>
                      <w:rFonts w:hint="eastAsia" w:eastAsia="宋体"/>
                    </w:rPr>
                    <w:t>40</w:t>
                  </w:r>
                </w:p>
              </w:tc>
              <w:tc>
                <w:tcPr>
                  <w:tcW w:w="1341" w:type="dxa"/>
                  <w:tcBorders>
                    <w:tl2br w:val="nil"/>
                    <w:tr2bl w:val="nil"/>
                  </w:tcBorders>
                  <w:tcMar>
                    <w:left w:w="57" w:type="dxa"/>
                    <w:right w:w="57" w:type="dxa"/>
                  </w:tcMar>
                  <w:vAlign w:val="center"/>
                </w:tcPr>
                <w:p w14:paraId="6173DE54">
                  <w:pPr>
                    <w:pStyle w:val="17"/>
                    <w:rPr>
                      <w:rFonts w:eastAsia="宋体"/>
                    </w:rPr>
                  </w:pPr>
                  <w:r>
                    <w:rPr>
                      <w:rFonts w:hint="eastAsia" w:eastAsia="宋体"/>
                    </w:rPr>
                    <w:t>30</w:t>
                  </w:r>
                </w:p>
              </w:tc>
              <w:tc>
                <w:tcPr>
                  <w:tcW w:w="942" w:type="dxa"/>
                  <w:tcBorders>
                    <w:tl2br w:val="nil"/>
                    <w:tr2bl w:val="nil"/>
                  </w:tcBorders>
                  <w:tcMar>
                    <w:left w:w="57" w:type="dxa"/>
                    <w:right w:w="57" w:type="dxa"/>
                  </w:tcMar>
                  <w:vAlign w:val="center"/>
                </w:tcPr>
                <w:p w14:paraId="387B24E6">
                  <w:pPr>
                    <w:pStyle w:val="17"/>
                    <w:rPr>
                      <w:rFonts w:eastAsia="宋体"/>
                    </w:rPr>
                  </w:pPr>
                  <w:r>
                    <w:rPr>
                      <w:rFonts w:hint="eastAsia" w:eastAsia="宋体"/>
                    </w:rPr>
                    <w:t>25</w:t>
                  </w:r>
                </w:p>
              </w:tc>
            </w:tr>
            <w:tr w14:paraId="71B1E6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restart"/>
                  <w:tcBorders>
                    <w:tl2br w:val="nil"/>
                    <w:tr2bl w:val="nil"/>
                  </w:tcBorders>
                  <w:tcMar>
                    <w:left w:w="57" w:type="dxa"/>
                    <w:right w:w="57" w:type="dxa"/>
                  </w:tcMar>
                  <w:vAlign w:val="center"/>
                </w:tcPr>
                <w:p w14:paraId="5688336F">
                  <w:pPr>
                    <w:pStyle w:val="17"/>
                    <w:rPr>
                      <w:rFonts w:eastAsia="宋体"/>
                    </w:rPr>
                  </w:pPr>
                  <w:r>
                    <w:rPr>
                      <w:rFonts w:hint="eastAsia" w:eastAsia="宋体"/>
                    </w:rPr>
                    <w:t>4</w:t>
                  </w:r>
                </w:p>
              </w:tc>
              <w:tc>
                <w:tcPr>
                  <w:tcW w:w="842" w:type="dxa"/>
                  <w:vMerge w:val="restart"/>
                  <w:tcBorders>
                    <w:tl2br w:val="nil"/>
                    <w:tr2bl w:val="nil"/>
                  </w:tcBorders>
                  <w:tcMar>
                    <w:left w:w="57" w:type="dxa"/>
                    <w:right w:w="57" w:type="dxa"/>
                  </w:tcMar>
                  <w:vAlign w:val="center"/>
                </w:tcPr>
                <w:p w14:paraId="529CADB7">
                  <w:pPr>
                    <w:pStyle w:val="17"/>
                    <w:rPr>
                      <w:rFonts w:eastAsia="宋体"/>
                    </w:rPr>
                  </w:pPr>
                  <w:r>
                    <w:rPr>
                      <w:rFonts w:hint="eastAsia" w:eastAsia="宋体"/>
                    </w:rPr>
                    <w:t>铅</w:t>
                  </w:r>
                </w:p>
              </w:tc>
              <w:tc>
                <w:tcPr>
                  <w:tcW w:w="916" w:type="dxa"/>
                  <w:tcBorders>
                    <w:tl2br w:val="nil"/>
                    <w:tr2bl w:val="nil"/>
                  </w:tcBorders>
                  <w:tcMar>
                    <w:left w:w="57" w:type="dxa"/>
                    <w:right w:w="57" w:type="dxa"/>
                  </w:tcMar>
                  <w:vAlign w:val="center"/>
                </w:tcPr>
                <w:p w14:paraId="513A2878">
                  <w:pPr>
                    <w:pStyle w:val="17"/>
                    <w:rPr>
                      <w:rFonts w:eastAsia="宋体"/>
                    </w:rPr>
                  </w:pPr>
                  <w:r>
                    <w:rPr>
                      <w:rFonts w:hint="eastAsia" w:eastAsia="宋体"/>
                    </w:rPr>
                    <w:t>水田</w:t>
                  </w:r>
                </w:p>
              </w:tc>
              <w:tc>
                <w:tcPr>
                  <w:tcW w:w="1208" w:type="dxa"/>
                  <w:tcBorders>
                    <w:tl2br w:val="nil"/>
                    <w:tr2bl w:val="nil"/>
                  </w:tcBorders>
                  <w:tcMar>
                    <w:left w:w="57" w:type="dxa"/>
                    <w:right w:w="57" w:type="dxa"/>
                  </w:tcMar>
                  <w:vAlign w:val="center"/>
                </w:tcPr>
                <w:p w14:paraId="69F2C116">
                  <w:pPr>
                    <w:pStyle w:val="17"/>
                    <w:rPr>
                      <w:rFonts w:eastAsia="宋体"/>
                    </w:rPr>
                  </w:pPr>
                  <w:r>
                    <w:rPr>
                      <w:rFonts w:hint="eastAsia" w:eastAsia="宋体"/>
                    </w:rPr>
                    <w:t>80</w:t>
                  </w:r>
                </w:p>
              </w:tc>
              <w:tc>
                <w:tcPr>
                  <w:tcW w:w="1472" w:type="dxa"/>
                  <w:tcBorders>
                    <w:tl2br w:val="nil"/>
                    <w:tr2bl w:val="nil"/>
                  </w:tcBorders>
                  <w:tcMar>
                    <w:left w:w="57" w:type="dxa"/>
                    <w:right w:w="57" w:type="dxa"/>
                  </w:tcMar>
                  <w:vAlign w:val="center"/>
                </w:tcPr>
                <w:p w14:paraId="4B434BAD">
                  <w:pPr>
                    <w:pStyle w:val="17"/>
                    <w:rPr>
                      <w:rFonts w:eastAsia="宋体"/>
                    </w:rPr>
                  </w:pPr>
                  <w:r>
                    <w:rPr>
                      <w:rFonts w:hint="eastAsia" w:eastAsia="宋体"/>
                    </w:rPr>
                    <w:t>100</w:t>
                  </w:r>
                </w:p>
              </w:tc>
              <w:tc>
                <w:tcPr>
                  <w:tcW w:w="1341" w:type="dxa"/>
                  <w:tcBorders>
                    <w:tl2br w:val="nil"/>
                    <w:tr2bl w:val="nil"/>
                  </w:tcBorders>
                  <w:tcMar>
                    <w:left w:w="57" w:type="dxa"/>
                    <w:right w:w="57" w:type="dxa"/>
                  </w:tcMar>
                  <w:vAlign w:val="center"/>
                </w:tcPr>
                <w:p w14:paraId="4E4045D9">
                  <w:pPr>
                    <w:pStyle w:val="17"/>
                    <w:rPr>
                      <w:rFonts w:eastAsia="宋体"/>
                    </w:rPr>
                  </w:pPr>
                  <w:r>
                    <w:rPr>
                      <w:rFonts w:hint="eastAsia" w:eastAsia="宋体"/>
                    </w:rPr>
                    <w:t>140</w:t>
                  </w:r>
                </w:p>
              </w:tc>
              <w:tc>
                <w:tcPr>
                  <w:tcW w:w="942" w:type="dxa"/>
                  <w:tcBorders>
                    <w:tl2br w:val="nil"/>
                    <w:tr2bl w:val="nil"/>
                  </w:tcBorders>
                  <w:tcMar>
                    <w:left w:w="57" w:type="dxa"/>
                    <w:right w:w="57" w:type="dxa"/>
                  </w:tcMar>
                  <w:vAlign w:val="center"/>
                </w:tcPr>
                <w:p w14:paraId="6BD6D327">
                  <w:pPr>
                    <w:pStyle w:val="17"/>
                    <w:rPr>
                      <w:rFonts w:eastAsia="宋体"/>
                    </w:rPr>
                  </w:pPr>
                  <w:r>
                    <w:rPr>
                      <w:rFonts w:hint="eastAsia" w:eastAsia="宋体"/>
                    </w:rPr>
                    <w:t>240</w:t>
                  </w:r>
                </w:p>
              </w:tc>
            </w:tr>
            <w:tr w14:paraId="4FE2A4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continue"/>
                  <w:tcBorders>
                    <w:tl2br w:val="nil"/>
                    <w:tr2bl w:val="nil"/>
                  </w:tcBorders>
                  <w:tcMar>
                    <w:left w:w="57" w:type="dxa"/>
                    <w:right w:w="57" w:type="dxa"/>
                  </w:tcMar>
                  <w:vAlign w:val="center"/>
                </w:tcPr>
                <w:p w14:paraId="700F9DB1">
                  <w:pPr>
                    <w:pStyle w:val="17"/>
                    <w:rPr>
                      <w:rFonts w:eastAsia="宋体"/>
                    </w:rPr>
                  </w:pPr>
                </w:p>
              </w:tc>
              <w:tc>
                <w:tcPr>
                  <w:tcW w:w="842" w:type="dxa"/>
                  <w:vMerge w:val="continue"/>
                  <w:tcBorders>
                    <w:tl2br w:val="nil"/>
                    <w:tr2bl w:val="nil"/>
                  </w:tcBorders>
                  <w:tcMar>
                    <w:left w:w="57" w:type="dxa"/>
                    <w:right w:w="57" w:type="dxa"/>
                  </w:tcMar>
                  <w:vAlign w:val="center"/>
                </w:tcPr>
                <w:p w14:paraId="3F13C36F">
                  <w:pPr>
                    <w:pStyle w:val="17"/>
                    <w:rPr>
                      <w:rFonts w:eastAsia="宋体"/>
                    </w:rPr>
                  </w:pPr>
                </w:p>
              </w:tc>
              <w:tc>
                <w:tcPr>
                  <w:tcW w:w="916" w:type="dxa"/>
                  <w:tcBorders>
                    <w:tl2br w:val="nil"/>
                    <w:tr2bl w:val="nil"/>
                  </w:tcBorders>
                  <w:tcMar>
                    <w:left w:w="57" w:type="dxa"/>
                    <w:right w:w="57" w:type="dxa"/>
                  </w:tcMar>
                  <w:vAlign w:val="center"/>
                </w:tcPr>
                <w:p w14:paraId="2F79C1DD">
                  <w:pPr>
                    <w:pStyle w:val="17"/>
                    <w:rPr>
                      <w:rFonts w:eastAsia="宋体"/>
                    </w:rPr>
                  </w:pPr>
                  <w:r>
                    <w:rPr>
                      <w:rFonts w:hint="eastAsia" w:eastAsia="宋体"/>
                    </w:rPr>
                    <w:t>其他</w:t>
                  </w:r>
                </w:p>
              </w:tc>
              <w:tc>
                <w:tcPr>
                  <w:tcW w:w="1208" w:type="dxa"/>
                  <w:tcBorders>
                    <w:tl2br w:val="nil"/>
                    <w:tr2bl w:val="nil"/>
                  </w:tcBorders>
                  <w:tcMar>
                    <w:left w:w="57" w:type="dxa"/>
                    <w:right w:w="57" w:type="dxa"/>
                  </w:tcMar>
                  <w:vAlign w:val="center"/>
                </w:tcPr>
                <w:p w14:paraId="6E1826ED">
                  <w:pPr>
                    <w:pStyle w:val="17"/>
                    <w:rPr>
                      <w:rFonts w:eastAsia="宋体"/>
                    </w:rPr>
                  </w:pPr>
                  <w:r>
                    <w:rPr>
                      <w:rFonts w:hint="eastAsia" w:eastAsia="宋体"/>
                    </w:rPr>
                    <w:t>70</w:t>
                  </w:r>
                </w:p>
              </w:tc>
              <w:tc>
                <w:tcPr>
                  <w:tcW w:w="1472" w:type="dxa"/>
                  <w:tcBorders>
                    <w:tl2br w:val="nil"/>
                    <w:tr2bl w:val="nil"/>
                  </w:tcBorders>
                  <w:tcMar>
                    <w:left w:w="57" w:type="dxa"/>
                    <w:right w:w="57" w:type="dxa"/>
                  </w:tcMar>
                  <w:vAlign w:val="center"/>
                </w:tcPr>
                <w:p w14:paraId="34D1DAF2">
                  <w:pPr>
                    <w:pStyle w:val="17"/>
                    <w:rPr>
                      <w:rFonts w:eastAsia="宋体"/>
                    </w:rPr>
                  </w:pPr>
                  <w:r>
                    <w:rPr>
                      <w:rFonts w:hint="eastAsia" w:eastAsia="宋体"/>
                    </w:rPr>
                    <w:t>90</w:t>
                  </w:r>
                </w:p>
              </w:tc>
              <w:tc>
                <w:tcPr>
                  <w:tcW w:w="1341" w:type="dxa"/>
                  <w:tcBorders>
                    <w:tl2br w:val="nil"/>
                    <w:tr2bl w:val="nil"/>
                  </w:tcBorders>
                  <w:tcMar>
                    <w:left w:w="57" w:type="dxa"/>
                    <w:right w:w="57" w:type="dxa"/>
                  </w:tcMar>
                  <w:vAlign w:val="center"/>
                </w:tcPr>
                <w:p w14:paraId="1BF6CDF7">
                  <w:pPr>
                    <w:pStyle w:val="17"/>
                    <w:rPr>
                      <w:rFonts w:eastAsia="宋体"/>
                    </w:rPr>
                  </w:pPr>
                  <w:r>
                    <w:rPr>
                      <w:rFonts w:hint="eastAsia" w:eastAsia="宋体"/>
                    </w:rPr>
                    <w:t>120</w:t>
                  </w:r>
                </w:p>
              </w:tc>
              <w:tc>
                <w:tcPr>
                  <w:tcW w:w="942" w:type="dxa"/>
                  <w:tcBorders>
                    <w:tl2br w:val="nil"/>
                    <w:tr2bl w:val="nil"/>
                  </w:tcBorders>
                  <w:tcMar>
                    <w:left w:w="57" w:type="dxa"/>
                    <w:right w:w="57" w:type="dxa"/>
                  </w:tcMar>
                  <w:vAlign w:val="center"/>
                </w:tcPr>
                <w:p w14:paraId="559B7E2D">
                  <w:pPr>
                    <w:pStyle w:val="17"/>
                    <w:rPr>
                      <w:rFonts w:eastAsia="宋体"/>
                    </w:rPr>
                  </w:pPr>
                  <w:r>
                    <w:rPr>
                      <w:rFonts w:hint="eastAsia" w:eastAsia="宋体"/>
                    </w:rPr>
                    <w:t>170</w:t>
                  </w:r>
                </w:p>
              </w:tc>
            </w:tr>
            <w:tr w14:paraId="3851A9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restart"/>
                  <w:tcBorders>
                    <w:tl2br w:val="nil"/>
                    <w:tr2bl w:val="nil"/>
                  </w:tcBorders>
                  <w:tcMar>
                    <w:left w:w="57" w:type="dxa"/>
                    <w:right w:w="57" w:type="dxa"/>
                  </w:tcMar>
                  <w:vAlign w:val="center"/>
                </w:tcPr>
                <w:p w14:paraId="39F80527">
                  <w:pPr>
                    <w:pStyle w:val="17"/>
                    <w:rPr>
                      <w:rFonts w:eastAsia="宋体"/>
                    </w:rPr>
                  </w:pPr>
                  <w:r>
                    <w:rPr>
                      <w:rFonts w:hint="eastAsia" w:eastAsia="宋体"/>
                    </w:rPr>
                    <w:t>5</w:t>
                  </w:r>
                </w:p>
              </w:tc>
              <w:tc>
                <w:tcPr>
                  <w:tcW w:w="842" w:type="dxa"/>
                  <w:vMerge w:val="restart"/>
                  <w:tcBorders>
                    <w:tl2br w:val="nil"/>
                    <w:tr2bl w:val="nil"/>
                  </w:tcBorders>
                  <w:tcMar>
                    <w:left w:w="57" w:type="dxa"/>
                    <w:right w:w="57" w:type="dxa"/>
                  </w:tcMar>
                  <w:vAlign w:val="center"/>
                </w:tcPr>
                <w:p w14:paraId="099B1B57">
                  <w:pPr>
                    <w:pStyle w:val="17"/>
                    <w:rPr>
                      <w:rFonts w:eastAsia="宋体"/>
                    </w:rPr>
                  </w:pPr>
                  <w:r>
                    <w:rPr>
                      <w:rFonts w:hint="eastAsia" w:eastAsia="宋体"/>
                    </w:rPr>
                    <w:t>铬</w:t>
                  </w:r>
                </w:p>
              </w:tc>
              <w:tc>
                <w:tcPr>
                  <w:tcW w:w="916" w:type="dxa"/>
                  <w:tcBorders>
                    <w:tl2br w:val="nil"/>
                    <w:tr2bl w:val="nil"/>
                  </w:tcBorders>
                  <w:tcMar>
                    <w:left w:w="57" w:type="dxa"/>
                    <w:right w:w="57" w:type="dxa"/>
                  </w:tcMar>
                  <w:vAlign w:val="center"/>
                </w:tcPr>
                <w:p w14:paraId="1279F5DD">
                  <w:pPr>
                    <w:pStyle w:val="17"/>
                    <w:rPr>
                      <w:rFonts w:eastAsia="宋体"/>
                    </w:rPr>
                  </w:pPr>
                  <w:r>
                    <w:rPr>
                      <w:rFonts w:hint="eastAsia" w:eastAsia="宋体"/>
                    </w:rPr>
                    <w:t>水田</w:t>
                  </w:r>
                </w:p>
              </w:tc>
              <w:tc>
                <w:tcPr>
                  <w:tcW w:w="1208" w:type="dxa"/>
                  <w:tcBorders>
                    <w:tl2br w:val="nil"/>
                    <w:tr2bl w:val="nil"/>
                  </w:tcBorders>
                  <w:tcMar>
                    <w:left w:w="57" w:type="dxa"/>
                    <w:right w:w="57" w:type="dxa"/>
                  </w:tcMar>
                  <w:vAlign w:val="center"/>
                </w:tcPr>
                <w:p w14:paraId="67FED8F6">
                  <w:pPr>
                    <w:pStyle w:val="17"/>
                    <w:rPr>
                      <w:rFonts w:eastAsia="宋体"/>
                    </w:rPr>
                  </w:pPr>
                  <w:r>
                    <w:rPr>
                      <w:rFonts w:hint="eastAsia" w:eastAsia="宋体"/>
                    </w:rPr>
                    <w:t>250</w:t>
                  </w:r>
                </w:p>
              </w:tc>
              <w:tc>
                <w:tcPr>
                  <w:tcW w:w="1472" w:type="dxa"/>
                  <w:tcBorders>
                    <w:tl2br w:val="nil"/>
                    <w:tr2bl w:val="nil"/>
                  </w:tcBorders>
                  <w:tcMar>
                    <w:left w:w="57" w:type="dxa"/>
                    <w:right w:w="57" w:type="dxa"/>
                  </w:tcMar>
                  <w:vAlign w:val="center"/>
                </w:tcPr>
                <w:p w14:paraId="7A1F25CB">
                  <w:pPr>
                    <w:pStyle w:val="17"/>
                    <w:rPr>
                      <w:rFonts w:eastAsia="宋体"/>
                    </w:rPr>
                  </w:pPr>
                  <w:r>
                    <w:rPr>
                      <w:rFonts w:hint="eastAsia" w:eastAsia="宋体"/>
                    </w:rPr>
                    <w:t>250</w:t>
                  </w:r>
                </w:p>
              </w:tc>
              <w:tc>
                <w:tcPr>
                  <w:tcW w:w="1341" w:type="dxa"/>
                  <w:tcBorders>
                    <w:tl2br w:val="nil"/>
                    <w:tr2bl w:val="nil"/>
                  </w:tcBorders>
                  <w:tcMar>
                    <w:left w:w="57" w:type="dxa"/>
                    <w:right w:w="57" w:type="dxa"/>
                  </w:tcMar>
                  <w:vAlign w:val="center"/>
                </w:tcPr>
                <w:p w14:paraId="468D89C6">
                  <w:pPr>
                    <w:pStyle w:val="17"/>
                    <w:rPr>
                      <w:rFonts w:eastAsia="宋体"/>
                    </w:rPr>
                  </w:pPr>
                  <w:r>
                    <w:rPr>
                      <w:rFonts w:hint="eastAsia" w:eastAsia="宋体"/>
                    </w:rPr>
                    <w:t>300</w:t>
                  </w:r>
                </w:p>
              </w:tc>
              <w:tc>
                <w:tcPr>
                  <w:tcW w:w="942" w:type="dxa"/>
                  <w:tcBorders>
                    <w:tl2br w:val="nil"/>
                    <w:tr2bl w:val="nil"/>
                  </w:tcBorders>
                  <w:tcMar>
                    <w:left w:w="57" w:type="dxa"/>
                    <w:right w:w="57" w:type="dxa"/>
                  </w:tcMar>
                  <w:vAlign w:val="center"/>
                </w:tcPr>
                <w:p w14:paraId="276E421A">
                  <w:pPr>
                    <w:pStyle w:val="17"/>
                    <w:rPr>
                      <w:rFonts w:eastAsia="宋体"/>
                    </w:rPr>
                  </w:pPr>
                  <w:r>
                    <w:rPr>
                      <w:rFonts w:hint="eastAsia" w:eastAsia="宋体"/>
                    </w:rPr>
                    <w:t>350</w:t>
                  </w:r>
                </w:p>
              </w:tc>
            </w:tr>
            <w:tr w14:paraId="763CB9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continue"/>
                  <w:tcBorders>
                    <w:tl2br w:val="nil"/>
                    <w:tr2bl w:val="nil"/>
                  </w:tcBorders>
                  <w:tcMar>
                    <w:left w:w="57" w:type="dxa"/>
                    <w:right w:w="57" w:type="dxa"/>
                  </w:tcMar>
                  <w:vAlign w:val="center"/>
                </w:tcPr>
                <w:p w14:paraId="5C027981">
                  <w:pPr>
                    <w:pStyle w:val="17"/>
                    <w:rPr>
                      <w:rFonts w:eastAsia="宋体"/>
                    </w:rPr>
                  </w:pPr>
                </w:p>
              </w:tc>
              <w:tc>
                <w:tcPr>
                  <w:tcW w:w="842" w:type="dxa"/>
                  <w:vMerge w:val="continue"/>
                  <w:tcBorders>
                    <w:tl2br w:val="nil"/>
                    <w:tr2bl w:val="nil"/>
                  </w:tcBorders>
                  <w:tcMar>
                    <w:left w:w="57" w:type="dxa"/>
                    <w:right w:w="57" w:type="dxa"/>
                  </w:tcMar>
                  <w:vAlign w:val="center"/>
                </w:tcPr>
                <w:p w14:paraId="4208080E">
                  <w:pPr>
                    <w:pStyle w:val="17"/>
                    <w:rPr>
                      <w:rFonts w:eastAsia="宋体"/>
                    </w:rPr>
                  </w:pPr>
                </w:p>
              </w:tc>
              <w:tc>
                <w:tcPr>
                  <w:tcW w:w="916" w:type="dxa"/>
                  <w:tcBorders>
                    <w:tl2br w:val="nil"/>
                    <w:tr2bl w:val="nil"/>
                  </w:tcBorders>
                  <w:tcMar>
                    <w:left w:w="57" w:type="dxa"/>
                    <w:right w:w="57" w:type="dxa"/>
                  </w:tcMar>
                  <w:vAlign w:val="center"/>
                </w:tcPr>
                <w:p w14:paraId="21DA833E">
                  <w:pPr>
                    <w:pStyle w:val="17"/>
                    <w:rPr>
                      <w:rFonts w:eastAsia="宋体"/>
                    </w:rPr>
                  </w:pPr>
                  <w:r>
                    <w:rPr>
                      <w:rFonts w:hint="eastAsia" w:eastAsia="宋体"/>
                    </w:rPr>
                    <w:t>其他</w:t>
                  </w:r>
                </w:p>
              </w:tc>
              <w:tc>
                <w:tcPr>
                  <w:tcW w:w="1208" w:type="dxa"/>
                  <w:tcBorders>
                    <w:tl2br w:val="nil"/>
                    <w:tr2bl w:val="nil"/>
                  </w:tcBorders>
                  <w:tcMar>
                    <w:left w:w="57" w:type="dxa"/>
                    <w:right w:w="57" w:type="dxa"/>
                  </w:tcMar>
                  <w:vAlign w:val="center"/>
                </w:tcPr>
                <w:p w14:paraId="0D29063D">
                  <w:pPr>
                    <w:pStyle w:val="17"/>
                    <w:rPr>
                      <w:rFonts w:eastAsia="宋体"/>
                    </w:rPr>
                  </w:pPr>
                  <w:r>
                    <w:rPr>
                      <w:rFonts w:hint="eastAsia" w:eastAsia="宋体"/>
                    </w:rPr>
                    <w:t>150</w:t>
                  </w:r>
                </w:p>
              </w:tc>
              <w:tc>
                <w:tcPr>
                  <w:tcW w:w="1472" w:type="dxa"/>
                  <w:tcBorders>
                    <w:tl2br w:val="nil"/>
                    <w:tr2bl w:val="nil"/>
                  </w:tcBorders>
                  <w:tcMar>
                    <w:left w:w="57" w:type="dxa"/>
                    <w:right w:w="57" w:type="dxa"/>
                  </w:tcMar>
                  <w:vAlign w:val="center"/>
                </w:tcPr>
                <w:p w14:paraId="1FEAC536">
                  <w:pPr>
                    <w:pStyle w:val="17"/>
                    <w:rPr>
                      <w:rFonts w:eastAsia="宋体"/>
                    </w:rPr>
                  </w:pPr>
                  <w:r>
                    <w:rPr>
                      <w:rFonts w:hint="eastAsia" w:eastAsia="宋体"/>
                    </w:rPr>
                    <w:t>150</w:t>
                  </w:r>
                </w:p>
              </w:tc>
              <w:tc>
                <w:tcPr>
                  <w:tcW w:w="1341" w:type="dxa"/>
                  <w:tcBorders>
                    <w:tl2br w:val="nil"/>
                    <w:tr2bl w:val="nil"/>
                  </w:tcBorders>
                  <w:tcMar>
                    <w:left w:w="57" w:type="dxa"/>
                    <w:right w:w="57" w:type="dxa"/>
                  </w:tcMar>
                  <w:vAlign w:val="center"/>
                </w:tcPr>
                <w:p w14:paraId="0B86D49C">
                  <w:pPr>
                    <w:pStyle w:val="17"/>
                    <w:rPr>
                      <w:rFonts w:eastAsia="宋体"/>
                    </w:rPr>
                  </w:pPr>
                  <w:r>
                    <w:rPr>
                      <w:rFonts w:hint="eastAsia" w:eastAsia="宋体"/>
                    </w:rPr>
                    <w:t>200</w:t>
                  </w:r>
                </w:p>
              </w:tc>
              <w:tc>
                <w:tcPr>
                  <w:tcW w:w="942" w:type="dxa"/>
                  <w:tcBorders>
                    <w:tl2br w:val="nil"/>
                    <w:tr2bl w:val="nil"/>
                  </w:tcBorders>
                  <w:tcMar>
                    <w:left w:w="57" w:type="dxa"/>
                    <w:right w:w="57" w:type="dxa"/>
                  </w:tcMar>
                  <w:vAlign w:val="center"/>
                </w:tcPr>
                <w:p w14:paraId="7B359330">
                  <w:pPr>
                    <w:pStyle w:val="17"/>
                    <w:rPr>
                      <w:rFonts w:eastAsia="宋体"/>
                    </w:rPr>
                  </w:pPr>
                  <w:r>
                    <w:rPr>
                      <w:rFonts w:hint="eastAsia" w:eastAsia="宋体"/>
                    </w:rPr>
                    <w:t>250</w:t>
                  </w:r>
                </w:p>
              </w:tc>
            </w:tr>
            <w:tr w14:paraId="6383D0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restart"/>
                  <w:tcBorders>
                    <w:tl2br w:val="nil"/>
                    <w:tr2bl w:val="nil"/>
                  </w:tcBorders>
                  <w:tcMar>
                    <w:left w:w="57" w:type="dxa"/>
                    <w:right w:w="57" w:type="dxa"/>
                  </w:tcMar>
                  <w:vAlign w:val="center"/>
                </w:tcPr>
                <w:p w14:paraId="198E8D69">
                  <w:pPr>
                    <w:pStyle w:val="17"/>
                    <w:rPr>
                      <w:rFonts w:eastAsia="宋体"/>
                    </w:rPr>
                  </w:pPr>
                  <w:r>
                    <w:rPr>
                      <w:rFonts w:hint="eastAsia" w:eastAsia="宋体"/>
                    </w:rPr>
                    <w:t>6</w:t>
                  </w:r>
                </w:p>
              </w:tc>
              <w:tc>
                <w:tcPr>
                  <w:tcW w:w="842" w:type="dxa"/>
                  <w:vMerge w:val="restart"/>
                  <w:tcBorders>
                    <w:tl2br w:val="nil"/>
                    <w:tr2bl w:val="nil"/>
                  </w:tcBorders>
                  <w:tcMar>
                    <w:left w:w="57" w:type="dxa"/>
                    <w:right w:w="57" w:type="dxa"/>
                  </w:tcMar>
                  <w:vAlign w:val="center"/>
                </w:tcPr>
                <w:p w14:paraId="0034A6C9">
                  <w:pPr>
                    <w:pStyle w:val="17"/>
                    <w:rPr>
                      <w:rFonts w:eastAsia="宋体"/>
                    </w:rPr>
                  </w:pPr>
                  <w:r>
                    <w:rPr>
                      <w:rFonts w:hint="eastAsia" w:eastAsia="宋体"/>
                    </w:rPr>
                    <w:t>铜</w:t>
                  </w:r>
                </w:p>
              </w:tc>
              <w:tc>
                <w:tcPr>
                  <w:tcW w:w="916" w:type="dxa"/>
                  <w:tcBorders>
                    <w:tl2br w:val="nil"/>
                    <w:tr2bl w:val="nil"/>
                  </w:tcBorders>
                  <w:tcMar>
                    <w:left w:w="57" w:type="dxa"/>
                    <w:right w:w="57" w:type="dxa"/>
                  </w:tcMar>
                  <w:vAlign w:val="center"/>
                </w:tcPr>
                <w:p w14:paraId="3A719221">
                  <w:pPr>
                    <w:pStyle w:val="17"/>
                    <w:rPr>
                      <w:rFonts w:eastAsia="宋体"/>
                    </w:rPr>
                  </w:pPr>
                  <w:r>
                    <w:rPr>
                      <w:rFonts w:hint="eastAsia" w:eastAsia="宋体"/>
                    </w:rPr>
                    <w:t>果园</w:t>
                  </w:r>
                </w:p>
              </w:tc>
              <w:tc>
                <w:tcPr>
                  <w:tcW w:w="1208" w:type="dxa"/>
                  <w:tcBorders>
                    <w:tl2br w:val="nil"/>
                    <w:tr2bl w:val="nil"/>
                  </w:tcBorders>
                  <w:tcMar>
                    <w:left w:w="57" w:type="dxa"/>
                    <w:right w:w="57" w:type="dxa"/>
                  </w:tcMar>
                  <w:vAlign w:val="center"/>
                </w:tcPr>
                <w:p w14:paraId="535E0F58">
                  <w:pPr>
                    <w:pStyle w:val="17"/>
                    <w:rPr>
                      <w:rFonts w:eastAsia="宋体"/>
                    </w:rPr>
                  </w:pPr>
                  <w:r>
                    <w:rPr>
                      <w:rFonts w:hint="eastAsia" w:eastAsia="宋体"/>
                    </w:rPr>
                    <w:t>150</w:t>
                  </w:r>
                </w:p>
              </w:tc>
              <w:tc>
                <w:tcPr>
                  <w:tcW w:w="1472" w:type="dxa"/>
                  <w:tcBorders>
                    <w:tl2br w:val="nil"/>
                    <w:tr2bl w:val="nil"/>
                  </w:tcBorders>
                  <w:tcMar>
                    <w:left w:w="57" w:type="dxa"/>
                    <w:right w:w="57" w:type="dxa"/>
                  </w:tcMar>
                  <w:vAlign w:val="center"/>
                </w:tcPr>
                <w:p w14:paraId="2DF8861D">
                  <w:pPr>
                    <w:pStyle w:val="17"/>
                    <w:rPr>
                      <w:rFonts w:eastAsia="宋体"/>
                    </w:rPr>
                  </w:pPr>
                  <w:r>
                    <w:rPr>
                      <w:rFonts w:hint="eastAsia" w:eastAsia="宋体"/>
                    </w:rPr>
                    <w:t>150</w:t>
                  </w:r>
                </w:p>
              </w:tc>
              <w:tc>
                <w:tcPr>
                  <w:tcW w:w="1341" w:type="dxa"/>
                  <w:tcBorders>
                    <w:tl2br w:val="nil"/>
                    <w:tr2bl w:val="nil"/>
                  </w:tcBorders>
                  <w:tcMar>
                    <w:left w:w="57" w:type="dxa"/>
                    <w:right w:w="57" w:type="dxa"/>
                  </w:tcMar>
                  <w:vAlign w:val="center"/>
                </w:tcPr>
                <w:p w14:paraId="18D99154">
                  <w:pPr>
                    <w:pStyle w:val="17"/>
                    <w:rPr>
                      <w:rFonts w:eastAsia="宋体"/>
                    </w:rPr>
                  </w:pPr>
                  <w:r>
                    <w:rPr>
                      <w:rFonts w:hint="eastAsia" w:eastAsia="宋体"/>
                    </w:rPr>
                    <w:t>200</w:t>
                  </w:r>
                </w:p>
              </w:tc>
              <w:tc>
                <w:tcPr>
                  <w:tcW w:w="942" w:type="dxa"/>
                  <w:tcBorders>
                    <w:tl2br w:val="nil"/>
                    <w:tr2bl w:val="nil"/>
                  </w:tcBorders>
                  <w:tcMar>
                    <w:left w:w="57" w:type="dxa"/>
                    <w:right w:w="57" w:type="dxa"/>
                  </w:tcMar>
                  <w:vAlign w:val="center"/>
                </w:tcPr>
                <w:p w14:paraId="1F51EBE9">
                  <w:pPr>
                    <w:pStyle w:val="17"/>
                    <w:rPr>
                      <w:rFonts w:eastAsia="宋体"/>
                    </w:rPr>
                  </w:pPr>
                  <w:r>
                    <w:rPr>
                      <w:rFonts w:hint="eastAsia" w:eastAsia="宋体"/>
                    </w:rPr>
                    <w:t>200</w:t>
                  </w:r>
                </w:p>
              </w:tc>
            </w:tr>
            <w:tr w14:paraId="150B42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continue"/>
                  <w:tcBorders>
                    <w:tl2br w:val="nil"/>
                    <w:tr2bl w:val="nil"/>
                  </w:tcBorders>
                  <w:tcMar>
                    <w:left w:w="57" w:type="dxa"/>
                    <w:right w:w="57" w:type="dxa"/>
                  </w:tcMar>
                  <w:vAlign w:val="center"/>
                </w:tcPr>
                <w:p w14:paraId="1D0B3406">
                  <w:pPr>
                    <w:pStyle w:val="17"/>
                    <w:rPr>
                      <w:rFonts w:eastAsia="宋体"/>
                    </w:rPr>
                  </w:pPr>
                </w:p>
              </w:tc>
              <w:tc>
                <w:tcPr>
                  <w:tcW w:w="842" w:type="dxa"/>
                  <w:vMerge w:val="continue"/>
                  <w:tcBorders>
                    <w:tl2br w:val="nil"/>
                    <w:tr2bl w:val="nil"/>
                  </w:tcBorders>
                  <w:tcMar>
                    <w:left w:w="57" w:type="dxa"/>
                    <w:right w:w="57" w:type="dxa"/>
                  </w:tcMar>
                  <w:vAlign w:val="center"/>
                </w:tcPr>
                <w:p w14:paraId="34DE0AC1">
                  <w:pPr>
                    <w:pStyle w:val="17"/>
                    <w:rPr>
                      <w:rFonts w:eastAsia="宋体"/>
                    </w:rPr>
                  </w:pPr>
                </w:p>
              </w:tc>
              <w:tc>
                <w:tcPr>
                  <w:tcW w:w="916" w:type="dxa"/>
                  <w:tcBorders>
                    <w:tl2br w:val="nil"/>
                    <w:tr2bl w:val="nil"/>
                  </w:tcBorders>
                  <w:tcMar>
                    <w:left w:w="57" w:type="dxa"/>
                    <w:right w:w="57" w:type="dxa"/>
                  </w:tcMar>
                  <w:vAlign w:val="center"/>
                </w:tcPr>
                <w:p w14:paraId="4B156BFD">
                  <w:pPr>
                    <w:pStyle w:val="17"/>
                    <w:rPr>
                      <w:rFonts w:eastAsia="宋体"/>
                    </w:rPr>
                  </w:pPr>
                  <w:r>
                    <w:rPr>
                      <w:rFonts w:hint="eastAsia" w:eastAsia="宋体"/>
                    </w:rPr>
                    <w:t>其他</w:t>
                  </w:r>
                </w:p>
              </w:tc>
              <w:tc>
                <w:tcPr>
                  <w:tcW w:w="1208" w:type="dxa"/>
                  <w:tcBorders>
                    <w:tl2br w:val="nil"/>
                    <w:tr2bl w:val="nil"/>
                  </w:tcBorders>
                  <w:tcMar>
                    <w:left w:w="57" w:type="dxa"/>
                    <w:right w:w="57" w:type="dxa"/>
                  </w:tcMar>
                  <w:vAlign w:val="center"/>
                </w:tcPr>
                <w:p w14:paraId="508EA52A">
                  <w:pPr>
                    <w:pStyle w:val="17"/>
                    <w:rPr>
                      <w:rFonts w:eastAsia="宋体"/>
                    </w:rPr>
                  </w:pPr>
                  <w:r>
                    <w:rPr>
                      <w:rFonts w:hint="eastAsia" w:eastAsia="宋体"/>
                    </w:rPr>
                    <w:t>50</w:t>
                  </w:r>
                </w:p>
              </w:tc>
              <w:tc>
                <w:tcPr>
                  <w:tcW w:w="1472" w:type="dxa"/>
                  <w:tcBorders>
                    <w:tl2br w:val="nil"/>
                    <w:tr2bl w:val="nil"/>
                  </w:tcBorders>
                  <w:tcMar>
                    <w:left w:w="57" w:type="dxa"/>
                    <w:right w:w="57" w:type="dxa"/>
                  </w:tcMar>
                  <w:vAlign w:val="center"/>
                </w:tcPr>
                <w:p w14:paraId="2DCBD752">
                  <w:pPr>
                    <w:pStyle w:val="17"/>
                    <w:rPr>
                      <w:rFonts w:eastAsia="宋体"/>
                    </w:rPr>
                  </w:pPr>
                  <w:r>
                    <w:rPr>
                      <w:rFonts w:hint="eastAsia" w:eastAsia="宋体"/>
                    </w:rPr>
                    <w:t>50</w:t>
                  </w:r>
                </w:p>
              </w:tc>
              <w:tc>
                <w:tcPr>
                  <w:tcW w:w="1341" w:type="dxa"/>
                  <w:tcBorders>
                    <w:tl2br w:val="nil"/>
                    <w:tr2bl w:val="nil"/>
                  </w:tcBorders>
                  <w:tcMar>
                    <w:left w:w="57" w:type="dxa"/>
                    <w:right w:w="57" w:type="dxa"/>
                  </w:tcMar>
                  <w:vAlign w:val="center"/>
                </w:tcPr>
                <w:p w14:paraId="78F6AFD8">
                  <w:pPr>
                    <w:pStyle w:val="17"/>
                    <w:rPr>
                      <w:rFonts w:eastAsia="宋体"/>
                    </w:rPr>
                  </w:pPr>
                  <w:r>
                    <w:rPr>
                      <w:rFonts w:hint="eastAsia" w:eastAsia="宋体"/>
                    </w:rPr>
                    <w:t>100</w:t>
                  </w:r>
                </w:p>
              </w:tc>
              <w:tc>
                <w:tcPr>
                  <w:tcW w:w="942" w:type="dxa"/>
                  <w:tcBorders>
                    <w:tl2br w:val="nil"/>
                    <w:tr2bl w:val="nil"/>
                  </w:tcBorders>
                  <w:tcMar>
                    <w:left w:w="57" w:type="dxa"/>
                    <w:right w:w="57" w:type="dxa"/>
                  </w:tcMar>
                  <w:vAlign w:val="center"/>
                </w:tcPr>
                <w:p w14:paraId="00EDEE74">
                  <w:pPr>
                    <w:pStyle w:val="17"/>
                    <w:rPr>
                      <w:rFonts w:eastAsia="宋体"/>
                    </w:rPr>
                  </w:pPr>
                  <w:r>
                    <w:rPr>
                      <w:rFonts w:hint="eastAsia" w:eastAsia="宋体"/>
                    </w:rPr>
                    <w:t>100</w:t>
                  </w:r>
                </w:p>
              </w:tc>
            </w:tr>
            <w:tr w14:paraId="74DD63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tcBorders>
                    <w:tl2br w:val="nil"/>
                    <w:tr2bl w:val="nil"/>
                  </w:tcBorders>
                  <w:tcMar>
                    <w:left w:w="57" w:type="dxa"/>
                    <w:right w:w="57" w:type="dxa"/>
                  </w:tcMar>
                  <w:vAlign w:val="center"/>
                </w:tcPr>
                <w:p w14:paraId="2CF14BF6">
                  <w:pPr>
                    <w:pStyle w:val="17"/>
                    <w:rPr>
                      <w:rFonts w:eastAsia="宋体"/>
                    </w:rPr>
                  </w:pPr>
                  <w:r>
                    <w:rPr>
                      <w:rFonts w:hint="eastAsia" w:eastAsia="宋体"/>
                    </w:rPr>
                    <w:t>7</w:t>
                  </w:r>
                </w:p>
              </w:tc>
              <w:tc>
                <w:tcPr>
                  <w:tcW w:w="1758" w:type="dxa"/>
                  <w:gridSpan w:val="2"/>
                  <w:tcBorders>
                    <w:tl2br w:val="nil"/>
                    <w:tr2bl w:val="nil"/>
                  </w:tcBorders>
                  <w:tcMar>
                    <w:left w:w="57" w:type="dxa"/>
                    <w:right w:w="57" w:type="dxa"/>
                  </w:tcMar>
                  <w:vAlign w:val="center"/>
                </w:tcPr>
                <w:p w14:paraId="24177706">
                  <w:pPr>
                    <w:pStyle w:val="17"/>
                    <w:rPr>
                      <w:rFonts w:eastAsia="宋体"/>
                    </w:rPr>
                  </w:pPr>
                  <w:r>
                    <w:rPr>
                      <w:rFonts w:hint="eastAsia" w:eastAsia="宋体"/>
                    </w:rPr>
                    <w:t>镍</w:t>
                  </w:r>
                </w:p>
              </w:tc>
              <w:tc>
                <w:tcPr>
                  <w:tcW w:w="1208" w:type="dxa"/>
                  <w:tcBorders>
                    <w:tl2br w:val="nil"/>
                    <w:tr2bl w:val="nil"/>
                  </w:tcBorders>
                  <w:tcMar>
                    <w:left w:w="57" w:type="dxa"/>
                    <w:right w:w="57" w:type="dxa"/>
                  </w:tcMar>
                  <w:vAlign w:val="center"/>
                </w:tcPr>
                <w:p w14:paraId="612BAC7A">
                  <w:pPr>
                    <w:pStyle w:val="17"/>
                    <w:rPr>
                      <w:rFonts w:eastAsia="宋体"/>
                    </w:rPr>
                  </w:pPr>
                  <w:r>
                    <w:rPr>
                      <w:rFonts w:hint="eastAsia" w:eastAsia="宋体"/>
                    </w:rPr>
                    <w:t>60</w:t>
                  </w:r>
                </w:p>
              </w:tc>
              <w:tc>
                <w:tcPr>
                  <w:tcW w:w="1472" w:type="dxa"/>
                  <w:tcBorders>
                    <w:tl2br w:val="nil"/>
                    <w:tr2bl w:val="nil"/>
                  </w:tcBorders>
                  <w:tcMar>
                    <w:left w:w="57" w:type="dxa"/>
                    <w:right w:w="57" w:type="dxa"/>
                  </w:tcMar>
                  <w:vAlign w:val="center"/>
                </w:tcPr>
                <w:p w14:paraId="5298C5BA">
                  <w:pPr>
                    <w:pStyle w:val="17"/>
                    <w:rPr>
                      <w:rFonts w:eastAsia="宋体"/>
                    </w:rPr>
                  </w:pPr>
                  <w:r>
                    <w:rPr>
                      <w:rFonts w:hint="eastAsia" w:eastAsia="宋体"/>
                    </w:rPr>
                    <w:t>70</w:t>
                  </w:r>
                </w:p>
              </w:tc>
              <w:tc>
                <w:tcPr>
                  <w:tcW w:w="1341" w:type="dxa"/>
                  <w:tcBorders>
                    <w:tl2br w:val="nil"/>
                    <w:tr2bl w:val="nil"/>
                  </w:tcBorders>
                  <w:tcMar>
                    <w:left w:w="57" w:type="dxa"/>
                    <w:right w:w="57" w:type="dxa"/>
                  </w:tcMar>
                  <w:vAlign w:val="center"/>
                </w:tcPr>
                <w:p w14:paraId="46FD27F4">
                  <w:pPr>
                    <w:pStyle w:val="17"/>
                    <w:rPr>
                      <w:rFonts w:eastAsia="宋体"/>
                    </w:rPr>
                  </w:pPr>
                  <w:r>
                    <w:rPr>
                      <w:rFonts w:hint="eastAsia" w:eastAsia="宋体"/>
                    </w:rPr>
                    <w:t>100</w:t>
                  </w:r>
                </w:p>
              </w:tc>
              <w:tc>
                <w:tcPr>
                  <w:tcW w:w="942" w:type="dxa"/>
                  <w:tcBorders>
                    <w:tl2br w:val="nil"/>
                    <w:tr2bl w:val="nil"/>
                  </w:tcBorders>
                  <w:tcMar>
                    <w:left w:w="57" w:type="dxa"/>
                    <w:right w:w="57" w:type="dxa"/>
                  </w:tcMar>
                  <w:vAlign w:val="center"/>
                </w:tcPr>
                <w:p w14:paraId="0AF3BD35">
                  <w:pPr>
                    <w:pStyle w:val="17"/>
                    <w:rPr>
                      <w:rFonts w:eastAsia="宋体"/>
                    </w:rPr>
                  </w:pPr>
                  <w:r>
                    <w:rPr>
                      <w:rFonts w:hint="eastAsia" w:eastAsia="宋体"/>
                    </w:rPr>
                    <w:t>190</w:t>
                  </w:r>
                </w:p>
              </w:tc>
            </w:tr>
            <w:tr w14:paraId="4E74B7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tcBorders>
                    <w:tl2br w:val="nil"/>
                    <w:tr2bl w:val="nil"/>
                  </w:tcBorders>
                  <w:tcMar>
                    <w:left w:w="57" w:type="dxa"/>
                    <w:right w:w="57" w:type="dxa"/>
                  </w:tcMar>
                  <w:vAlign w:val="center"/>
                </w:tcPr>
                <w:p w14:paraId="21B95D68">
                  <w:pPr>
                    <w:pStyle w:val="17"/>
                    <w:rPr>
                      <w:rFonts w:eastAsia="宋体"/>
                    </w:rPr>
                  </w:pPr>
                  <w:r>
                    <w:rPr>
                      <w:rFonts w:hint="eastAsia" w:eastAsia="宋体"/>
                    </w:rPr>
                    <w:t>8</w:t>
                  </w:r>
                </w:p>
              </w:tc>
              <w:tc>
                <w:tcPr>
                  <w:tcW w:w="1758" w:type="dxa"/>
                  <w:gridSpan w:val="2"/>
                  <w:tcBorders>
                    <w:tl2br w:val="nil"/>
                    <w:tr2bl w:val="nil"/>
                  </w:tcBorders>
                  <w:tcMar>
                    <w:left w:w="57" w:type="dxa"/>
                    <w:right w:w="57" w:type="dxa"/>
                  </w:tcMar>
                  <w:vAlign w:val="center"/>
                </w:tcPr>
                <w:p w14:paraId="7302A9A4">
                  <w:pPr>
                    <w:pStyle w:val="17"/>
                    <w:rPr>
                      <w:rFonts w:eastAsia="宋体"/>
                    </w:rPr>
                  </w:pPr>
                  <w:r>
                    <w:rPr>
                      <w:rFonts w:hint="eastAsia" w:eastAsia="宋体"/>
                    </w:rPr>
                    <w:t>锌</w:t>
                  </w:r>
                </w:p>
              </w:tc>
              <w:tc>
                <w:tcPr>
                  <w:tcW w:w="1208" w:type="dxa"/>
                  <w:tcBorders>
                    <w:tl2br w:val="nil"/>
                    <w:tr2bl w:val="nil"/>
                  </w:tcBorders>
                  <w:tcMar>
                    <w:left w:w="57" w:type="dxa"/>
                    <w:right w:w="57" w:type="dxa"/>
                  </w:tcMar>
                  <w:vAlign w:val="center"/>
                </w:tcPr>
                <w:p w14:paraId="4AA82F14">
                  <w:pPr>
                    <w:pStyle w:val="17"/>
                    <w:rPr>
                      <w:rFonts w:eastAsia="宋体"/>
                    </w:rPr>
                  </w:pPr>
                  <w:r>
                    <w:rPr>
                      <w:rFonts w:hint="eastAsia" w:eastAsia="宋体"/>
                    </w:rPr>
                    <w:t>200</w:t>
                  </w:r>
                </w:p>
              </w:tc>
              <w:tc>
                <w:tcPr>
                  <w:tcW w:w="1472" w:type="dxa"/>
                  <w:tcBorders>
                    <w:tl2br w:val="nil"/>
                    <w:tr2bl w:val="nil"/>
                  </w:tcBorders>
                  <w:tcMar>
                    <w:left w:w="57" w:type="dxa"/>
                    <w:right w:w="57" w:type="dxa"/>
                  </w:tcMar>
                  <w:vAlign w:val="center"/>
                </w:tcPr>
                <w:p w14:paraId="310E05EF">
                  <w:pPr>
                    <w:pStyle w:val="17"/>
                    <w:rPr>
                      <w:rFonts w:eastAsia="宋体"/>
                    </w:rPr>
                  </w:pPr>
                  <w:r>
                    <w:rPr>
                      <w:rFonts w:hint="eastAsia" w:eastAsia="宋体"/>
                    </w:rPr>
                    <w:t>200</w:t>
                  </w:r>
                </w:p>
              </w:tc>
              <w:tc>
                <w:tcPr>
                  <w:tcW w:w="1341" w:type="dxa"/>
                  <w:tcBorders>
                    <w:tl2br w:val="nil"/>
                    <w:tr2bl w:val="nil"/>
                  </w:tcBorders>
                  <w:tcMar>
                    <w:left w:w="57" w:type="dxa"/>
                    <w:right w:w="57" w:type="dxa"/>
                  </w:tcMar>
                  <w:vAlign w:val="center"/>
                </w:tcPr>
                <w:p w14:paraId="1B53C13F">
                  <w:pPr>
                    <w:pStyle w:val="17"/>
                    <w:rPr>
                      <w:rFonts w:eastAsia="宋体"/>
                    </w:rPr>
                  </w:pPr>
                  <w:r>
                    <w:rPr>
                      <w:rFonts w:hint="eastAsia" w:eastAsia="宋体"/>
                    </w:rPr>
                    <w:t>250</w:t>
                  </w:r>
                </w:p>
              </w:tc>
              <w:tc>
                <w:tcPr>
                  <w:tcW w:w="942" w:type="dxa"/>
                  <w:tcBorders>
                    <w:tl2br w:val="nil"/>
                    <w:tr2bl w:val="nil"/>
                  </w:tcBorders>
                  <w:tcMar>
                    <w:left w:w="57" w:type="dxa"/>
                    <w:right w:w="57" w:type="dxa"/>
                  </w:tcMar>
                  <w:vAlign w:val="center"/>
                </w:tcPr>
                <w:p w14:paraId="30908FF6">
                  <w:pPr>
                    <w:pStyle w:val="17"/>
                    <w:rPr>
                      <w:rFonts w:eastAsia="宋体"/>
                    </w:rPr>
                  </w:pPr>
                  <w:r>
                    <w:rPr>
                      <w:rFonts w:hint="eastAsia" w:eastAsia="宋体"/>
                    </w:rPr>
                    <w:t>300</w:t>
                  </w:r>
                </w:p>
              </w:tc>
            </w:tr>
            <w:tr w14:paraId="38D70E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tcBorders>
                    <w:tl2br w:val="nil"/>
                    <w:tr2bl w:val="nil"/>
                  </w:tcBorders>
                  <w:tcMar>
                    <w:left w:w="57" w:type="dxa"/>
                    <w:right w:w="57" w:type="dxa"/>
                  </w:tcMar>
                  <w:vAlign w:val="center"/>
                </w:tcPr>
                <w:p w14:paraId="7A2804A4">
                  <w:pPr>
                    <w:widowControl/>
                    <w:adjustRightInd w:val="0"/>
                    <w:snapToGrid w:val="0"/>
                    <w:spacing w:line="240" w:lineRule="auto"/>
                    <w:ind w:firstLine="0" w:firstLineChars="0"/>
                    <w:jc w:val="center"/>
                    <w:rPr>
                      <w:rFonts w:hint="default" w:eastAsia="宋体" w:cs="Times New Roman"/>
                      <w:sz w:val="21"/>
                      <w:szCs w:val="21"/>
                      <w:lang w:val="en-US" w:eastAsia="zh-CN"/>
                    </w:rPr>
                  </w:pPr>
                </w:p>
              </w:tc>
              <w:tc>
                <w:tcPr>
                  <w:tcW w:w="1758" w:type="dxa"/>
                  <w:gridSpan w:val="2"/>
                  <w:tcBorders>
                    <w:tl2br w:val="nil"/>
                    <w:tr2bl w:val="nil"/>
                  </w:tcBorders>
                  <w:tcMar>
                    <w:left w:w="57" w:type="dxa"/>
                    <w:right w:w="57" w:type="dxa"/>
                  </w:tcMar>
                  <w:vAlign w:val="center"/>
                </w:tcPr>
                <w:p w14:paraId="6F2A2F8E">
                  <w:pPr>
                    <w:widowControl/>
                    <w:adjustRightInd w:val="0"/>
                    <w:snapToGrid w:val="0"/>
                    <w:spacing w:line="240" w:lineRule="auto"/>
                    <w:ind w:firstLine="0" w:firstLineChars="0"/>
                    <w:jc w:val="center"/>
                    <w:rPr>
                      <w:rFonts w:hint="eastAsia" w:eastAsia="宋体" w:cs="Times New Roman"/>
                      <w:sz w:val="21"/>
                      <w:szCs w:val="21"/>
                      <w:lang w:val="en-US" w:eastAsia="zh-CN"/>
                    </w:rPr>
                  </w:pPr>
                </w:p>
              </w:tc>
              <w:tc>
                <w:tcPr>
                  <w:tcW w:w="2680" w:type="dxa"/>
                  <w:gridSpan w:val="2"/>
                  <w:tcBorders>
                    <w:tl2br w:val="nil"/>
                    <w:tr2bl w:val="nil"/>
                  </w:tcBorders>
                  <w:tcMar>
                    <w:left w:w="57" w:type="dxa"/>
                    <w:right w:w="57" w:type="dxa"/>
                  </w:tcMar>
                  <w:vAlign w:val="center"/>
                </w:tcPr>
                <w:p w14:paraId="7B2B0719">
                  <w:pPr>
                    <w:widowControl/>
                    <w:adjustRightInd w:val="0"/>
                    <w:snapToGrid w:val="0"/>
                    <w:spacing w:line="240" w:lineRule="auto"/>
                    <w:ind w:firstLine="0" w:firstLineChars="0"/>
                    <w:jc w:val="center"/>
                    <w:rPr>
                      <w:rFonts w:hint="default" w:eastAsia="宋体" w:cs="Times New Roman"/>
                      <w:sz w:val="21"/>
                      <w:szCs w:val="21"/>
                      <w:lang w:val="en-US" w:eastAsia="zh-CN"/>
                    </w:rPr>
                  </w:pPr>
                  <w:r>
                    <w:rPr>
                      <w:rFonts w:hint="eastAsia" w:cs="Times New Roman"/>
                      <w:sz w:val="21"/>
                      <w:szCs w:val="21"/>
                      <w:lang w:val="en-US" w:eastAsia="zh-CN"/>
                    </w:rPr>
                    <w:t>筛选值</w:t>
                  </w:r>
                </w:p>
              </w:tc>
              <w:tc>
                <w:tcPr>
                  <w:tcW w:w="2283" w:type="dxa"/>
                  <w:gridSpan w:val="2"/>
                  <w:tcBorders>
                    <w:tl2br w:val="nil"/>
                    <w:tr2bl w:val="nil"/>
                  </w:tcBorders>
                  <w:tcMar>
                    <w:left w:w="57" w:type="dxa"/>
                    <w:right w:w="57" w:type="dxa"/>
                  </w:tcMar>
                  <w:vAlign w:val="center"/>
                </w:tcPr>
                <w:p w14:paraId="407F768D">
                  <w:pPr>
                    <w:widowControl/>
                    <w:adjustRightInd w:val="0"/>
                    <w:snapToGrid w:val="0"/>
                    <w:spacing w:line="240" w:lineRule="auto"/>
                    <w:ind w:firstLine="0" w:firstLineChars="0"/>
                    <w:jc w:val="center"/>
                    <w:rPr>
                      <w:rFonts w:cs="Times New Roman"/>
                      <w:sz w:val="21"/>
                      <w:szCs w:val="21"/>
                    </w:rPr>
                  </w:pPr>
                  <w:r>
                    <w:rPr>
                      <w:rFonts w:hint="eastAsia" w:cs="Times New Roman"/>
                      <w:sz w:val="21"/>
                      <w:szCs w:val="21"/>
                      <w:lang w:val="en-US" w:eastAsia="zh-CN"/>
                    </w:rPr>
                    <w:t>管制值</w:t>
                  </w:r>
                </w:p>
              </w:tc>
            </w:tr>
            <w:tr w14:paraId="2EA634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tcBorders>
                    <w:tl2br w:val="nil"/>
                    <w:tr2bl w:val="nil"/>
                  </w:tcBorders>
                  <w:tcMar>
                    <w:left w:w="57" w:type="dxa"/>
                    <w:right w:w="57" w:type="dxa"/>
                  </w:tcMar>
                  <w:vAlign w:val="center"/>
                </w:tcPr>
                <w:p w14:paraId="1D7231E7">
                  <w:pPr>
                    <w:widowControl/>
                    <w:adjustRightInd w:val="0"/>
                    <w:snapToGrid w:val="0"/>
                    <w:spacing w:line="240" w:lineRule="auto"/>
                    <w:ind w:firstLine="0" w:firstLineChars="0"/>
                    <w:jc w:val="center"/>
                    <w:rPr>
                      <w:rFonts w:hint="eastAsia" w:cs="Times New Roman"/>
                      <w:sz w:val="21"/>
                      <w:szCs w:val="21"/>
                      <w:lang w:val="en-US" w:eastAsia="zh-CN"/>
                    </w:rPr>
                  </w:pPr>
                </w:p>
              </w:tc>
              <w:tc>
                <w:tcPr>
                  <w:tcW w:w="1758" w:type="dxa"/>
                  <w:gridSpan w:val="2"/>
                  <w:tcBorders>
                    <w:tl2br w:val="nil"/>
                    <w:tr2bl w:val="nil"/>
                  </w:tcBorders>
                  <w:tcMar>
                    <w:left w:w="57" w:type="dxa"/>
                    <w:right w:w="57" w:type="dxa"/>
                  </w:tcMar>
                  <w:vAlign w:val="center"/>
                </w:tcPr>
                <w:p w14:paraId="77AD9888">
                  <w:pPr>
                    <w:widowControl/>
                    <w:adjustRightInd w:val="0"/>
                    <w:snapToGrid w:val="0"/>
                    <w:spacing w:line="240" w:lineRule="auto"/>
                    <w:ind w:firstLine="0" w:firstLineChars="0"/>
                    <w:jc w:val="center"/>
                    <w:rPr>
                      <w:rFonts w:cs="Times New Roman"/>
                      <w:sz w:val="21"/>
                      <w:szCs w:val="21"/>
                    </w:rPr>
                  </w:pPr>
                </w:p>
              </w:tc>
              <w:tc>
                <w:tcPr>
                  <w:tcW w:w="2680" w:type="dxa"/>
                  <w:gridSpan w:val="2"/>
                  <w:tcBorders>
                    <w:tl2br w:val="nil"/>
                    <w:tr2bl w:val="nil"/>
                  </w:tcBorders>
                  <w:tcMar>
                    <w:left w:w="57" w:type="dxa"/>
                    <w:right w:w="57" w:type="dxa"/>
                  </w:tcMar>
                  <w:vAlign w:val="center"/>
                </w:tcPr>
                <w:p w14:paraId="1152CF38">
                  <w:pPr>
                    <w:widowControl/>
                    <w:adjustRightInd w:val="0"/>
                    <w:snapToGrid w:val="0"/>
                    <w:spacing w:line="240" w:lineRule="auto"/>
                    <w:ind w:firstLine="0" w:firstLineChars="0"/>
                    <w:jc w:val="center"/>
                    <w:rPr>
                      <w:rFonts w:hint="default" w:cs="Times New Roman"/>
                      <w:sz w:val="21"/>
                      <w:szCs w:val="21"/>
                      <w:lang w:val="en-US" w:eastAsia="zh-CN"/>
                    </w:rPr>
                  </w:pPr>
                  <w:r>
                    <w:rPr>
                      <w:rFonts w:hint="eastAsia" w:cs="Times New Roman"/>
                      <w:sz w:val="21"/>
                      <w:szCs w:val="21"/>
                      <w:lang w:val="en-US" w:eastAsia="zh-CN"/>
                    </w:rPr>
                    <w:t>第二类用地</w:t>
                  </w:r>
                </w:p>
              </w:tc>
              <w:tc>
                <w:tcPr>
                  <w:tcW w:w="2283" w:type="dxa"/>
                  <w:gridSpan w:val="2"/>
                  <w:tcBorders>
                    <w:tl2br w:val="nil"/>
                    <w:tr2bl w:val="nil"/>
                  </w:tcBorders>
                  <w:tcMar>
                    <w:left w:w="57" w:type="dxa"/>
                    <w:right w:w="57" w:type="dxa"/>
                  </w:tcMar>
                  <w:vAlign w:val="center"/>
                </w:tcPr>
                <w:p w14:paraId="0DF3583C">
                  <w:pPr>
                    <w:widowControl/>
                    <w:adjustRightInd w:val="0"/>
                    <w:snapToGrid w:val="0"/>
                    <w:spacing w:line="240" w:lineRule="auto"/>
                    <w:ind w:firstLine="0" w:firstLineChars="0"/>
                    <w:jc w:val="center"/>
                    <w:rPr>
                      <w:rFonts w:hint="eastAsia" w:cs="Times New Roman"/>
                      <w:sz w:val="21"/>
                      <w:szCs w:val="21"/>
                      <w:lang w:val="en-US" w:eastAsia="zh-CN"/>
                    </w:rPr>
                  </w:pPr>
                  <w:r>
                    <w:rPr>
                      <w:rFonts w:hint="eastAsia" w:cs="Times New Roman"/>
                      <w:sz w:val="21"/>
                      <w:szCs w:val="21"/>
                      <w:lang w:val="en-US" w:eastAsia="zh-CN"/>
                    </w:rPr>
                    <w:t>第二类用地</w:t>
                  </w:r>
                </w:p>
              </w:tc>
            </w:tr>
            <w:tr w14:paraId="427BE5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tcBorders>
                    <w:tl2br w:val="nil"/>
                    <w:tr2bl w:val="nil"/>
                  </w:tcBorders>
                  <w:tcMar>
                    <w:left w:w="57" w:type="dxa"/>
                    <w:right w:w="57" w:type="dxa"/>
                  </w:tcMar>
                  <w:vAlign w:val="center"/>
                </w:tcPr>
                <w:p w14:paraId="6D62BB20">
                  <w:pPr>
                    <w:widowControl/>
                    <w:adjustRightInd w:val="0"/>
                    <w:snapToGrid w:val="0"/>
                    <w:spacing w:line="240" w:lineRule="auto"/>
                    <w:ind w:firstLine="0" w:firstLineChars="0"/>
                    <w:jc w:val="center"/>
                    <w:rPr>
                      <w:rFonts w:hint="default" w:cs="Times New Roman"/>
                      <w:sz w:val="21"/>
                      <w:szCs w:val="21"/>
                      <w:lang w:val="en-US" w:eastAsia="zh-CN"/>
                    </w:rPr>
                  </w:pPr>
                  <w:r>
                    <w:rPr>
                      <w:rFonts w:hint="eastAsia" w:cs="Times New Roman"/>
                      <w:sz w:val="21"/>
                      <w:szCs w:val="21"/>
                      <w:lang w:val="en-US" w:eastAsia="zh-CN"/>
                    </w:rPr>
                    <w:t>9</w:t>
                  </w:r>
                </w:p>
              </w:tc>
              <w:tc>
                <w:tcPr>
                  <w:tcW w:w="1758" w:type="dxa"/>
                  <w:gridSpan w:val="2"/>
                  <w:tcBorders>
                    <w:tl2br w:val="nil"/>
                    <w:tr2bl w:val="nil"/>
                  </w:tcBorders>
                  <w:tcMar>
                    <w:left w:w="57" w:type="dxa"/>
                    <w:right w:w="57" w:type="dxa"/>
                  </w:tcMar>
                  <w:vAlign w:val="center"/>
                </w:tcPr>
                <w:p w14:paraId="6E19DFBC">
                  <w:pPr>
                    <w:widowControl/>
                    <w:adjustRightInd w:val="0"/>
                    <w:snapToGrid w:val="0"/>
                    <w:spacing w:line="240" w:lineRule="auto"/>
                    <w:ind w:firstLine="0" w:firstLineChars="0"/>
                    <w:jc w:val="center"/>
                    <w:rPr>
                      <w:rFonts w:cs="Times New Roman"/>
                      <w:sz w:val="21"/>
                      <w:szCs w:val="21"/>
                    </w:rPr>
                  </w:pPr>
                  <w:r>
                    <w:rPr>
                      <w:rFonts w:cs="Times New Roman"/>
                      <w:sz w:val="21"/>
                      <w:szCs w:val="21"/>
                    </w:rPr>
                    <w:t>石油烃</w:t>
                  </w:r>
                  <w:r>
                    <w:rPr>
                      <w:rFonts w:hint="eastAsia" w:cs="Times New Roman"/>
                      <w:sz w:val="21"/>
                      <w:szCs w:val="21"/>
                      <w:lang w:eastAsia="zh-CN"/>
                    </w:rPr>
                    <w:t>（</w:t>
                  </w:r>
                  <w:r>
                    <w:rPr>
                      <w:rFonts w:hint="eastAsia" w:cs="Times New Roman"/>
                      <w:sz w:val="21"/>
                      <w:szCs w:val="21"/>
                      <w:lang w:val="en-US" w:eastAsia="zh-CN"/>
                    </w:rPr>
                    <w:t>C</w:t>
                  </w:r>
                  <w:r>
                    <w:rPr>
                      <w:rFonts w:hint="eastAsia" w:cs="Times New Roman"/>
                      <w:sz w:val="21"/>
                      <w:szCs w:val="21"/>
                      <w:vertAlign w:val="subscript"/>
                      <w:lang w:val="en-US" w:eastAsia="zh-CN"/>
                    </w:rPr>
                    <w:t>10</w:t>
                  </w:r>
                  <w:r>
                    <w:rPr>
                      <w:rFonts w:hint="eastAsia" w:cs="Times New Roman"/>
                      <w:sz w:val="21"/>
                      <w:szCs w:val="21"/>
                      <w:lang w:val="en-US" w:eastAsia="zh-CN"/>
                    </w:rPr>
                    <w:t>～C</w:t>
                  </w:r>
                  <w:r>
                    <w:rPr>
                      <w:rFonts w:hint="eastAsia" w:cs="Times New Roman"/>
                      <w:sz w:val="21"/>
                      <w:szCs w:val="21"/>
                      <w:vertAlign w:val="subscript"/>
                      <w:lang w:val="en-US" w:eastAsia="zh-CN"/>
                    </w:rPr>
                    <w:t>40</w:t>
                  </w:r>
                  <w:r>
                    <w:rPr>
                      <w:rFonts w:hint="eastAsia" w:cs="Times New Roman"/>
                      <w:sz w:val="21"/>
                      <w:szCs w:val="21"/>
                      <w:lang w:eastAsia="zh-CN"/>
                    </w:rPr>
                    <w:t>）</w:t>
                  </w:r>
                </w:p>
              </w:tc>
              <w:tc>
                <w:tcPr>
                  <w:tcW w:w="2680" w:type="dxa"/>
                  <w:gridSpan w:val="2"/>
                  <w:tcBorders>
                    <w:tl2br w:val="nil"/>
                    <w:tr2bl w:val="nil"/>
                  </w:tcBorders>
                  <w:tcMar>
                    <w:left w:w="57" w:type="dxa"/>
                    <w:right w:w="57" w:type="dxa"/>
                  </w:tcMar>
                  <w:vAlign w:val="center"/>
                </w:tcPr>
                <w:p w14:paraId="712942DF">
                  <w:pPr>
                    <w:widowControl/>
                    <w:adjustRightInd w:val="0"/>
                    <w:snapToGrid w:val="0"/>
                    <w:spacing w:line="240" w:lineRule="auto"/>
                    <w:ind w:firstLine="0" w:firstLineChars="0"/>
                    <w:jc w:val="center"/>
                    <w:rPr>
                      <w:rFonts w:hint="default" w:cs="Times New Roman"/>
                      <w:sz w:val="21"/>
                      <w:szCs w:val="21"/>
                      <w:lang w:val="en-US" w:eastAsia="zh-CN"/>
                    </w:rPr>
                  </w:pPr>
                  <w:r>
                    <w:rPr>
                      <w:rFonts w:hint="eastAsia" w:cs="Times New Roman"/>
                      <w:sz w:val="21"/>
                      <w:szCs w:val="21"/>
                      <w:lang w:val="en-US" w:eastAsia="zh-CN"/>
                    </w:rPr>
                    <w:t>4500</w:t>
                  </w:r>
                </w:p>
              </w:tc>
              <w:tc>
                <w:tcPr>
                  <w:tcW w:w="2283" w:type="dxa"/>
                  <w:gridSpan w:val="2"/>
                  <w:tcBorders>
                    <w:tl2br w:val="nil"/>
                    <w:tr2bl w:val="nil"/>
                  </w:tcBorders>
                  <w:tcMar>
                    <w:left w:w="57" w:type="dxa"/>
                    <w:right w:w="57" w:type="dxa"/>
                  </w:tcMar>
                  <w:vAlign w:val="center"/>
                </w:tcPr>
                <w:p w14:paraId="6897694D">
                  <w:pPr>
                    <w:widowControl/>
                    <w:adjustRightInd w:val="0"/>
                    <w:snapToGrid w:val="0"/>
                    <w:spacing w:line="240" w:lineRule="auto"/>
                    <w:ind w:firstLine="0" w:firstLineChars="0"/>
                    <w:jc w:val="center"/>
                    <w:rPr>
                      <w:rFonts w:hint="default" w:cs="Times New Roman"/>
                      <w:sz w:val="21"/>
                      <w:szCs w:val="21"/>
                      <w:lang w:val="en-US" w:eastAsia="zh-CN"/>
                    </w:rPr>
                  </w:pPr>
                  <w:r>
                    <w:rPr>
                      <w:rFonts w:hint="eastAsia" w:cs="Times New Roman"/>
                      <w:sz w:val="21"/>
                      <w:szCs w:val="21"/>
                      <w:lang w:val="en-US" w:eastAsia="zh-CN"/>
                    </w:rPr>
                    <w:t>9000</w:t>
                  </w:r>
                </w:p>
              </w:tc>
            </w:tr>
            <w:tr w14:paraId="531563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66" w:type="dxa"/>
                  <w:gridSpan w:val="7"/>
                  <w:tcBorders>
                    <w:tl2br w:val="nil"/>
                    <w:tr2bl w:val="nil"/>
                  </w:tcBorders>
                  <w:tcMar>
                    <w:left w:w="57" w:type="dxa"/>
                    <w:right w:w="57" w:type="dxa"/>
                  </w:tcMar>
                  <w:vAlign w:val="center"/>
                </w:tcPr>
                <w:p w14:paraId="09A22FF1">
                  <w:pPr>
                    <w:pStyle w:val="17"/>
                    <w:jc w:val="both"/>
                    <w:rPr>
                      <w:rFonts w:eastAsia="宋体"/>
                    </w:rPr>
                  </w:pPr>
                  <w:r>
                    <w:rPr>
                      <w:rFonts w:hint="eastAsia" w:eastAsia="宋体"/>
                    </w:rPr>
                    <w:t>注：①重金属和类金属砷均按元素总量计。</w:t>
                  </w:r>
                </w:p>
                <w:p w14:paraId="39C43A9A">
                  <w:pPr>
                    <w:pStyle w:val="17"/>
                    <w:jc w:val="both"/>
                  </w:pPr>
                  <w:r>
                    <w:rPr>
                      <w:rFonts w:hint="eastAsia" w:eastAsia="宋体"/>
                    </w:rPr>
                    <w:t>②对于水旱轮作地，采用其中较严格的风险筛选值。</w:t>
                  </w:r>
                </w:p>
              </w:tc>
            </w:tr>
          </w:tbl>
          <w:p w14:paraId="7F221F3F">
            <w:pPr>
              <w:pStyle w:val="2"/>
              <w:ind w:firstLine="482" w:firstLineChars="200"/>
              <w:rPr>
                <w:rFonts w:eastAsia="宋体"/>
              </w:rPr>
            </w:pPr>
            <w:r>
              <w:rPr>
                <w:rFonts w:hint="eastAsia" w:eastAsia="宋体"/>
              </w:rPr>
              <w:t>2、污染物排放标准</w:t>
            </w:r>
          </w:p>
          <w:p w14:paraId="269FEFAA">
            <w:pPr>
              <w:pStyle w:val="3"/>
              <w:ind w:firstLine="480"/>
              <w:rPr>
                <w:rFonts w:eastAsia="宋体"/>
              </w:rPr>
            </w:pPr>
            <w:r>
              <w:rPr>
                <w:rFonts w:hint="eastAsia" w:eastAsia="宋体"/>
              </w:rPr>
              <w:t>（1）大气污染物</w:t>
            </w:r>
          </w:p>
          <w:p w14:paraId="32BED10A">
            <w:pPr>
              <w:pStyle w:val="3"/>
              <w:ind w:firstLine="480"/>
              <w:rPr>
                <w:rFonts w:eastAsia="宋体"/>
                <w:color w:val="auto"/>
              </w:rPr>
            </w:pPr>
            <w:r>
              <w:rPr>
                <w:rFonts w:hint="eastAsia" w:eastAsia="宋体"/>
                <w:color w:val="auto"/>
              </w:rPr>
              <w:t>本项目勘探期柴油发电机排放污染物执行《大气污染物综合排放标准》（DB32/4041-2021）表1中燃烧（焚烧、氧化）装置、固定式内燃机、发动机制造测试工艺最高允许排放浓度及表3中边界控制要求。施工过程中产生的扬尘、非甲烷总烃，非甲烷总烃执行《大气污染物综合排放标准》（DB32/4041-2021）中表3单位边界大气污染物排放监控浓度限值，施工期扬尘执行《施工场地扬尘排放标准》（DB32／4437-2022）。</w:t>
            </w:r>
          </w:p>
          <w:p w14:paraId="26CD96D7">
            <w:pPr>
              <w:pStyle w:val="16"/>
              <w:rPr>
                <w:rFonts w:eastAsia="宋体"/>
                <w:color w:val="auto"/>
              </w:rPr>
            </w:pPr>
            <w:bookmarkStart w:id="2" w:name="_Hlk501638231"/>
            <w:r>
              <w:rPr>
                <w:rFonts w:eastAsia="宋体"/>
                <w:color w:val="auto"/>
              </w:rPr>
              <w:t>表</w:t>
            </w:r>
            <w:r>
              <w:rPr>
                <w:rFonts w:hint="eastAsia" w:eastAsia="宋体"/>
                <w:color w:val="auto"/>
              </w:rPr>
              <w:t>3-7</w:t>
            </w:r>
            <w:r>
              <w:rPr>
                <w:rFonts w:hint="eastAsia" w:eastAsia="宋体"/>
                <w:color w:val="auto"/>
                <w:lang w:eastAsia="zh-CN"/>
              </w:rPr>
              <w:t>（</w:t>
            </w:r>
            <w:r>
              <w:rPr>
                <w:rFonts w:hint="eastAsia" w:eastAsia="宋体"/>
                <w:color w:val="auto"/>
                <w:lang w:val="en-US" w:eastAsia="zh-CN"/>
              </w:rPr>
              <w:t>1</w:t>
            </w:r>
            <w:r>
              <w:rPr>
                <w:rFonts w:hint="eastAsia" w:eastAsia="宋体"/>
                <w:color w:val="auto"/>
                <w:lang w:eastAsia="zh-CN"/>
              </w:rPr>
              <w:t>）</w:t>
            </w:r>
            <w:r>
              <w:rPr>
                <w:rFonts w:hint="eastAsia" w:eastAsia="宋体"/>
                <w:color w:val="auto"/>
              </w:rPr>
              <w:t xml:space="preserve">  </w:t>
            </w:r>
            <w:r>
              <w:rPr>
                <w:rFonts w:eastAsia="宋体"/>
                <w:color w:val="auto"/>
              </w:rPr>
              <w:t>大气污染物排放标准</w:t>
            </w:r>
          </w:p>
          <w:tbl>
            <w:tblPr>
              <w:tblStyle w:val="1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1745"/>
              <w:gridCol w:w="4144"/>
            </w:tblGrid>
            <w:tr w14:paraId="794985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0" w:type="pct"/>
                  <w:shd w:val="clear" w:color="auto" w:fill="auto"/>
                  <w:vAlign w:val="center"/>
                </w:tcPr>
                <w:p w14:paraId="39894221">
                  <w:pPr>
                    <w:pStyle w:val="17"/>
                    <w:rPr>
                      <w:rFonts w:eastAsia="宋体"/>
                      <w:b/>
                      <w:bCs/>
                      <w:color w:val="auto"/>
                    </w:rPr>
                  </w:pPr>
                  <w:r>
                    <w:rPr>
                      <w:rFonts w:eastAsia="宋体"/>
                      <w:b/>
                      <w:bCs/>
                      <w:color w:val="auto"/>
                    </w:rPr>
                    <w:t>污染物</w:t>
                  </w:r>
                </w:p>
              </w:tc>
              <w:tc>
                <w:tcPr>
                  <w:tcW w:w="1169" w:type="pct"/>
                  <w:shd w:val="clear" w:color="auto" w:fill="auto"/>
                  <w:vAlign w:val="center"/>
                </w:tcPr>
                <w:p w14:paraId="1D5A6261">
                  <w:pPr>
                    <w:pStyle w:val="17"/>
                    <w:rPr>
                      <w:rFonts w:eastAsia="宋体"/>
                      <w:b/>
                      <w:bCs/>
                      <w:color w:val="auto"/>
                    </w:rPr>
                  </w:pPr>
                  <w:r>
                    <w:rPr>
                      <w:rFonts w:hint="eastAsia" w:eastAsia="宋体"/>
                      <w:b/>
                      <w:bCs/>
                      <w:color w:val="auto"/>
                    </w:rPr>
                    <w:t>监控点</w:t>
                  </w:r>
                </w:p>
              </w:tc>
              <w:tc>
                <w:tcPr>
                  <w:tcW w:w="2779" w:type="pct"/>
                  <w:shd w:val="clear" w:color="auto" w:fill="auto"/>
                  <w:vAlign w:val="center"/>
                </w:tcPr>
                <w:p w14:paraId="51DB549C">
                  <w:pPr>
                    <w:pStyle w:val="17"/>
                    <w:rPr>
                      <w:rFonts w:eastAsia="宋体"/>
                      <w:b/>
                      <w:bCs/>
                      <w:color w:val="auto"/>
                    </w:rPr>
                  </w:pPr>
                  <w:r>
                    <w:rPr>
                      <w:rFonts w:eastAsia="宋体"/>
                      <w:b/>
                      <w:bCs/>
                      <w:color w:val="auto"/>
                    </w:rPr>
                    <w:t>浓度限值mg/m</w:t>
                  </w:r>
                  <w:r>
                    <w:rPr>
                      <w:rFonts w:eastAsia="宋体"/>
                      <w:b/>
                      <w:bCs/>
                      <w:color w:val="auto"/>
                      <w:vertAlign w:val="superscript"/>
                    </w:rPr>
                    <w:t>3</w:t>
                  </w:r>
                </w:p>
              </w:tc>
            </w:tr>
            <w:tr w14:paraId="613981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0" w:type="pct"/>
                  <w:shd w:val="clear" w:color="auto" w:fill="auto"/>
                  <w:vAlign w:val="center"/>
                </w:tcPr>
                <w:p w14:paraId="43AE5AE3">
                  <w:pPr>
                    <w:pStyle w:val="17"/>
                    <w:rPr>
                      <w:rFonts w:eastAsia="宋体"/>
                      <w:color w:val="auto"/>
                    </w:rPr>
                  </w:pPr>
                  <w:r>
                    <w:rPr>
                      <w:rFonts w:hint="eastAsia" w:eastAsia="宋体"/>
                      <w:color w:val="auto"/>
                    </w:rPr>
                    <w:t>颗粒物</w:t>
                  </w:r>
                </w:p>
              </w:tc>
              <w:tc>
                <w:tcPr>
                  <w:tcW w:w="1169" w:type="pct"/>
                  <w:vMerge w:val="restart"/>
                  <w:shd w:val="clear" w:color="auto" w:fill="auto"/>
                  <w:vAlign w:val="center"/>
                </w:tcPr>
                <w:p w14:paraId="63FC799D">
                  <w:pPr>
                    <w:pStyle w:val="17"/>
                    <w:rPr>
                      <w:rFonts w:eastAsia="宋体"/>
                      <w:color w:val="auto"/>
                    </w:rPr>
                  </w:pPr>
                  <w:r>
                    <w:rPr>
                      <w:rFonts w:hint="eastAsia" w:eastAsia="宋体"/>
                      <w:color w:val="auto"/>
                    </w:rPr>
                    <w:t>井场边界</w:t>
                  </w:r>
                </w:p>
              </w:tc>
              <w:tc>
                <w:tcPr>
                  <w:tcW w:w="2779" w:type="pct"/>
                  <w:shd w:val="clear" w:color="auto" w:fill="auto"/>
                  <w:vAlign w:val="center"/>
                </w:tcPr>
                <w:p w14:paraId="644ABF7A">
                  <w:pPr>
                    <w:pStyle w:val="17"/>
                    <w:rPr>
                      <w:rFonts w:eastAsia="宋体"/>
                      <w:color w:val="auto"/>
                    </w:rPr>
                  </w:pPr>
                  <w:r>
                    <w:rPr>
                      <w:rFonts w:hint="eastAsia" w:eastAsia="宋体"/>
                      <w:color w:val="auto"/>
                    </w:rPr>
                    <w:t>0.5</w:t>
                  </w:r>
                </w:p>
              </w:tc>
            </w:tr>
            <w:tr w14:paraId="0C6D22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0" w:type="pct"/>
                  <w:shd w:val="clear" w:color="auto" w:fill="auto"/>
                  <w:vAlign w:val="center"/>
                </w:tcPr>
                <w:p w14:paraId="1FABE072">
                  <w:pPr>
                    <w:pStyle w:val="17"/>
                    <w:rPr>
                      <w:rFonts w:hint="eastAsia" w:eastAsia="宋体"/>
                      <w:color w:val="auto"/>
                    </w:rPr>
                  </w:pPr>
                  <w:r>
                    <w:rPr>
                      <w:rFonts w:hint="eastAsia" w:eastAsia="宋体"/>
                      <w:color w:val="auto"/>
                      <w:lang w:val="en-US" w:eastAsia="zh-CN"/>
                    </w:rPr>
                    <w:t>SO</w:t>
                  </w:r>
                  <w:r>
                    <w:rPr>
                      <w:rFonts w:hint="eastAsia" w:eastAsia="宋体"/>
                      <w:color w:val="auto"/>
                      <w:vertAlign w:val="subscript"/>
                      <w:lang w:val="en-US" w:eastAsia="zh-CN"/>
                    </w:rPr>
                    <w:t>2</w:t>
                  </w:r>
                </w:p>
              </w:tc>
              <w:tc>
                <w:tcPr>
                  <w:tcW w:w="1169" w:type="pct"/>
                  <w:vMerge w:val="continue"/>
                  <w:shd w:val="clear" w:color="auto" w:fill="auto"/>
                  <w:vAlign w:val="center"/>
                </w:tcPr>
                <w:p w14:paraId="1ABA70BB">
                  <w:pPr>
                    <w:pStyle w:val="17"/>
                    <w:rPr>
                      <w:rFonts w:hint="eastAsia" w:eastAsia="宋体"/>
                      <w:color w:val="auto"/>
                    </w:rPr>
                  </w:pPr>
                </w:p>
              </w:tc>
              <w:tc>
                <w:tcPr>
                  <w:tcW w:w="2779" w:type="pct"/>
                  <w:shd w:val="clear" w:color="auto" w:fill="auto"/>
                  <w:vAlign w:val="center"/>
                </w:tcPr>
                <w:p w14:paraId="7CAC7FD6">
                  <w:pPr>
                    <w:pStyle w:val="17"/>
                    <w:rPr>
                      <w:rFonts w:hint="default" w:eastAsia="宋体"/>
                      <w:color w:val="auto"/>
                      <w:lang w:val="en-US" w:eastAsia="zh-CN"/>
                    </w:rPr>
                  </w:pPr>
                  <w:r>
                    <w:rPr>
                      <w:rFonts w:hint="eastAsia" w:eastAsia="宋体"/>
                      <w:color w:val="auto"/>
                      <w:lang w:val="en-US" w:eastAsia="zh-CN"/>
                    </w:rPr>
                    <w:t>0.4</w:t>
                  </w:r>
                </w:p>
              </w:tc>
            </w:tr>
            <w:tr w14:paraId="265935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0" w:type="pct"/>
                  <w:shd w:val="clear" w:color="auto" w:fill="auto"/>
                  <w:vAlign w:val="center"/>
                </w:tcPr>
                <w:p w14:paraId="707BDF6E">
                  <w:pPr>
                    <w:pStyle w:val="17"/>
                    <w:rPr>
                      <w:rFonts w:hint="eastAsia" w:eastAsia="宋体"/>
                      <w:color w:val="auto"/>
                    </w:rPr>
                  </w:pPr>
                  <w:r>
                    <w:rPr>
                      <w:rFonts w:hint="eastAsia" w:eastAsia="宋体"/>
                      <w:color w:val="auto"/>
                      <w:lang w:val="en-US" w:eastAsia="zh-CN"/>
                    </w:rPr>
                    <w:t>NO</w:t>
                  </w:r>
                  <w:r>
                    <w:rPr>
                      <w:rFonts w:hint="eastAsia" w:eastAsia="宋体"/>
                      <w:color w:val="auto"/>
                      <w:vertAlign w:val="subscript"/>
                      <w:lang w:val="en-US" w:eastAsia="zh-CN"/>
                    </w:rPr>
                    <w:t>X</w:t>
                  </w:r>
                </w:p>
              </w:tc>
              <w:tc>
                <w:tcPr>
                  <w:tcW w:w="1169" w:type="pct"/>
                  <w:vMerge w:val="continue"/>
                  <w:shd w:val="clear" w:color="auto" w:fill="auto"/>
                  <w:vAlign w:val="center"/>
                </w:tcPr>
                <w:p w14:paraId="4F7E123A">
                  <w:pPr>
                    <w:pStyle w:val="17"/>
                    <w:rPr>
                      <w:rFonts w:hint="eastAsia" w:eastAsia="宋体"/>
                      <w:color w:val="auto"/>
                    </w:rPr>
                  </w:pPr>
                </w:p>
              </w:tc>
              <w:tc>
                <w:tcPr>
                  <w:tcW w:w="2779" w:type="pct"/>
                  <w:shd w:val="clear" w:color="auto" w:fill="auto"/>
                  <w:vAlign w:val="center"/>
                </w:tcPr>
                <w:p w14:paraId="12B8C984">
                  <w:pPr>
                    <w:pStyle w:val="17"/>
                    <w:rPr>
                      <w:rFonts w:hint="default" w:eastAsia="宋体"/>
                      <w:color w:val="auto"/>
                      <w:lang w:val="en-US" w:eastAsia="zh-CN"/>
                    </w:rPr>
                  </w:pPr>
                  <w:r>
                    <w:rPr>
                      <w:rFonts w:hint="eastAsia" w:eastAsia="宋体"/>
                      <w:color w:val="auto"/>
                      <w:lang w:val="en-US" w:eastAsia="zh-CN"/>
                    </w:rPr>
                    <w:t>0.12</w:t>
                  </w:r>
                </w:p>
              </w:tc>
            </w:tr>
            <w:tr w14:paraId="7B1522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0" w:type="pct"/>
                  <w:vMerge w:val="restart"/>
                  <w:shd w:val="clear" w:color="auto" w:fill="auto"/>
                  <w:vAlign w:val="center"/>
                </w:tcPr>
                <w:p w14:paraId="24F6F330">
                  <w:pPr>
                    <w:pStyle w:val="17"/>
                    <w:rPr>
                      <w:rFonts w:eastAsia="宋体"/>
                      <w:color w:val="auto"/>
                    </w:rPr>
                  </w:pPr>
                  <w:r>
                    <w:rPr>
                      <w:rFonts w:hint="eastAsia" w:eastAsia="宋体"/>
                      <w:color w:val="auto"/>
                    </w:rPr>
                    <w:t>非甲烷总烃</w:t>
                  </w:r>
                </w:p>
              </w:tc>
              <w:tc>
                <w:tcPr>
                  <w:tcW w:w="1169" w:type="pct"/>
                  <w:vMerge w:val="restart"/>
                  <w:shd w:val="clear" w:color="auto" w:fill="auto"/>
                  <w:vAlign w:val="center"/>
                </w:tcPr>
                <w:p w14:paraId="746D75EB">
                  <w:pPr>
                    <w:pStyle w:val="17"/>
                    <w:rPr>
                      <w:rFonts w:eastAsia="宋体"/>
                      <w:color w:val="auto"/>
                    </w:rPr>
                  </w:pPr>
                  <w:r>
                    <w:rPr>
                      <w:rFonts w:hint="eastAsia" w:eastAsia="宋体"/>
                      <w:color w:val="auto"/>
                    </w:rPr>
                    <w:t>井口</w:t>
                  </w:r>
                </w:p>
              </w:tc>
              <w:tc>
                <w:tcPr>
                  <w:tcW w:w="2779" w:type="pct"/>
                  <w:shd w:val="clear" w:color="auto" w:fill="auto"/>
                  <w:vAlign w:val="center"/>
                </w:tcPr>
                <w:p w14:paraId="22C138F3">
                  <w:pPr>
                    <w:pStyle w:val="17"/>
                    <w:rPr>
                      <w:rFonts w:eastAsia="宋体"/>
                      <w:color w:val="auto"/>
                    </w:rPr>
                  </w:pPr>
                  <w:r>
                    <w:rPr>
                      <w:rFonts w:hint="eastAsia" w:eastAsia="宋体"/>
                      <w:color w:val="auto"/>
                    </w:rPr>
                    <w:t>6（监控点处1h平均浓度值）</w:t>
                  </w:r>
                </w:p>
              </w:tc>
            </w:tr>
            <w:tr w14:paraId="15EE2F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0" w:type="pct"/>
                  <w:vMerge w:val="continue"/>
                  <w:shd w:val="clear" w:color="auto" w:fill="auto"/>
                  <w:vAlign w:val="center"/>
                </w:tcPr>
                <w:p w14:paraId="12AA9A30">
                  <w:pPr>
                    <w:pStyle w:val="17"/>
                    <w:rPr>
                      <w:rFonts w:eastAsia="宋体"/>
                      <w:color w:val="auto"/>
                    </w:rPr>
                  </w:pPr>
                </w:p>
              </w:tc>
              <w:tc>
                <w:tcPr>
                  <w:tcW w:w="1169" w:type="pct"/>
                  <w:vMerge w:val="continue"/>
                  <w:shd w:val="clear" w:color="auto" w:fill="auto"/>
                  <w:vAlign w:val="center"/>
                </w:tcPr>
                <w:p w14:paraId="43B74582">
                  <w:pPr>
                    <w:pStyle w:val="17"/>
                    <w:rPr>
                      <w:rFonts w:eastAsia="宋体"/>
                      <w:color w:val="auto"/>
                    </w:rPr>
                  </w:pPr>
                </w:p>
              </w:tc>
              <w:tc>
                <w:tcPr>
                  <w:tcW w:w="2779" w:type="pct"/>
                  <w:shd w:val="clear" w:color="auto" w:fill="auto"/>
                  <w:vAlign w:val="center"/>
                </w:tcPr>
                <w:p w14:paraId="2537F512">
                  <w:pPr>
                    <w:pStyle w:val="17"/>
                    <w:rPr>
                      <w:rFonts w:eastAsia="宋体"/>
                      <w:color w:val="auto"/>
                    </w:rPr>
                  </w:pPr>
                  <w:r>
                    <w:rPr>
                      <w:rFonts w:hint="eastAsia" w:eastAsia="宋体"/>
                      <w:color w:val="auto"/>
                    </w:rPr>
                    <w:t>20（监控点处任意一次浓度值）</w:t>
                  </w:r>
                </w:p>
              </w:tc>
            </w:tr>
            <w:tr w14:paraId="36D5AA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0" w:type="pct"/>
                  <w:vMerge w:val="continue"/>
                  <w:shd w:val="clear" w:color="auto" w:fill="auto"/>
                  <w:vAlign w:val="center"/>
                </w:tcPr>
                <w:p w14:paraId="7FEBCA80">
                  <w:pPr>
                    <w:pStyle w:val="17"/>
                    <w:rPr>
                      <w:rFonts w:eastAsia="宋体"/>
                      <w:color w:val="auto"/>
                    </w:rPr>
                  </w:pPr>
                </w:p>
              </w:tc>
              <w:tc>
                <w:tcPr>
                  <w:tcW w:w="1169" w:type="pct"/>
                  <w:shd w:val="clear" w:color="auto" w:fill="auto"/>
                  <w:vAlign w:val="center"/>
                </w:tcPr>
                <w:p w14:paraId="7FED63BD">
                  <w:pPr>
                    <w:pStyle w:val="17"/>
                    <w:rPr>
                      <w:rFonts w:eastAsia="宋体"/>
                      <w:color w:val="auto"/>
                    </w:rPr>
                  </w:pPr>
                  <w:r>
                    <w:rPr>
                      <w:rFonts w:hint="eastAsia" w:eastAsia="宋体"/>
                      <w:color w:val="auto"/>
                    </w:rPr>
                    <w:t>井场边界</w:t>
                  </w:r>
                </w:p>
              </w:tc>
              <w:tc>
                <w:tcPr>
                  <w:tcW w:w="2779" w:type="pct"/>
                  <w:shd w:val="clear" w:color="auto" w:fill="auto"/>
                  <w:vAlign w:val="center"/>
                </w:tcPr>
                <w:p w14:paraId="7BF7BFAB">
                  <w:pPr>
                    <w:pStyle w:val="17"/>
                    <w:rPr>
                      <w:rFonts w:eastAsia="宋体"/>
                      <w:color w:val="auto"/>
                    </w:rPr>
                  </w:pPr>
                  <w:r>
                    <w:rPr>
                      <w:rFonts w:hint="eastAsia" w:eastAsia="宋体"/>
                      <w:color w:val="auto"/>
                    </w:rPr>
                    <w:t>4</w:t>
                  </w:r>
                </w:p>
              </w:tc>
            </w:tr>
            <w:bookmarkEnd w:id="2"/>
          </w:tbl>
          <w:p w14:paraId="22792EEE">
            <w:pPr>
              <w:pStyle w:val="16"/>
              <w:bidi w:val="0"/>
              <w:jc w:val="center"/>
              <w:rPr>
                <w:color w:val="auto"/>
              </w:rPr>
            </w:pPr>
            <w:r>
              <w:rPr>
                <w:color w:val="auto"/>
              </w:rPr>
              <w:t>表</w:t>
            </w:r>
            <w:r>
              <w:rPr>
                <w:rFonts w:hint="eastAsia"/>
                <w:color w:val="auto"/>
                <w:lang w:val="en-US" w:eastAsia="zh-CN"/>
              </w:rPr>
              <w:t>3-7（2）</w:t>
            </w:r>
            <w:r>
              <w:rPr>
                <w:rFonts w:hint="eastAsia"/>
                <w:color w:val="auto"/>
              </w:rPr>
              <w:t xml:space="preserve">  </w:t>
            </w:r>
            <w:r>
              <w:rPr>
                <w:rFonts w:hint="eastAsia" w:ascii="Times New Roman" w:hAnsi="Times New Roman" w:eastAsia="宋体" w:cs="Times New Roman"/>
                <w:color w:val="auto"/>
                <w:lang w:eastAsia="zh-CN"/>
              </w:rPr>
              <w:t>柴油燃烧</w:t>
            </w:r>
            <w:r>
              <w:rPr>
                <w:rFonts w:hint="eastAsia" w:ascii="Times New Roman" w:hAnsi="Times New Roman" w:eastAsia="宋体" w:cs="Times New Roman"/>
                <w:color w:val="auto"/>
              </w:rPr>
              <w:t>废气污染物排放标准</w:t>
            </w:r>
          </w:p>
          <w:tbl>
            <w:tblPr>
              <w:tblStyle w:val="11"/>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7"/>
              <w:gridCol w:w="1541"/>
              <w:gridCol w:w="1924"/>
              <w:gridCol w:w="2168"/>
            </w:tblGrid>
            <w:tr w14:paraId="1B0F67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pct"/>
                  <w:tcBorders>
                    <w:tl2br w:val="nil"/>
                    <w:tr2bl w:val="nil"/>
                  </w:tcBorders>
                  <w:noWrap w:val="0"/>
                  <w:vAlign w:val="center"/>
                </w:tcPr>
                <w:p w14:paraId="08794711">
                  <w:pPr>
                    <w:pStyle w:val="17"/>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污染物名称</w:t>
                  </w:r>
                </w:p>
              </w:tc>
              <w:tc>
                <w:tcPr>
                  <w:tcW w:w="1033" w:type="pct"/>
                  <w:tcBorders>
                    <w:tl2br w:val="nil"/>
                    <w:tr2bl w:val="nil"/>
                  </w:tcBorders>
                  <w:noWrap w:val="0"/>
                  <w:vAlign w:val="center"/>
                </w:tcPr>
                <w:p w14:paraId="0361F234">
                  <w:pPr>
                    <w:pStyle w:val="17"/>
                    <w:rPr>
                      <w:rFonts w:hint="default"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最高允许排放浓度</w:t>
                  </w:r>
                  <w:r>
                    <w:rPr>
                      <w:rFonts w:hint="default" w:ascii="Times New Roman" w:hAnsi="Times New Roman" w:eastAsia="宋体" w:cs="Times New Roman"/>
                      <w:b/>
                      <w:bCs/>
                      <w:color w:val="auto"/>
                    </w:rPr>
                    <w:t>mg/m</w:t>
                  </w:r>
                  <w:r>
                    <w:rPr>
                      <w:rFonts w:hint="default" w:ascii="Times New Roman" w:hAnsi="Times New Roman" w:eastAsia="宋体" w:cs="Times New Roman"/>
                      <w:b/>
                      <w:bCs/>
                      <w:color w:val="auto"/>
                      <w:vertAlign w:val="superscript"/>
                    </w:rPr>
                    <w:t>3</w:t>
                  </w:r>
                </w:p>
              </w:tc>
              <w:tc>
                <w:tcPr>
                  <w:tcW w:w="1291" w:type="pct"/>
                  <w:tcBorders>
                    <w:tl2br w:val="nil"/>
                    <w:tr2bl w:val="nil"/>
                  </w:tcBorders>
                  <w:noWrap w:val="0"/>
                  <w:vAlign w:val="center"/>
                </w:tcPr>
                <w:p w14:paraId="7DBB9C90">
                  <w:pPr>
                    <w:pStyle w:val="17"/>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eastAsia="zh-CN"/>
                    </w:rPr>
                    <w:t>最高允许排放速率</w:t>
                  </w:r>
                  <w:r>
                    <w:rPr>
                      <w:rFonts w:hint="eastAsia" w:ascii="Times New Roman" w:hAnsi="Times New Roman" w:eastAsia="宋体" w:cs="Times New Roman"/>
                      <w:b/>
                      <w:bCs/>
                      <w:color w:val="auto"/>
                      <w:lang w:val="en-US" w:eastAsia="zh-CN"/>
                    </w:rPr>
                    <w:t>kg/h</w:t>
                  </w:r>
                </w:p>
              </w:tc>
              <w:tc>
                <w:tcPr>
                  <w:tcW w:w="1455" w:type="pct"/>
                  <w:tcBorders>
                    <w:tl2br w:val="nil"/>
                    <w:tr2bl w:val="nil"/>
                  </w:tcBorders>
                  <w:noWrap w:val="0"/>
                  <w:vAlign w:val="center"/>
                </w:tcPr>
                <w:p w14:paraId="30A7B0C5">
                  <w:pPr>
                    <w:pStyle w:val="17"/>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污染物排放监控位置</w:t>
                  </w:r>
                </w:p>
              </w:tc>
            </w:tr>
            <w:tr w14:paraId="61E74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pct"/>
                  <w:tcBorders>
                    <w:tl2br w:val="nil"/>
                    <w:tr2bl w:val="nil"/>
                  </w:tcBorders>
                  <w:noWrap w:val="0"/>
                  <w:vAlign w:val="center"/>
                </w:tcPr>
                <w:p w14:paraId="4D41CD09">
                  <w:pPr>
                    <w:pStyle w:val="17"/>
                    <w:rPr>
                      <w:rFonts w:hint="default" w:ascii="Times New Roman" w:hAnsi="Times New Roman" w:eastAsia="宋体" w:cs="Times New Roman"/>
                      <w:color w:val="auto"/>
                    </w:rPr>
                  </w:pPr>
                  <w:r>
                    <w:rPr>
                      <w:rFonts w:hint="default" w:ascii="Times New Roman" w:hAnsi="Times New Roman" w:eastAsia="宋体" w:cs="Times New Roman"/>
                      <w:color w:val="auto"/>
                    </w:rPr>
                    <w:t>颗粒物</w:t>
                  </w:r>
                </w:p>
              </w:tc>
              <w:tc>
                <w:tcPr>
                  <w:tcW w:w="1033" w:type="pct"/>
                  <w:tcBorders>
                    <w:tl2br w:val="nil"/>
                    <w:tr2bl w:val="nil"/>
                  </w:tcBorders>
                  <w:noWrap w:val="0"/>
                  <w:vAlign w:val="center"/>
                </w:tcPr>
                <w:p w14:paraId="2395962D">
                  <w:pPr>
                    <w:pStyle w:val="1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291" w:type="pct"/>
                  <w:tcBorders>
                    <w:tl2br w:val="nil"/>
                    <w:tr2bl w:val="nil"/>
                  </w:tcBorders>
                  <w:noWrap w:val="0"/>
                  <w:vAlign w:val="center"/>
                </w:tcPr>
                <w:p w14:paraId="4100A580">
                  <w:pPr>
                    <w:pStyle w:val="17"/>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455" w:type="pct"/>
                  <w:vMerge w:val="restart"/>
                  <w:tcBorders>
                    <w:tl2br w:val="nil"/>
                    <w:tr2bl w:val="nil"/>
                  </w:tcBorders>
                  <w:noWrap w:val="0"/>
                  <w:vAlign w:val="center"/>
                </w:tcPr>
                <w:p w14:paraId="468CCF68">
                  <w:pPr>
                    <w:pStyle w:val="1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 xml:space="preserve">生产设施排气筒 </w:t>
                  </w:r>
                </w:p>
                <w:p w14:paraId="5DF51BEC">
                  <w:pPr>
                    <w:pStyle w:val="1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出口</w:t>
                  </w:r>
                </w:p>
              </w:tc>
            </w:tr>
            <w:tr w14:paraId="26E38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pct"/>
                  <w:tcBorders>
                    <w:tl2br w:val="nil"/>
                    <w:tr2bl w:val="nil"/>
                  </w:tcBorders>
                  <w:noWrap w:val="0"/>
                  <w:vAlign w:val="center"/>
                </w:tcPr>
                <w:p w14:paraId="3512A611">
                  <w:pPr>
                    <w:pStyle w:val="17"/>
                    <w:bidi w:val="0"/>
                    <w:rPr>
                      <w:rFonts w:hint="default" w:ascii="Times New Roman" w:hAnsi="Times New Roman" w:eastAsia="宋体" w:cs="Times New Roman"/>
                      <w:color w:val="auto"/>
                    </w:rPr>
                  </w:pPr>
                  <w:r>
                    <w:rPr>
                      <w:rFonts w:hint="default" w:ascii="Times New Roman" w:hAnsi="Times New Roman" w:eastAsia="宋体" w:cs="Times New Roman"/>
                      <w:color w:val="auto"/>
                    </w:rPr>
                    <w:t>二氧化硫</w:t>
                  </w:r>
                </w:p>
              </w:tc>
              <w:tc>
                <w:tcPr>
                  <w:tcW w:w="1033" w:type="pct"/>
                  <w:tcBorders>
                    <w:tl2br w:val="nil"/>
                    <w:tr2bl w:val="nil"/>
                  </w:tcBorders>
                  <w:noWrap w:val="0"/>
                  <w:vAlign w:val="center"/>
                </w:tcPr>
                <w:p w14:paraId="691678C6">
                  <w:pPr>
                    <w:pStyle w:val="17"/>
                    <w:bidi w:val="0"/>
                    <w:rPr>
                      <w:rFonts w:hint="default" w:ascii="Times New Roman" w:hAnsi="Times New Roman" w:eastAsia="宋体" w:cs="Times New Roman"/>
                      <w:color w:val="auto"/>
                      <w:lang w:val="en-US" w:eastAsia="zh-CN"/>
                    </w:rPr>
                  </w:pPr>
                  <w:r>
                    <w:rPr>
                      <w:rFonts w:hint="eastAsia" w:cs="Times New Roman"/>
                      <w:color w:val="auto"/>
                      <w:lang w:val="en-US" w:eastAsia="zh-CN"/>
                    </w:rPr>
                    <w:t>200</w:t>
                  </w:r>
                </w:p>
              </w:tc>
              <w:tc>
                <w:tcPr>
                  <w:tcW w:w="1291" w:type="pct"/>
                  <w:tcBorders>
                    <w:tl2br w:val="nil"/>
                    <w:tr2bl w:val="nil"/>
                  </w:tcBorders>
                  <w:noWrap w:val="0"/>
                  <w:vAlign w:val="center"/>
                </w:tcPr>
                <w:p w14:paraId="0D8D470B">
                  <w:pPr>
                    <w:pStyle w:val="17"/>
                    <w:bidi w:val="0"/>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1455" w:type="pct"/>
                  <w:vMerge w:val="continue"/>
                  <w:tcBorders>
                    <w:tl2br w:val="nil"/>
                    <w:tr2bl w:val="nil"/>
                  </w:tcBorders>
                  <w:noWrap w:val="0"/>
                  <w:vAlign w:val="center"/>
                </w:tcPr>
                <w:p w14:paraId="43375680">
                  <w:pPr>
                    <w:pStyle w:val="17"/>
                    <w:bidi w:val="0"/>
                    <w:rPr>
                      <w:rFonts w:hint="default" w:ascii="Times New Roman" w:hAnsi="Times New Roman" w:eastAsia="宋体" w:cs="Times New Roman"/>
                      <w:color w:val="auto"/>
                    </w:rPr>
                  </w:pPr>
                </w:p>
              </w:tc>
            </w:tr>
            <w:tr w14:paraId="2EA52D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pct"/>
                  <w:tcBorders>
                    <w:tl2br w:val="nil"/>
                    <w:tr2bl w:val="nil"/>
                  </w:tcBorders>
                  <w:noWrap w:val="0"/>
                  <w:vAlign w:val="center"/>
                </w:tcPr>
                <w:p w14:paraId="5A1626AD">
                  <w:pPr>
                    <w:pStyle w:val="17"/>
                    <w:bidi w:val="0"/>
                    <w:rPr>
                      <w:rFonts w:hint="default" w:ascii="Times New Roman" w:hAnsi="Times New Roman" w:eastAsia="宋体" w:cs="Times New Roman"/>
                      <w:color w:val="auto"/>
                    </w:rPr>
                  </w:pPr>
                  <w:r>
                    <w:rPr>
                      <w:rFonts w:hint="default" w:ascii="Times New Roman" w:hAnsi="Times New Roman" w:eastAsia="宋体" w:cs="Times New Roman"/>
                      <w:color w:val="auto"/>
                    </w:rPr>
                    <w:t>氮氧化物</w:t>
                  </w:r>
                </w:p>
              </w:tc>
              <w:tc>
                <w:tcPr>
                  <w:tcW w:w="1033" w:type="pct"/>
                  <w:tcBorders>
                    <w:tl2br w:val="nil"/>
                    <w:tr2bl w:val="nil"/>
                  </w:tcBorders>
                  <w:noWrap w:val="0"/>
                  <w:vAlign w:val="center"/>
                </w:tcPr>
                <w:p w14:paraId="4349B12D">
                  <w:pPr>
                    <w:pStyle w:val="17"/>
                    <w:bidi w:val="0"/>
                    <w:rPr>
                      <w:rFonts w:hint="default" w:ascii="Times New Roman" w:hAnsi="Times New Roman" w:eastAsia="宋体" w:cs="Times New Roman"/>
                      <w:color w:val="auto"/>
                      <w:lang w:val="en-US" w:eastAsia="zh-CN"/>
                    </w:rPr>
                  </w:pPr>
                  <w:r>
                    <w:rPr>
                      <w:rFonts w:hint="eastAsia" w:cs="Times New Roman"/>
                      <w:color w:val="auto"/>
                      <w:lang w:val="en-US" w:eastAsia="zh-CN"/>
                    </w:rPr>
                    <w:t>200</w:t>
                  </w:r>
                </w:p>
              </w:tc>
              <w:tc>
                <w:tcPr>
                  <w:tcW w:w="1291" w:type="pct"/>
                  <w:tcBorders>
                    <w:tl2br w:val="nil"/>
                    <w:tr2bl w:val="nil"/>
                  </w:tcBorders>
                  <w:noWrap w:val="0"/>
                  <w:vAlign w:val="center"/>
                </w:tcPr>
                <w:p w14:paraId="1B731BDA">
                  <w:pPr>
                    <w:pStyle w:val="17"/>
                    <w:bidi w:val="0"/>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1455" w:type="pct"/>
                  <w:vMerge w:val="continue"/>
                  <w:tcBorders>
                    <w:tl2br w:val="nil"/>
                    <w:tr2bl w:val="nil"/>
                  </w:tcBorders>
                  <w:noWrap w:val="0"/>
                  <w:vAlign w:val="center"/>
                </w:tcPr>
                <w:p w14:paraId="570EA3DB">
                  <w:pPr>
                    <w:pStyle w:val="17"/>
                    <w:bidi w:val="0"/>
                    <w:rPr>
                      <w:rFonts w:hint="default" w:ascii="Times New Roman" w:hAnsi="Times New Roman" w:eastAsia="宋体" w:cs="Times New Roman"/>
                      <w:color w:val="auto"/>
                    </w:rPr>
                  </w:pPr>
                </w:p>
              </w:tc>
            </w:tr>
          </w:tbl>
          <w:p w14:paraId="11D82530">
            <w:pPr>
              <w:pStyle w:val="3"/>
              <w:ind w:firstLine="480"/>
              <w:rPr>
                <w:rFonts w:eastAsia="宋体"/>
              </w:rPr>
            </w:pPr>
            <w:r>
              <w:rPr>
                <w:rFonts w:hint="eastAsia" w:eastAsia="宋体"/>
              </w:rPr>
              <w:t>（2）废水</w:t>
            </w:r>
          </w:p>
          <w:p w14:paraId="55B74554">
            <w:pPr>
              <w:pStyle w:val="3"/>
              <w:ind w:firstLine="480"/>
              <w:rPr>
                <w:rFonts w:eastAsia="宋体"/>
              </w:rPr>
            </w:pPr>
            <w:r>
              <w:rPr>
                <w:rFonts w:hint="eastAsia" w:eastAsia="宋体"/>
              </w:rPr>
              <w:t>本项目为探井工程，仅有施工期。施工期产生的作业废水采用罐车拉运送至附近</w:t>
            </w:r>
            <w:r>
              <w:rPr>
                <w:rFonts w:hint="eastAsia" w:eastAsia="宋体"/>
                <w:lang w:val="en-US" w:eastAsia="zh-CN"/>
              </w:rPr>
              <w:t>沙埝</w:t>
            </w:r>
            <w:r>
              <w:rPr>
                <w:rFonts w:hint="eastAsia" w:eastAsia="宋体"/>
                <w:highlight w:val="none"/>
              </w:rPr>
              <w:t>联合站</w:t>
            </w:r>
            <w:r>
              <w:rPr>
                <w:rFonts w:hint="eastAsia" w:eastAsia="宋体"/>
              </w:rPr>
              <w:t>的水处理回注系统处理后再回注油层，不外排。油田注水水质指标执行中华人民共和国石油天然气行业标准，即《</w:t>
            </w:r>
            <w:r>
              <w:rPr>
                <w:rFonts w:hint="eastAsia" w:eastAsia="宋体"/>
                <w:color w:val="000000" w:themeColor="text1"/>
                <w14:textFill>
                  <w14:solidFill>
                    <w14:schemeClr w14:val="tx1"/>
                  </w14:solidFill>
                </w14:textFill>
              </w:rPr>
              <w:t>碎屑岩油藏注水水质指标技术要求及分析方法</w:t>
            </w:r>
            <w:r>
              <w:rPr>
                <w:rFonts w:hint="eastAsia" w:eastAsia="宋体"/>
              </w:rPr>
              <w:t>》（</w:t>
            </w:r>
            <w:r>
              <w:rPr>
                <w:rFonts w:hint="eastAsia" w:eastAsia="宋体"/>
                <w:color w:val="000000" w:themeColor="text1"/>
                <w14:textFill>
                  <w14:solidFill>
                    <w14:schemeClr w14:val="tx1"/>
                  </w14:solidFill>
                </w14:textFill>
              </w:rPr>
              <w:t>SY/T5329-2022</w:t>
            </w:r>
            <w:r>
              <w:rPr>
                <w:rFonts w:hint="eastAsia" w:eastAsia="宋体"/>
              </w:rPr>
              <w:t>）标准（该标准为行业标准，非环境排放标准）</w:t>
            </w:r>
            <w:r>
              <w:rPr>
                <w:rFonts w:eastAsia="宋体"/>
              </w:rPr>
              <w:t>。</w:t>
            </w:r>
          </w:p>
          <w:p w14:paraId="6AB62543">
            <w:pPr>
              <w:pStyle w:val="16"/>
              <w:rPr>
                <w:rFonts w:eastAsia="宋体"/>
              </w:rPr>
            </w:pPr>
            <w:r>
              <w:rPr>
                <w:rFonts w:hint="eastAsia" w:eastAsia="宋体"/>
              </w:rPr>
              <w:t>表3-</w:t>
            </w:r>
            <w:r>
              <w:rPr>
                <w:rFonts w:hint="eastAsia" w:eastAsia="宋体"/>
                <w:lang w:val="en-US" w:eastAsia="zh-CN"/>
              </w:rPr>
              <w:t>8</w:t>
            </w:r>
            <w:r>
              <w:rPr>
                <w:rFonts w:hint="eastAsia" w:eastAsia="宋体"/>
              </w:rPr>
              <w:t xml:space="preserve">  碎屑岩油藏注水水质指标</w:t>
            </w:r>
          </w:p>
          <w:tbl>
            <w:tblPr>
              <w:tblStyle w:val="1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78"/>
              <w:gridCol w:w="931"/>
              <w:gridCol w:w="1293"/>
              <w:gridCol w:w="1275"/>
              <w:gridCol w:w="1125"/>
              <w:gridCol w:w="958"/>
            </w:tblGrid>
            <w:tr w14:paraId="0ED185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8" w:type="pct"/>
                  <w:noWrap w:val="0"/>
                  <w:vAlign w:val="center"/>
                </w:tcPr>
                <w:p w14:paraId="02F14A47">
                  <w:pPr>
                    <w:pStyle w:val="17"/>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储</w:t>
                  </w:r>
                  <w:r>
                    <w:rPr>
                      <w:rFonts w:hint="default" w:ascii="Times New Roman" w:hAnsi="Times New Roman" w:eastAsia="宋体" w:cs="Times New Roman"/>
                      <w:color w:val="000000"/>
                      <w:sz w:val="21"/>
                      <w:szCs w:val="21"/>
                    </w:rPr>
                    <w:t>层空气渗透率</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μm</w:t>
                  </w:r>
                  <w:r>
                    <w:rPr>
                      <w:rFonts w:hint="default" w:ascii="Times New Roman" w:hAnsi="Times New Roman" w:eastAsia="宋体" w:cs="Times New Roman"/>
                      <w:color w:val="000000"/>
                      <w:sz w:val="21"/>
                      <w:szCs w:val="21"/>
                      <w:vertAlign w:val="superscript"/>
                    </w:rPr>
                    <w:t>2</w:t>
                  </w:r>
                </w:p>
              </w:tc>
              <w:tc>
                <w:tcPr>
                  <w:tcW w:w="623" w:type="pct"/>
                  <w:noWrap w:val="0"/>
                  <w:vAlign w:val="center"/>
                </w:tcPr>
                <w:p w14:paraId="6BBA0393">
                  <w:pPr>
                    <w:pStyle w:val="17"/>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rPr>
                    <w:t>0.01</w:t>
                  </w:r>
                </w:p>
              </w:tc>
              <w:tc>
                <w:tcPr>
                  <w:tcW w:w="866" w:type="pct"/>
                  <w:noWrap w:val="0"/>
                  <w:vAlign w:val="center"/>
                </w:tcPr>
                <w:p w14:paraId="0530B3EE">
                  <w:pPr>
                    <w:pStyle w:val="17"/>
                    <w:jc w:val="both"/>
                    <w:rPr>
                      <w:rFonts w:hint="eastAsia" w:ascii="Times New Roman" w:hAnsi="Times New Roman" w:eastAsia="宋体" w:cs="Times New Roman"/>
                      <w:color w:val="000000"/>
                      <w:sz w:val="21"/>
                      <w:szCs w:val="21"/>
                      <w:lang w:val="en-US" w:eastAsia="zh-CN"/>
                    </w:rPr>
                  </w:pPr>
                  <w:r>
                    <w:rPr>
                      <w:rFonts w:hint="eastAsia" w:ascii="宋体" w:hAnsi="宋体" w:eastAsia="宋体" w:cs="宋体"/>
                      <w:color w:val="000000"/>
                      <w:sz w:val="21"/>
                      <w:szCs w:val="21"/>
                      <w:lang w:val="en-US" w:eastAsia="zh-CN"/>
                    </w:rPr>
                    <w:t>[</w:t>
                  </w:r>
                  <w:r>
                    <w:rPr>
                      <w:rFonts w:hint="default" w:ascii="Times New Roman" w:hAnsi="Times New Roman" w:eastAsia="宋体" w:cs="Times New Roman"/>
                      <w:color w:val="000000"/>
                      <w:sz w:val="21"/>
                      <w:szCs w:val="21"/>
                    </w:rPr>
                    <w:t>0.01</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rPr>
                    <w:t>0.0</w:t>
                  </w:r>
                  <w:r>
                    <w:rPr>
                      <w:rFonts w:hint="eastAsia" w:eastAsia="宋体" w:cs="Times New Roman"/>
                      <w:color w:val="000000"/>
                      <w:sz w:val="21"/>
                      <w:szCs w:val="21"/>
                      <w:lang w:val="en-US" w:eastAsia="zh-CN"/>
                    </w:rPr>
                    <w:t>5</w:t>
                  </w:r>
                  <w:r>
                    <w:rPr>
                      <w:rFonts w:hint="default" w:ascii="Times New Roman" w:hAnsi="Times New Roman" w:eastAsia="宋体" w:cs="Times New Roman"/>
                      <w:color w:val="000000"/>
                      <w:sz w:val="24"/>
                      <w:lang w:val="en-US" w:eastAsia="zh-CN"/>
                    </w:rPr>
                    <w:t>）</w:t>
                  </w:r>
                </w:p>
              </w:tc>
              <w:tc>
                <w:tcPr>
                  <w:tcW w:w="854" w:type="pct"/>
                  <w:noWrap w:val="0"/>
                  <w:vAlign w:val="center"/>
                </w:tcPr>
                <w:p w14:paraId="0D0550FC">
                  <w:pPr>
                    <w:pStyle w:val="17"/>
                    <w:jc w:val="center"/>
                    <w:rPr>
                      <w:rFonts w:hint="default" w:ascii="Times New Roman" w:hAnsi="Times New Roman" w:eastAsia="宋体" w:cs="Times New Roman"/>
                      <w:color w:val="000000"/>
                      <w:sz w:val="21"/>
                      <w:szCs w:val="21"/>
                    </w:rPr>
                  </w:pPr>
                  <w:r>
                    <w:rPr>
                      <w:rFonts w:hint="eastAsia" w:ascii="宋体" w:hAnsi="宋体" w:eastAsia="宋体" w:cs="宋体"/>
                      <w:color w:val="000000"/>
                      <w:sz w:val="21"/>
                      <w:szCs w:val="21"/>
                      <w:lang w:val="en-US" w:eastAsia="zh-CN"/>
                    </w:rPr>
                    <w:t>[</w:t>
                  </w:r>
                  <w:r>
                    <w:rPr>
                      <w:rFonts w:hint="default" w:ascii="Times New Roman" w:hAnsi="Times New Roman" w:eastAsia="宋体" w:cs="Times New Roman"/>
                      <w:color w:val="000000"/>
                      <w:sz w:val="21"/>
                      <w:szCs w:val="21"/>
                    </w:rPr>
                    <w:t>0.0</w:t>
                  </w:r>
                  <w:r>
                    <w:rPr>
                      <w:rFonts w:hint="eastAsia" w:ascii="Times New Roman" w:hAnsi="Times New Roman" w:eastAsia="宋体" w:cs="Times New Roman"/>
                      <w:color w:val="000000"/>
                      <w:sz w:val="21"/>
                      <w:szCs w:val="21"/>
                      <w:lang w:val="en-US" w:eastAsia="zh-CN"/>
                    </w:rPr>
                    <w:t>5,</w:t>
                  </w:r>
                  <w:r>
                    <w:rPr>
                      <w:rFonts w:hint="default" w:ascii="Times New Roman" w:hAnsi="Times New Roman" w:eastAsia="宋体" w:cs="Times New Roman"/>
                      <w:color w:val="000000"/>
                      <w:sz w:val="21"/>
                      <w:szCs w:val="21"/>
                    </w:rPr>
                    <w:t>0.5</w:t>
                  </w:r>
                  <w:r>
                    <w:rPr>
                      <w:rFonts w:hint="default" w:ascii="Times New Roman" w:hAnsi="Times New Roman" w:eastAsia="宋体" w:cs="Times New Roman"/>
                      <w:color w:val="000000"/>
                      <w:sz w:val="24"/>
                      <w:lang w:val="en-US" w:eastAsia="zh-CN"/>
                    </w:rPr>
                    <w:t>）</w:t>
                  </w:r>
                </w:p>
              </w:tc>
              <w:tc>
                <w:tcPr>
                  <w:tcW w:w="754" w:type="pct"/>
                  <w:noWrap w:val="0"/>
                  <w:vAlign w:val="center"/>
                </w:tcPr>
                <w:p w14:paraId="7F456968">
                  <w:pPr>
                    <w:pStyle w:val="17"/>
                    <w:jc w:val="center"/>
                    <w:rPr>
                      <w:rFonts w:hint="default" w:ascii="Times New Roman" w:hAnsi="Times New Roman" w:eastAsia="宋体" w:cs="Times New Roman"/>
                      <w:color w:val="000000"/>
                      <w:sz w:val="21"/>
                      <w:szCs w:val="21"/>
                    </w:rPr>
                  </w:pPr>
                  <w:r>
                    <w:rPr>
                      <w:rFonts w:hint="eastAsia" w:ascii="宋体" w:hAnsi="宋体" w:eastAsia="宋体" w:cs="宋体"/>
                      <w:color w:val="000000"/>
                      <w:sz w:val="21"/>
                      <w:szCs w:val="21"/>
                      <w:lang w:val="en-US" w:eastAsia="zh-CN"/>
                    </w:rPr>
                    <w:t>[</w:t>
                  </w:r>
                  <w:r>
                    <w:rPr>
                      <w:rFonts w:hint="default" w:ascii="Times New Roman" w:hAnsi="Times New Roman" w:eastAsia="宋体" w:cs="Times New Roman"/>
                      <w:color w:val="000000"/>
                      <w:sz w:val="21"/>
                      <w:szCs w:val="21"/>
                    </w:rPr>
                    <w:t>0.</w:t>
                  </w:r>
                  <w:r>
                    <w:rPr>
                      <w:rFonts w:hint="eastAsia" w:ascii="Times New Roman" w:hAnsi="Times New Roman" w:eastAsia="宋体" w:cs="Times New Roman"/>
                      <w:color w:val="000000"/>
                      <w:sz w:val="21"/>
                      <w:szCs w:val="21"/>
                      <w:lang w:val="en-US" w:eastAsia="zh-CN"/>
                    </w:rPr>
                    <w:t>5,2</w:t>
                  </w:r>
                  <w:r>
                    <w:rPr>
                      <w:rFonts w:hint="default" w:ascii="Times New Roman" w:hAnsi="Times New Roman" w:eastAsia="宋体" w:cs="Times New Roman"/>
                      <w:color w:val="000000"/>
                      <w:sz w:val="21"/>
                      <w:szCs w:val="21"/>
                    </w:rPr>
                    <w:t>.0</w:t>
                  </w:r>
                  <w:r>
                    <w:rPr>
                      <w:rFonts w:hint="default" w:ascii="Times New Roman" w:hAnsi="Times New Roman" w:eastAsia="宋体" w:cs="Times New Roman"/>
                      <w:color w:val="000000"/>
                      <w:sz w:val="24"/>
                      <w:lang w:val="en-US" w:eastAsia="zh-CN"/>
                    </w:rPr>
                    <w:t>）</w:t>
                  </w:r>
                </w:p>
              </w:tc>
              <w:tc>
                <w:tcPr>
                  <w:tcW w:w="642" w:type="pct"/>
                  <w:noWrap w:val="0"/>
                  <w:vAlign w:val="center"/>
                </w:tcPr>
                <w:p w14:paraId="0317E97B">
                  <w:pPr>
                    <w:pStyle w:val="17"/>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≥2</w:t>
                  </w:r>
                </w:p>
              </w:tc>
            </w:tr>
            <w:tr w14:paraId="25EF7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8" w:type="pct"/>
                  <w:noWrap w:val="0"/>
                  <w:vAlign w:val="center"/>
                </w:tcPr>
                <w:p w14:paraId="66B99AC2">
                  <w:pPr>
                    <w:pStyle w:val="17"/>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水质标准分级</w:t>
                  </w:r>
                </w:p>
              </w:tc>
              <w:tc>
                <w:tcPr>
                  <w:tcW w:w="623" w:type="pct"/>
                  <w:noWrap w:val="0"/>
                  <w:vAlign w:val="center"/>
                </w:tcPr>
                <w:p w14:paraId="599B0ACC">
                  <w:pPr>
                    <w:pStyle w:val="17"/>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Ⅰ</w:t>
                  </w:r>
                </w:p>
              </w:tc>
              <w:tc>
                <w:tcPr>
                  <w:tcW w:w="866" w:type="pct"/>
                  <w:noWrap w:val="0"/>
                  <w:vAlign w:val="center"/>
                </w:tcPr>
                <w:p w14:paraId="370793A2">
                  <w:pPr>
                    <w:pStyle w:val="17"/>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Ⅱ</w:t>
                  </w:r>
                </w:p>
              </w:tc>
              <w:tc>
                <w:tcPr>
                  <w:tcW w:w="854" w:type="pct"/>
                  <w:noWrap w:val="0"/>
                  <w:vAlign w:val="center"/>
                </w:tcPr>
                <w:p w14:paraId="281F227B">
                  <w:pPr>
                    <w:pStyle w:val="17"/>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Ⅲ</w:t>
                  </w:r>
                </w:p>
              </w:tc>
              <w:tc>
                <w:tcPr>
                  <w:tcW w:w="754" w:type="pct"/>
                  <w:noWrap w:val="0"/>
                  <w:vAlign w:val="center"/>
                </w:tcPr>
                <w:p w14:paraId="24FEA9C0">
                  <w:pPr>
                    <w:pStyle w:val="17"/>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Ⅳ</w:t>
                  </w:r>
                </w:p>
              </w:tc>
              <w:tc>
                <w:tcPr>
                  <w:tcW w:w="642" w:type="pct"/>
                  <w:noWrap w:val="0"/>
                  <w:vAlign w:val="center"/>
                </w:tcPr>
                <w:p w14:paraId="0FC7B105">
                  <w:pPr>
                    <w:pStyle w:val="17"/>
                    <w:jc w:val="center"/>
                    <w:rPr>
                      <w:rFonts w:hint="default" w:ascii="Times New Roman" w:hAnsi="Times New Roman" w:eastAsia="宋体" w:cs="Times New Roman"/>
                      <w:color w:val="000000"/>
                      <w:sz w:val="21"/>
                      <w:szCs w:val="21"/>
                      <w:lang w:val="en-US"/>
                    </w:rPr>
                  </w:pPr>
                  <w:r>
                    <w:rPr>
                      <w:rFonts w:hint="eastAsia" w:ascii="宋体" w:hAnsi="宋体" w:eastAsia="宋体" w:cs="宋体"/>
                      <w:color w:val="000000"/>
                      <w:sz w:val="21"/>
                      <w:szCs w:val="21"/>
                      <w:lang w:val="en-US" w:eastAsia="zh-CN"/>
                    </w:rPr>
                    <w:t>Ⅴ</w:t>
                  </w:r>
                </w:p>
              </w:tc>
            </w:tr>
            <w:tr w14:paraId="471781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8" w:type="pct"/>
                  <w:noWrap w:val="0"/>
                  <w:vAlign w:val="center"/>
                </w:tcPr>
                <w:p w14:paraId="5046606A">
                  <w:pPr>
                    <w:pStyle w:val="17"/>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悬浮固体含量，mg/L</w:t>
                  </w:r>
                </w:p>
              </w:tc>
              <w:tc>
                <w:tcPr>
                  <w:tcW w:w="623" w:type="pct"/>
                  <w:noWrap w:val="0"/>
                  <w:vAlign w:val="center"/>
                </w:tcPr>
                <w:p w14:paraId="3E57F5B4">
                  <w:pPr>
                    <w:pStyle w:val="17"/>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w:t>
                  </w:r>
                  <w:r>
                    <w:rPr>
                      <w:rFonts w:hint="eastAsia" w:ascii="Times New Roman" w:hAnsi="Times New Roman" w:eastAsia="宋体" w:cs="Times New Roman"/>
                      <w:color w:val="000000"/>
                      <w:sz w:val="21"/>
                      <w:szCs w:val="21"/>
                      <w:lang w:val="en-US" w:eastAsia="zh-CN"/>
                    </w:rPr>
                    <w:t>8.0</w:t>
                  </w:r>
                </w:p>
              </w:tc>
              <w:tc>
                <w:tcPr>
                  <w:tcW w:w="866" w:type="pct"/>
                  <w:noWrap w:val="0"/>
                  <w:vAlign w:val="center"/>
                </w:tcPr>
                <w:p w14:paraId="5D98FB5E">
                  <w:pPr>
                    <w:pStyle w:val="17"/>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w:t>
                  </w:r>
                  <w:r>
                    <w:rPr>
                      <w:rFonts w:hint="eastAsia" w:ascii="Times New Roman" w:hAnsi="Times New Roman" w:eastAsia="宋体" w:cs="Times New Roman"/>
                      <w:color w:val="000000"/>
                      <w:sz w:val="21"/>
                      <w:szCs w:val="21"/>
                      <w:lang w:val="en-US" w:eastAsia="zh-CN"/>
                    </w:rPr>
                    <w:t>15.0</w:t>
                  </w:r>
                </w:p>
              </w:tc>
              <w:tc>
                <w:tcPr>
                  <w:tcW w:w="854" w:type="pct"/>
                  <w:noWrap w:val="0"/>
                  <w:vAlign w:val="center"/>
                </w:tcPr>
                <w:p w14:paraId="7269C8DD">
                  <w:pPr>
                    <w:pStyle w:val="17"/>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w:t>
                  </w:r>
                  <w:r>
                    <w:rPr>
                      <w:rFonts w:hint="eastAsia" w:ascii="Times New Roman" w:hAnsi="Times New Roman" w:eastAsia="宋体" w:cs="Times New Roman"/>
                      <w:color w:val="000000"/>
                      <w:sz w:val="21"/>
                      <w:szCs w:val="21"/>
                      <w:lang w:val="en-US" w:eastAsia="zh-CN"/>
                    </w:rPr>
                    <w:t>20.0</w:t>
                  </w:r>
                </w:p>
              </w:tc>
              <w:tc>
                <w:tcPr>
                  <w:tcW w:w="754" w:type="pct"/>
                  <w:noWrap w:val="0"/>
                  <w:vAlign w:val="center"/>
                </w:tcPr>
                <w:p w14:paraId="4933A121">
                  <w:pPr>
                    <w:pStyle w:val="17"/>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w:t>
                  </w:r>
                  <w:r>
                    <w:rPr>
                      <w:rFonts w:hint="eastAsia" w:ascii="Times New Roman" w:hAnsi="Times New Roman" w:eastAsia="宋体" w:cs="Times New Roman"/>
                      <w:color w:val="000000"/>
                      <w:sz w:val="21"/>
                      <w:szCs w:val="21"/>
                      <w:lang w:val="en-US" w:eastAsia="zh-CN"/>
                    </w:rPr>
                    <w:t>25.0</w:t>
                  </w:r>
                </w:p>
              </w:tc>
              <w:tc>
                <w:tcPr>
                  <w:tcW w:w="642" w:type="pct"/>
                  <w:noWrap w:val="0"/>
                  <w:vAlign w:val="center"/>
                </w:tcPr>
                <w:p w14:paraId="741FCD2A">
                  <w:pPr>
                    <w:pStyle w:val="17"/>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w:t>
                  </w:r>
                  <w:r>
                    <w:rPr>
                      <w:rFonts w:hint="eastAsia" w:ascii="Times New Roman" w:hAnsi="Times New Roman" w:eastAsia="宋体" w:cs="Times New Roman"/>
                      <w:color w:val="000000"/>
                      <w:sz w:val="21"/>
                      <w:szCs w:val="21"/>
                      <w:lang w:val="en-US" w:eastAsia="zh-CN"/>
                    </w:rPr>
                    <w:t>35.0</w:t>
                  </w:r>
                </w:p>
              </w:tc>
            </w:tr>
            <w:tr w14:paraId="2DE6CB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8" w:type="pct"/>
                  <w:noWrap w:val="0"/>
                  <w:vAlign w:val="center"/>
                </w:tcPr>
                <w:p w14:paraId="1E2B51FA">
                  <w:pPr>
                    <w:pStyle w:val="17"/>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悬浮颗粒直径中值，μm</w:t>
                  </w:r>
                </w:p>
              </w:tc>
              <w:tc>
                <w:tcPr>
                  <w:tcW w:w="623" w:type="pct"/>
                  <w:noWrap w:val="0"/>
                  <w:vAlign w:val="center"/>
                </w:tcPr>
                <w:p w14:paraId="1E3D541E">
                  <w:pPr>
                    <w:pStyle w:val="17"/>
                    <w:jc w:val="center"/>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w:t>
                  </w:r>
                  <w:r>
                    <w:rPr>
                      <w:rFonts w:hint="eastAsia" w:ascii="Times New Roman" w:hAnsi="Times New Roman" w:eastAsia="宋体" w:cs="Times New Roman"/>
                      <w:color w:val="000000"/>
                      <w:sz w:val="21"/>
                      <w:szCs w:val="21"/>
                      <w:lang w:val="en-US" w:eastAsia="zh-CN"/>
                    </w:rPr>
                    <w:t>3.0</w:t>
                  </w:r>
                </w:p>
              </w:tc>
              <w:tc>
                <w:tcPr>
                  <w:tcW w:w="866" w:type="pct"/>
                  <w:noWrap w:val="0"/>
                  <w:vAlign w:val="center"/>
                </w:tcPr>
                <w:p w14:paraId="31840257">
                  <w:pPr>
                    <w:pStyle w:val="17"/>
                    <w:jc w:val="center"/>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w:t>
                  </w:r>
                  <w:r>
                    <w:rPr>
                      <w:rFonts w:hint="eastAsia" w:ascii="Times New Roman" w:hAnsi="Times New Roman" w:eastAsia="宋体" w:cs="Times New Roman"/>
                      <w:color w:val="000000"/>
                      <w:sz w:val="21"/>
                      <w:szCs w:val="21"/>
                      <w:lang w:val="en-US" w:eastAsia="zh-CN"/>
                    </w:rPr>
                    <w:t>5.0</w:t>
                  </w:r>
                </w:p>
              </w:tc>
              <w:tc>
                <w:tcPr>
                  <w:tcW w:w="854" w:type="pct"/>
                  <w:noWrap w:val="0"/>
                  <w:vAlign w:val="center"/>
                </w:tcPr>
                <w:p w14:paraId="2738BE18">
                  <w:pPr>
                    <w:pStyle w:val="17"/>
                    <w:jc w:val="center"/>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w:t>
                  </w:r>
                  <w:r>
                    <w:rPr>
                      <w:rFonts w:hint="eastAsia" w:ascii="Times New Roman" w:hAnsi="Times New Roman" w:eastAsia="宋体" w:cs="Times New Roman"/>
                      <w:color w:val="000000"/>
                      <w:sz w:val="21"/>
                      <w:szCs w:val="21"/>
                      <w:lang w:val="en-US" w:eastAsia="zh-CN"/>
                    </w:rPr>
                    <w:t>5.0</w:t>
                  </w:r>
                </w:p>
              </w:tc>
              <w:tc>
                <w:tcPr>
                  <w:tcW w:w="754" w:type="pct"/>
                  <w:noWrap w:val="0"/>
                  <w:vAlign w:val="center"/>
                </w:tcPr>
                <w:p w14:paraId="221B3A1E">
                  <w:pPr>
                    <w:pStyle w:val="17"/>
                    <w:jc w:val="center"/>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w:t>
                  </w:r>
                  <w:r>
                    <w:rPr>
                      <w:rFonts w:hint="eastAsia" w:ascii="Times New Roman" w:hAnsi="Times New Roman" w:eastAsia="宋体" w:cs="Times New Roman"/>
                      <w:color w:val="000000"/>
                      <w:sz w:val="21"/>
                      <w:szCs w:val="21"/>
                      <w:lang w:val="en-US" w:eastAsia="zh-CN"/>
                    </w:rPr>
                    <w:t>5.0</w:t>
                  </w:r>
                </w:p>
              </w:tc>
              <w:tc>
                <w:tcPr>
                  <w:tcW w:w="642" w:type="pct"/>
                  <w:noWrap w:val="0"/>
                  <w:vAlign w:val="center"/>
                </w:tcPr>
                <w:p w14:paraId="4D0C086E">
                  <w:pPr>
                    <w:pStyle w:val="17"/>
                    <w:jc w:val="center"/>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≤5.</w:t>
                  </w:r>
                  <w:r>
                    <w:rPr>
                      <w:rFonts w:hint="eastAsia" w:ascii="Times New Roman" w:hAnsi="Times New Roman" w:eastAsia="宋体" w:cs="Times New Roman"/>
                      <w:color w:val="000000"/>
                      <w:sz w:val="21"/>
                      <w:szCs w:val="21"/>
                      <w:lang w:val="en-US" w:eastAsia="zh-CN"/>
                    </w:rPr>
                    <w:t>5</w:t>
                  </w:r>
                </w:p>
              </w:tc>
            </w:tr>
            <w:tr w14:paraId="2E234B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8" w:type="pct"/>
                  <w:noWrap w:val="0"/>
                  <w:vAlign w:val="center"/>
                </w:tcPr>
                <w:p w14:paraId="17553416">
                  <w:pPr>
                    <w:pStyle w:val="17"/>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含油量，mg/L</w:t>
                  </w:r>
                </w:p>
              </w:tc>
              <w:tc>
                <w:tcPr>
                  <w:tcW w:w="623" w:type="pct"/>
                  <w:noWrap w:val="0"/>
                  <w:vAlign w:val="center"/>
                </w:tcPr>
                <w:p w14:paraId="1F81011E">
                  <w:pPr>
                    <w:pStyle w:val="17"/>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w:t>
                  </w:r>
                </w:p>
              </w:tc>
              <w:tc>
                <w:tcPr>
                  <w:tcW w:w="866" w:type="pct"/>
                  <w:noWrap w:val="0"/>
                  <w:vAlign w:val="center"/>
                </w:tcPr>
                <w:p w14:paraId="645BB470">
                  <w:pPr>
                    <w:pStyle w:val="17"/>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r>
                    <w:rPr>
                      <w:rFonts w:hint="eastAsia" w:ascii="Times New Roman" w:hAnsi="Times New Roman" w:eastAsia="宋体" w:cs="Times New Roman"/>
                      <w:color w:val="000000"/>
                      <w:sz w:val="21"/>
                      <w:szCs w:val="21"/>
                      <w:lang w:val="en-US" w:eastAsia="zh-CN"/>
                    </w:rPr>
                    <w:t>10</w:t>
                  </w:r>
                  <w:r>
                    <w:rPr>
                      <w:rFonts w:hint="default" w:ascii="Times New Roman" w:hAnsi="Times New Roman" w:eastAsia="宋体" w:cs="Times New Roman"/>
                      <w:color w:val="000000"/>
                      <w:sz w:val="21"/>
                      <w:szCs w:val="21"/>
                    </w:rPr>
                    <w:t>.0</w:t>
                  </w:r>
                </w:p>
              </w:tc>
              <w:tc>
                <w:tcPr>
                  <w:tcW w:w="854" w:type="pct"/>
                  <w:noWrap w:val="0"/>
                  <w:vAlign w:val="center"/>
                </w:tcPr>
                <w:p w14:paraId="76015602">
                  <w:pPr>
                    <w:pStyle w:val="17"/>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≤15.0</w:t>
                  </w:r>
                </w:p>
              </w:tc>
              <w:tc>
                <w:tcPr>
                  <w:tcW w:w="754" w:type="pct"/>
                  <w:noWrap w:val="0"/>
                  <w:vAlign w:val="center"/>
                </w:tcPr>
                <w:p w14:paraId="6D2422CD">
                  <w:pPr>
                    <w:pStyle w:val="17"/>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≤30.0</w:t>
                  </w:r>
                </w:p>
              </w:tc>
              <w:tc>
                <w:tcPr>
                  <w:tcW w:w="642" w:type="pct"/>
                  <w:noWrap w:val="0"/>
                  <w:vAlign w:val="center"/>
                </w:tcPr>
                <w:p w14:paraId="53531B02">
                  <w:pPr>
                    <w:pStyle w:val="17"/>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r>
                    <w:rPr>
                      <w:rFonts w:hint="eastAsia" w:ascii="Times New Roman" w:hAnsi="Times New Roman" w:eastAsia="宋体" w:cs="Times New Roman"/>
                      <w:color w:val="000000"/>
                      <w:sz w:val="21"/>
                      <w:szCs w:val="21"/>
                      <w:lang w:val="en-US" w:eastAsia="zh-CN"/>
                    </w:rPr>
                    <w:t>100</w:t>
                  </w:r>
                  <w:r>
                    <w:rPr>
                      <w:rFonts w:hint="default" w:ascii="Times New Roman" w:hAnsi="Times New Roman" w:eastAsia="宋体" w:cs="Times New Roman"/>
                      <w:color w:val="000000"/>
                      <w:sz w:val="21"/>
                      <w:szCs w:val="21"/>
                    </w:rPr>
                    <w:t>.0</w:t>
                  </w:r>
                </w:p>
              </w:tc>
            </w:tr>
            <w:tr w14:paraId="5E2EC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8" w:type="pct"/>
                  <w:noWrap w:val="0"/>
                  <w:vAlign w:val="center"/>
                </w:tcPr>
                <w:p w14:paraId="6FF8BD82">
                  <w:pPr>
                    <w:pStyle w:val="17"/>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平均腐蚀率，mm/年</w:t>
                  </w:r>
                </w:p>
              </w:tc>
              <w:tc>
                <w:tcPr>
                  <w:tcW w:w="3741" w:type="pct"/>
                  <w:gridSpan w:val="5"/>
                  <w:noWrap w:val="0"/>
                  <w:vAlign w:val="center"/>
                </w:tcPr>
                <w:p w14:paraId="015EB99F">
                  <w:pPr>
                    <w:pStyle w:val="17"/>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≤0.076</w:t>
                  </w:r>
                </w:p>
              </w:tc>
            </w:tr>
          </w:tbl>
          <w:p w14:paraId="46DFA1F8">
            <w:pPr>
              <w:pStyle w:val="3"/>
              <w:ind w:left="0" w:leftChars="0" w:firstLine="480" w:firstLineChars="200"/>
              <w:rPr>
                <w:rFonts w:eastAsia="宋体"/>
              </w:rPr>
            </w:pPr>
            <w:r>
              <w:rPr>
                <w:rFonts w:hint="eastAsia" w:eastAsia="宋体"/>
              </w:rPr>
              <w:t>（3）</w:t>
            </w:r>
            <w:r>
              <w:rPr>
                <w:rFonts w:eastAsia="宋体"/>
              </w:rPr>
              <w:t>噪声</w:t>
            </w:r>
          </w:p>
          <w:p w14:paraId="5E7D248F">
            <w:pPr>
              <w:pStyle w:val="3"/>
              <w:ind w:firstLine="480"/>
              <w:rPr>
                <w:rFonts w:eastAsia="宋体"/>
              </w:rPr>
            </w:pPr>
            <w:r>
              <w:rPr>
                <w:rFonts w:hint="eastAsia" w:eastAsia="宋体"/>
              </w:rPr>
              <w:t>勘探期</w:t>
            </w:r>
            <w:r>
              <w:rPr>
                <w:rFonts w:eastAsia="宋体"/>
              </w:rPr>
              <w:t>噪声排放标准执行《</w:t>
            </w:r>
            <w:r>
              <w:rPr>
                <w:rFonts w:hint="eastAsia" w:eastAsia="宋体"/>
              </w:rPr>
              <w:t>建筑施工场界环境噪声</w:t>
            </w:r>
            <w:r>
              <w:rPr>
                <w:rFonts w:eastAsia="宋体"/>
              </w:rPr>
              <w:t>排放标准》（GB 112523-2011）</w:t>
            </w:r>
            <w:r>
              <w:rPr>
                <w:rFonts w:hint="eastAsia" w:eastAsia="宋体"/>
              </w:rPr>
              <w:t>中标准限值</w:t>
            </w:r>
            <w:r>
              <w:rPr>
                <w:rFonts w:eastAsia="宋体"/>
              </w:rPr>
              <w:t>。</w:t>
            </w:r>
          </w:p>
          <w:p w14:paraId="2FF2CDA5">
            <w:pPr>
              <w:pStyle w:val="16"/>
              <w:rPr>
                <w:rFonts w:eastAsia="宋体"/>
              </w:rPr>
            </w:pPr>
            <w:r>
              <w:rPr>
                <w:rFonts w:eastAsia="宋体"/>
              </w:rPr>
              <w:t>表</w:t>
            </w:r>
            <w:r>
              <w:rPr>
                <w:rFonts w:hint="eastAsia" w:eastAsia="宋体"/>
              </w:rPr>
              <w:t>3-</w:t>
            </w:r>
            <w:r>
              <w:rPr>
                <w:rFonts w:hint="eastAsia" w:eastAsia="宋体"/>
                <w:lang w:val="en-US" w:eastAsia="zh-CN"/>
              </w:rPr>
              <w:t>9</w:t>
            </w:r>
            <w:r>
              <w:rPr>
                <w:rFonts w:hint="eastAsia" w:eastAsia="宋体"/>
              </w:rPr>
              <w:t xml:space="preserve">  </w:t>
            </w:r>
            <w:r>
              <w:rPr>
                <w:rFonts w:eastAsia="宋体"/>
              </w:rPr>
              <w:t>建筑施工场界环境噪声排放限值（单位：dB（A））</w:t>
            </w:r>
          </w:p>
          <w:tbl>
            <w:tblPr>
              <w:tblStyle w:val="1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29"/>
              <w:gridCol w:w="3731"/>
            </w:tblGrid>
            <w:tr w14:paraId="5BA70F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99" w:type="pct"/>
                  <w:shd w:val="clear" w:color="auto" w:fill="auto"/>
                  <w:vAlign w:val="center"/>
                </w:tcPr>
                <w:p w14:paraId="59426304">
                  <w:pPr>
                    <w:pStyle w:val="17"/>
                    <w:rPr>
                      <w:rFonts w:eastAsia="宋体"/>
                      <w:b/>
                      <w:bCs/>
                    </w:rPr>
                  </w:pPr>
                  <w:r>
                    <w:rPr>
                      <w:rFonts w:eastAsia="宋体"/>
                      <w:b/>
                      <w:bCs/>
                    </w:rPr>
                    <w:t>昼间</w:t>
                  </w:r>
                </w:p>
              </w:tc>
              <w:tc>
                <w:tcPr>
                  <w:tcW w:w="2500" w:type="pct"/>
                  <w:shd w:val="clear" w:color="auto" w:fill="auto"/>
                  <w:vAlign w:val="center"/>
                </w:tcPr>
                <w:p w14:paraId="0DB9D97F">
                  <w:pPr>
                    <w:pStyle w:val="17"/>
                    <w:rPr>
                      <w:rFonts w:eastAsia="宋体"/>
                      <w:b/>
                      <w:bCs/>
                    </w:rPr>
                  </w:pPr>
                  <w:r>
                    <w:rPr>
                      <w:rFonts w:eastAsia="宋体"/>
                      <w:b/>
                      <w:bCs/>
                    </w:rPr>
                    <w:t>夜间</w:t>
                  </w:r>
                </w:p>
              </w:tc>
            </w:tr>
            <w:tr w14:paraId="0D5BAC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99" w:type="pct"/>
                  <w:shd w:val="clear" w:color="auto" w:fill="auto"/>
                  <w:vAlign w:val="center"/>
                </w:tcPr>
                <w:p w14:paraId="579FA8C9">
                  <w:pPr>
                    <w:pStyle w:val="17"/>
                    <w:rPr>
                      <w:rFonts w:eastAsia="宋体"/>
                    </w:rPr>
                  </w:pPr>
                  <w:r>
                    <w:rPr>
                      <w:rFonts w:eastAsia="宋体"/>
                    </w:rPr>
                    <w:t>70</w:t>
                  </w:r>
                </w:p>
              </w:tc>
              <w:tc>
                <w:tcPr>
                  <w:tcW w:w="2500" w:type="pct"/>
                  <w:shd w:val="clear" w:color="auto" w:fill="auto"/>
                  <w:vAlign w:val="center"/>
                </w:tcPr>
                <w:p w14:paraId="26E5C945">
                  <w:pPr>
                    <w:pStyle w:val="17"/>
                    <w:rPr>
                      <w:rFonts w:eastAsia="宋体"/>
                    </w:rPr>
                  </w:pPr>
                  <w:r>
                    <w:rPr>
                      <w:rFonts w:eastAsia="宋体"/>
                    </w:rPr>
                    <w:t>55</w:t>
                  </w:r>
                </w:p>
              </w:tc>
            </w:tr>
          </w:tbl>
          <w:p w14:paraId="230664FA">
            <w:pPr>
              <w:pStyle w:val="3"/>
              <w:ind w:firstLine="0" w:firstLineChars="0"/>
              <w:rPr>
                <w:rFonts w:hint="eastAsia" w:eastAsia="宋体"/>
              </w:rPr>
            </w:pPr>
            <w:r>
              <w:rPr>
                <w:rFonts w:eastAsia="宋体"/>
                <w:sz w:val="21"/>
                <w:szCs w:val="21"/>
              </w:rPr>
              <w:t>注：夜间噪声最大声级超过限值的幅度不得高于15dB（A）。</w:t>
            </w:r>
          </w:p>
          <w:p w14:paraId="007C729B">
            <w:pPr>
              <w:pStyle w:val="3"/>
              <w:ind w:left="0" w:leftChars="0" w:firstLine="480" w:firstLineChars="200"/>
              <w:rPr>
                <w:rFonts w:eastAsia="宋体"/>
              </w:rPr>
            </w:pPr>
            <w:r>
              <w:rPr>
                <w:rFonts w:hint="eastAsia" w:eastAsia="宋体"/>
              </w:rPr>
              <w:t>（4）固体废物</w:t>
            </w:r>
          </w:p>
          <w:p w14:paraId="1C37604E">
            <w:pPr>
              <w:pStyle w:val="3"/>
              <w:ind w:left="0" w:leftChars="0" w:firstLine="480" w:firstLineChars="200"/>
              <w:rPr>
                <w:rFonts w:eastAsia="宋体"/>
              </w:rPr>
            </w:pPr>
            <w:r>
              <w:rPr>
                <w:rFonts w:hint="eastAsia" w:eastAsia="宋体"/>
              </w:rPr>
              <w:t>本项目一般工业固废贮存、处置过程执行《一般工业固体废物贮存和填埋污染物控制标准》（GB18599-2020）中的有关规定。危险废物收集、贮存、运输等过程执行《危险废物贮存污染控制标准》（GB18597-2023）、《危险废物收集、贮存、运输技术规范（HJ2025-2012）和《江苏省固体废物全过程环境监管工作的意见》（苏环办〔2024〕16号）相关要求。</w:t>
            </w:r>
          </w:p>
        </w:tc>
      </w:tr>
      <w:tr w14:paraId="6B1E62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pct"/>
            <w:vAlign w:val="center"/>
          </w:tcPr>
          <w:p w14:paraId="188693BC">
            <w:pPr>
              <w:adjustRightInd w:val="0"/>
              <w:snapToGrid w:val="0"/>
              <w:jc w:val="center"/>
              <w:rPr>
                <w:rFonts w:eastAsia="宋体"/>
                <w:kern w:val="0"/>
                <w:sz w:val="24"/>
              </w:rPr>
            </w:pPr>
            <w:r>
              <w:rPr>
                <w:rFonts w:eastAsia="宋体"/>
                <w:kern w:val="0"/>
                <w:sz w:val="24"/>
              </w:rPr>
              <w:t>其他</w:t>
            </w:r>
          </w:p>
        </w:tc>
        <w:tc>
          <w:tcPr>
            <w:tcW w:w="4509" w:type="pct"/>
            <w:vAlign w:val="center"/>
          </w:tcPr>
          <w:p w14:paraId="6046BBC3">
            <w:pPr>
              <w:pStyle w:val="3"/>
              <w:ind w:left="0" w:leftChars="0" w:firstLine="1440" w:firstLineChars="600"/>
              <w:jc w:val="both"/>
              <w:rPr>
                <w:rFonts w:hint="eastAsia" w:ascii="宋体" w:hAnsi="宋体" w:eastAsia="宋体" w:cs="宋体"/>
              </w:rPr>
            </w:pPr>
          </w:p>
          <w:p w14:paraId="1CF9352F">
            <w:pPr>
              <w:pStyle w:val="3"/>
              <w:ind w:left="0" w:leftChars="0" w:firstLine="1440" w:firstLineChars="600"/>
              <w:jc w:val="both"/>
              <w:rPr>
                <w:rFonts w:hint="eastAsia" w:ascii="宋体" w:hAnsi="宋体" w:eastAsia="宋体" w:cs="宋体"/>
              </w:rPr>
            </w:pPr>
          </w:p>
          <w:p w14:paraId="462648AB">
            <w:pPr>
              <w:pStyle w:val="3"/>
              <w:ind w:left="0" w:leftChars="0" w:firstLine="1440" w:firstLineChars="600"/>
              <w:jc w:val="both"/>
              <w:rPr>
                <w:rFonts w:hint="eastAsia" w:ascii="宋体" w:hAnsi="宋体" w:eastAsia="宋体" w:cs="宋体"/>
              </w:rPr>
            </w:pPr>
          </w:p>
          <w:p w14:paraId="3B17C992">
            <w:pPr>
              <w:pStyle w:val="3"/>
              <w:ind w:left="0" w:leftChars="0" w:firstLine="1440" w:firstLineChars="600"/>
              <w:jc w:val="both"/>
              <w:rPr>
                <w:rFonts w:hint="eastAsia" w:ascii="宋体" w:hAnsi="宋体" w:eastAsia="宋体" w:cs="宋体"/>
              </w:rPr>
            </w:pPr>
          </w:p>
          <w:p w14:paraId="25EB371D">
            <w:pPr>
              <w:pStyle w:val="3"/>
              <w:ind w:left="0" w:leftChars="0" w:firstLine="1440" w:firstLineChars="600"/>
              <w:jc w:val="both"/>
              <w:rPr>
                <w:rFonts w:hint="eastAsia" w:ascii="宋体" w:hAnsi="宋体" w:eastAsia="宋体" w:cs="宋体"/>
              </w:rPr>
            </w:pPr>
          </w:p>
          <w:p w14:paraId="68000A7C">
            <w:pPr>
              <w:pStyle w:val="3"/>
              <w:ind w:left="0" w:leftChars="0" w:firstLine="1440" w:firstLineChars="600"/>
              <w:jc w:val="both"/>
              <w:rPr>
                <w:rFonts w:hint="eastAsia" w:ascii="宋体" w:hAnsi="宋体" w:eastAsia="宋体" w:cs="宋体"/>
              </w:rPr>
            </w:pPr>
          </w:p>
          <w:p w14:paraId="76807D5D">
            <w:pPr>
              <w:pStyle w:val="3"/>
              <w:ind w:left="0" w:leftChars="0" w:firstLine="1440" w:firstLineChars="600"/>
              <w:jc w:val="both"/>
              <w:rPr>
                <w:rFonts w:hint="eastAsia" w:ascii="宋体" w:hAnsi="宋体" w:eastAsia="宋体" w:cs="宋体"/>
              </w:rPr>
            </w:pPr>
          </w:p>
          <w:p w14:paraId="587F8465">
            <w:pPr>
              <w:pStyle w:val="3"/>
              <w:ind w:left="0" w:leftChars="0" w:firstLine="1440" w:firstLineChars="600"/>
              <w:jc w:val="both"/>
              <w:rPr>
                <w:rFonts w:hint="eastAsia" w:ascii="宋体" w:hAnsi="宋体" w:eastAsia="宋体" w:cs="宋体"/>
              </w:rPr>
            </w:pPr>
          </w:p>
          <w:p w14:paraId="0CFFFAAB">
            <w:pPr>
              <w:pStyle w:val="3"/>
              <w:ind w:left="0" w:leftChars="0" w:firstLine="1440" w:firstLineChars="600"/>
              <w:jc w:val="both"/>
              <w:rPr>
                <w:rFonts w:hint="eastAsia" w:ascii="宋体" w:hAnsi="宋体" w:eastAsia="宋体" w:cs="宋体"/>
              </w:rPr>
            </w:pPr>
            <w:r>
              <w:rPr>
                <w:rFonts w:hint="eastAsia" w:ascii="宋体" w:hAnsi="宋体" w:eastAsia="宋体" w:cs="宋体"/>
              </w:rPr>
              <w:t>本项目仅为施工期，不</w:t>
            </w:r>
            <w:r>
              <w:rPr>
                <w:rFonts w:hint="eastAsia" w:ascii="宋体" w:hAnsi="宋体" w:eastAsia="宋体" w:cs="宋体"/>
                <w:lang w:eastAsia="zh-CN"/>
              </w:rPr>
              <w:t>建议</w:t>
            </w:r>
            <w:r>
              <w:rPr>
                <w:rFonts w:hint="eastAsia" w:ascii="宋体" w:hAnsi="宋体" w:eastAsia="宋体" w:cs="宋体"/>
              </w:rPr>
              <w:t>总量控制指标。</w:t>
            </w:r>
          </w:p>
          <w:p w14:paraId="29770F25">
            <w:pPr>
              <w:pStyle w:val="3"/>
              <w:ind w:left="0" w:leftChars="0" w:firstLine="1440" w:firstLineChars="600"/>
              <w:jc w:val="both"/>
              <w:rPr>
                <w:rFonts w:hint="eastAsia" w:ascii="宋体" w:hAnsi="宋体" w:eastAsia="宋体" w:cs="宋体"/>
              </w:rPr>
            </w:pPr>
          </w:p>
          <w:p w14:paraId="088AC75E">
            <w:pPr>
              <w:pStyle w:val="3"/>
              <w:ind w:left="0" w:leftChars="0" w:firstLine="1440" w:firstLineChars="600"/>
              <w:jc w:val="both"/>
              <w:rPr>
                <w:rFonts w:hint="eastAsia" w:ascii="宋体" w:hAnsi="宋体" w:eastAsia="宋体" w:cs="宋体"/>
              </w:rPr>
            </w:pPr>
          </w:p>
          <w:p w14:paraId="052373F9">
            <w:pPr>
              <w:pStyle w:val="3"/>
              <w:ind w:left="0" w:leftChars="0" w:firstLine="1440" w:firstLineChars="600"/>
              <w:jc w:val="both"/>
              <w:rPr>
                <w:rFonts w:hint="eastAsia" w:ascii="宋体" w:hAnsi="宋体" w:eastAsia="宋体" w:cs="宋体"/>
              </w:rPr>
            </w:pPr>
          </w:p>
          <w:p w14:paraId="220BCAE5">
            <w:pPr>
              <w:pStyle w:val="3"/>
              <w:ind w:left="0" w:leftChars="0" w:firstLine="1440" w:firstLineChars="600"/>
              <w:jc w:val="both"/>
              <w:rPr>
                <w:rFonts w:hint="eastAsia" w:ascii="宋体" w:hAnsi="宋体" w:eastAsia="宋体" w:cs="宋体"/>
              </w:rPr>
            </w:pPr>
          </w:p>
          <w:p w14:paraId="1889B955">
            <w:pPr>
              <w:pStyle w:val="3"/>
              <w:ind w:left="0" w:leftChars="0" w:firstLine="1440" w:firstLineChars="600"/>
              <w:jc w:val="both"/>
              <w:rPr>
                <w:rFonts w:hint="eastAsia" w:ascii="宋体" w:hAnsi="宋体" w:eastAsia="宋体" w:cs="宋体"/>
              </w:rPr>
            </w:pPr>
          </w:p>
          <w:p w14:paraId="3743ED21">
            <w:pPr>
              <w:pStyle w:val="3"/>
              <w:ind w:left="0" w:leftChars="0" w:firstLine="1440" w:firstLineChars="600"/>
              <w:jc w:val="both"/>
              <w:rPr>
                <w:rFonts w:hint="eastAsia" w:ascii="宋体" w:hAnsi="宋体" w:eastAsia="宋体" w:cs="宋体"/>
              </w:rPr>
            </w:pPr>
          </w:p>
          <w:p w14:paraId="0F785BFC">
            <w:pPr>
              <w:pStyle w:val="3"/>
              <w:ind w:left="0" w:leftChars="0" w:firstLine="1440" w:firstLineChars="600"/>
              <w:jc w:val="both"/>
              <w:rPr>
                <w:rFonts w:hint="eastAsia" w:ascii="宋体" w:hAnsi="宋体" w:eastAsia="宋体" w:cs="宋体"/>
              </w:rPr>
            </w:pPr>
          </w:p>
          <w:p w14:paraId="126A42E8">
            <w:pPr>
              <w:pStyle w:val="3"/>
              <w:ind w:left="0" w:leftChars="0" w:firstLine="1440" w:firstLineChars="600"/>
              <w:jc w:val="both"/>
              <w:rPr>
                <w:rFonts w:hint="eastAsia" w:ascii="宋体" w:hAnsi="宋体" w:eastAsia="宋体" w:cs="宋体"/>
              </w:rPr>
            </w:pPr>
          </w:p>
          <w:p w14:paraId="2E4EF5AD">
            <w:pPr>
              <w:pStyle w:val="3"/>
              <w:ind w:left="0" w:leftChars="0" w:firstLine="1440" w:firstLineChars="600"/>
              <w:jc w:val="both"/>
              <w:rPr>
                <w:rFonts w:hint="eastAsia" w:ascii="宋体" w:hAnsi="宋体" w:eastAsia="宋体" w:cs="宋体"/>
              </w:rPr>
            </w:pPr>
          </w:p>
          <w:p w14:paraId="0133B681">
            <w:pPr>
              <w:pStyle w:val="3"/>
              <w:ind w:left="0" w:leftChars="0" w:firstLine="1440" w:firstLineChars="600"/>
              <w:jc w:val="both"/>
              <w:rPr>
                <w:rFonts w:hint="eastAsia" w:ascii="宋体" w:hAnsi="宋体" w:eastAsia="宋体" w:cs="宋体"/>
              </w:rPr>
            </w:pPr>
          </w:p>
          <w:p w14:paraId="3FC6C763">
            <w:pPr>
              <w:pStyle w:val="3"/>
              <w:ind w:left="0" w:leftChars="0" w:firstLine="1440" w:firstLineChars="600"/>
              <w:jc w:val="both"/>
              <w:rPr>
                <w:rFonts w:hint="eastAsia" w:ascii="宋体" w:hAnsi="宋体" w:eastAsia="宋体" w:cs="宋体"/>
              </w:rPr>
            </w:pPr>
          </w:p>
          <w:p w14:paraId="750CEB6A">
            <w:pPr>
              <w:pStyle w:val="3"/>
              <w:ind w:left="0" w:leftChars="0" w:firstLine="1440" w:firstLineChars="600"/>
              <w:jc w:val="both"/>
              <w:rPr>
                <w:rFonts w:hint="eastAsia" w:ascii="宋体" w:hAnsi="宋体" w:eastAsia="宋体" w:cs="宋体"/>
              </w:rPr>
            </w:pPr>
          </w:p>
          <w:p w14:paraId="2A9D5352">
            <w:pPr>
              <w:pStyle w:val="3"/>
              <w:ind w:left="0" w:leftChars="0" w:firstLine="1440" w:firstLineChars="600"/>
              <w:jc w:val="both"/>
              <w:rPr>
                <w:rFonts w:hint="eastAsia" w:ascii="宋体" w:hAnsi="宋体" w:eastAsia="宋体" w:cs="宋体"/>
              </w:rPr>
            </w:pPr>
          </w:p>
          <w:p w14:paraId="6A6D81B5">
            <w:pPr>
              <w:pStyle w:val="3"/>
              <w:ind w:left="0" w:leftChars="0" w:firstLine="1440" w:firstLineChars="600"/>
              <w:jc w:val="both"/>
              <w:rPr>
                <w:rFonts w:hint="eastAsia" w:ascii="宋体" w:hAnsi="宋体" w:eastAsia="宋体" w:cs="宋体"/>
              </w:rPr>
            </w:pPr>
          </w:p>
          <w:p w14:paraId="2DB8E878">
            <w:pPr>
              <w:pStyle w:val="3"/>
              <w:ind w:left="0" w:leftChars="0" w:firstLine="1440" w:firstLineChars="600"/>
              <w:jc w:val="both"/>
              <w:rPr>
                <w:rFonts w:hint="eastAsia" w:ascii="宋体" w:hAnsi="宋体" w:eastAsia="宋体" w:cs="宋体"/>
              </w:rPr>
            </w:pPr>
          </w:p>
          <w:p w14:paraId="4A7B637B">
            <w:pPr>
              <w:pStyle w:val="3"/>
              <w:ind w:left="0" w:leftChars="0" w:firstLine="1440" w:firstLineChars="600"/>
              <w:jc w:val="both"/>
              <w:rPr>
                <w:rFonts w:hint="eastAsia" w:ascii="宋体" w:hAnsi="宋体" w:eastAsia="宋体" w:cs="宋体"/>
              </w:rPr>
            </w:pPr>
          </w:p>
          <w:p w14:paraId="46B43586">
            <w:pPr>
              <w:pStyle w:val="3"/>
              <w:ind w:left="0" w:leftChars="0" w:firstLine="1440" w:firstLineChars="600"/>
              <w:jc w:val="both"/>
              <w:rPr>
                <w:rFonts w:hint="eastAsia" w:ascii="宋体" w:hAnsi="宋体" w:eastAsia="宋体" w:cs="宋体"/>
              </w:rPr>
            </w:pPr>
          </w:p>
          <w:p w14:paraId="6625B943">
            <w:pPr>
              <w:pStyle w:val="3"/>
              <w:ind w:left="0" w:leftChars="0" w:firstLine="1440" w:firstLineChars="600"/>
              <w:jc w:val="both"/>
              <w:rPr>
                <w:rFonts w:hint="eastAsia" w:ascii="宋体" w:hAnsi="宋体" w:eastAsia="宋体" w:cs="宋体"/>
                <w:lang w:val="en-US" w:eastAsia="zh-CN"/>
              </w:rPr>
            </w:pPr>
          </w:p>
        </w:tc>
      </w:tr>
    </w:tbl>
    <w:p w14:paraId="297D89BB">
      <w:pPr>
        <w:pStyle w:val="3"/>
      </w:pPr>
    </w:p>
    <w:p w14:paraId="05FB5220">
      <w:pPr>
        <w:pStyle w:val="9"/>
        <w:numPr>
          <w:ilvl w:val="0"/>
          <w:numId w:val="2"/>
        </w:numPr>
        <w:spacing w:before="0" w:beforeAutospacing="0" w:after="0" w:afterAutospacing="0"/>
        <w:jc w:val="center"/>
        <w:outlineLvl w:val="0"/>
        <w:rPr>
          <w:rFonts w:hint="eastAsia" w:ascii="黑体" w:hAnsi="黑体" w:eastAsia="黑体" w:cs="黑体"/>
          <w:b w:val="0"/>
          <w:bCs w:val="0"/>
          <w:snapToGrid w:val="0"/>
          <w:sz w:val="30"/>
          <w:szCs w:val="30"/>
        </w:rPr>
      </w:pPr>
      <w:r>
        <w:rPr>
          <w:rFonts w:hint="eastAsia" w:ascii="黑体" w:hAnsi="黑体" w:eastAsia="黑体" w:cs="黑体"/>
          <w:b w:val="0"/>
          <w:bCs w:val="0"/>
          <w:snapToGrid w:val="0"/>
          <w:sz w:val="30"/>
          <w:szCs w:val="30"/>
        </w:rPr>
        <w:t>生态环境影响分析</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7922"/>
      </w:tblGrid>
      <w:tr w14:paraId="2357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dxa"/>
            <w:vAlign w:val="center"/>
          </w:tcPr>
          <w:p w14:paraId="13F2AF79">
            <w:pPr>
              <w:pStyle w:val="9"/>
              <w:widowControl/>
              <w:numPr>
                <w:ilvl w:val="0"/>
                <w:numId w:val="0"/>
              </w:numPr>
              <w:spacing w:before="0" w:beforeAutospacing="0" w:after="0" w:afterAutospacing="0"/>
              <w:jc w:val="center"/>
              <w:outlineLvl w:val="0"/>
              <w:rPr>
                <w:rFonts w:hint="eastAsia" w:ascii="黑体" w:hAnsi="黑体" w:eastAsia="黑体" w:cs="黑体"/>
                <w:b w:val="0"/>
                <w:bCs w:val="0"/>
                <w:snapToGrid w:val="0"/>
                <w:sz w:val="30"/>
                <w:szCs w:val="30"/>
                <w:vertAlign w:val="baseline"/>
              </w:rPr>
            </w:pPr>
            <w:r>
              <w:rPr>
                <w:rFonts w:ascii="Times New Roman" w:hAnsi="Times New Roman" w:eastAsia="宋体"/>
                <w:bCs/>
                <w:spacing w:val="10"/>
                <w:kern w:val="2"/>
              </w:rPr>
              <w:t>施工期生态环境影响分析</w:t>
            </w:r>
          </w:p>
        </w:tc>
        <w:tc>
          <w:tcPr>
            <w:tcW w:w="7922" w:type="dxa"/>
          </w:tcPr>
          <w:p w14:paraId="1E882506">
            <w:pPr>
              <w:pStyle w:val="2"/>
              <w:ind w:firstLine="482" w:firstLineChars="200"/>
              <w:rPr>
                <w:rFonts w:eastAsia="宋体"/>
              </w:rPr>
            </w:pPr>
            <w:r>
              <w:rPr>
                <w:rFonts w:hint="eastAsia" w:eastAsia="宋体"/>
              </w:rPr>
              <w:t>1、生态环境影响</w:t>
            </w:r>
          </w:p>
          <w:p w14:paraId="7F4478B6">
            <w:pPr>
              <w:pStyle w:val="3"/>
              <w:ind w:firstLine="480"/>
              <w:rPr>
                <w:rFonts w:hint="eastAsia" w:eastAsia="宋体"/>
                <w:lang w:val="en-US" w:eastAsia="zh-CN"/>
              </w:rPr>
            </w:pPr>
            <w:r>
              <w:rPr>
                <w:rFonts w:hint="eastAsia" w:eastAsia="宋体"/>
              </w:rPr>
              <w:t>（1）陆域生态</w:t>
            </w:r>
            <w:r>
              <w:rPr>
                <w:rFonts w:hint="eastAsia" w:eastAsia="宋体"/>
                <w:lang w:val="en-US" w:eastAsia="zh-CN"/>
              </w:rPr>
              <w:t>系统</w:t>
            </w:r>
          </w:p>
          <w:p w14:paraId="0B33099A">
            <w:pPr>
              <w:pStyle w:val="3"/>
              <w:ind w:firstLine="480"/>
              <w:rPr>
                <w:rFonts w:eastAsia="宋体"/>
              </w:rPr>
            </w:pPr>
            <w:r>
              <w:rPr>
                <w:rFonts w:hint="eastAsia" w:eastAsia="宋体"/>
              </w:rPr>
              <w:t>本项目临时占地为耕地，主要植被为水稻、小麦。土地被占用后，会造成局部植被个体数量减少，但不会造成物种消亡，土地复垦后，恢复原有土地用途，不会对区域内生物多样性造成破坏。</w:t>
            </w:r>
          </w:p>
          <w:p w14:paraId="1E0D4311">
            <w:pPr>
              <w:pStyle w:val="3"/>
              <w:ind w:firstLine="480"/>
              <w:rPr>
                <w:rFonts w:eastAsia="宋体"/>
              </w:rPr>
            </w:pPr>
            <w:r>
              <w:rPr>
                <w:rFonts w:hint="eastAsia" w:eastAsia="宋体"/>
              </w:rPr>
              <w:t>施工过程中场地平整，土方开挖、运输等会造成水土流失。施工单位应在施工阶段严格按照设计要求确定开挖的坡度、深度；表层土外运后堆放在固定位置，并按一定坡度堆放；在施工场地边界设置沟渠；合理安排施工时段，避免在暴雨天气进行开挖等扰动较大的施工活动。</w:t>
            </w:r>
          </w:p>
          <w:p w14:paraId="2F814C29">
            <w:pPr>
              <w:pStyle w:val="3"/>
              <w:ind w:firstLine="480"/>
              <w:rPr>
                <w:rFonts w:hint="eastAsia" w:eastAsia="宋体"/>
              </w:rPr>
            </w:pPr>
            <w:r>
              <w:rPr>
                <w:rFonts w:hint="eastAsia" w:eastAsia="宋体"/>
              </w:rPr>
              <w:t>施工结束后，需对土地进行复垦，减少水土流失。土地复垦后，随着植物覆盖率的提高，水土流失过程将会减弱。</w:t>
            </w:r>
          </w:p>
          <w:p w14:paraId="00430A8D">
            <w:pPr>
              <w:pStyle w:val="3"/>
              <w:ind w:firstLine="480"/>
              <w:rPr>
                <w:rFonts w:hint="default" w:eastAsia="宋体"/>
                <w:lang w:val="en-US" w:eastAsia="zh-CN"/>
              </w:rPr>
            </w:pPr>
            <w:r>
              <w:rPr>
                <w:rFonts w:hint="eastAsia" w:eastAsia="宋体"/>
                <w:lang w:val="en-US" w:eastAsia="zh-CN"/>
              </w:rPr>
              <w:t>综上，本项目的建设不会对当地生态系统造成不利影响。</w:t>
            </w:r>
          </w:p>
          <w:p w14:paraId="3CAFC3DB">
            <w:pPr>
              <w:pStyle w:val="3"/>
              <w:numPr>
                <w:ilvl w:val="-1"/>
                <w:numId w:val="0"/>
              </w:numPr>
              <w:ind w:firstLine="480" w:firstLineChars="200"/>
              <w:rPr>
                <w:rFonts w:hint="eastAsia" w:eastAsia="宋体"/>
                <w:lang w:val="en-US" w:eastAsia="zh-CN"/>
              </w:rPr>
            </w:pPr>
            <w:r>
              <w:rPr>
                <w:rFonts w:hint="eastAsia" w:eastAsia="宋体"/>
                <w:lang w:val="en-US" w:eastAsia="zh-CN"/>
              </w:rPr>
              <w:t>（2）土壤</w:t>
            </w:r>
          </w:p>
          <w:p w14:paraId="6858A168">
            <w:pPr>
              <w:pStyle w:val="3"/>
              <w:numPr>
                <w:ilvl w:val="-1"/>
                <w:numId w:val="0"/>
              </w:numPr>
              <w:ind w:firstLine="480" w:firstLineChars="200"/>
              <w:rPr>
                <w:rFonts w:hint="eastAsia" w:eastAsia="宋体"/>
                <w:color w:val="000000" w:themeColor="text1"/>
                <w:lang w:val="en-US" w:eastAsia="zh-CN"/>
                <w14:textFill>
                  <w14:solidFill>
                    <w14:schemeClr w14:val="tx1"/>
                  </w14:solidFill>
                </w14:textFill>
              </w:rPr>
            </w:pPr>
            <w:r>
              <w:rPr>
                <w:rFonts w:hint="eastAsia" w:eastAsia="宋体"/>
                <w:color w:val="000000" w:themeColor="text1"/>
                <w14:textFill>
                  <w14:solidFill>
                    <w14:schemeClr w14:val="tx1"/>
                  </w14:solidFill>
                </w14:textFill>
              </w:rPr>
              <w:t>工程对土壤的影响主要是工程排放的污染物对土壤质地性状的影响，主要污染来源于落地油和钻井泥浆、岩屑。</w:t>
            </w:r>
            <w:r>
              <w:rPr>
                <w:rFonts w:hint="eastAsia" w:eastAsia="宋体"/>
                <w:color w:val="000000" w:themeColor="text1"/>
                <w:lang w:val="en-US" w:eastAsia="zh-CN"/>
                <w14:textFill>
                  <w14:solidFill>
                    <w14:schemeClr w14:val="tx1"/>
                  </w14:solidFill>
                </w14:textFill>
              </w:rPr>
              <w:t>整个试采过程中，严禁井筒出来的流体散落到地面，正常工况下不会产生落地油。</w:t>
            </w:r>
            <w:r>
              <w:rPr>
                <w:rFonts w:hint="eastAsia" w:eastAsia="宋体"/>
                <w:color w:val="000000" w:themeColor="text1"/>
                <w14:textFill>
                  <w14:solidFill>
                    <w14:schemeClr w14:val="tx1"/>
                  </w14:solidFill>
                </w14:textFill>
              </w:rPr>
              <w:t>在钻井过程中产生岩屑、废弃泥浆等如处理不当对土壤环境将产生一定的影响。钻井泥浆中含有</w:t>
            </w:r>
            <w:r>
              <w:rPr>
                <w:rFonts w:hint="eastAsia" w:eastAsia="宋体"/>
                <w:color w:val="000000" w:themeColor="text1"/>
                <w:sz w:val="24"/>
                <w:szCs w:val="24"/>
                <w14:textFill>
                  <w14:solidFill>
                    <w14:schemeClr w14:val="tx1"/>
                  </w14:solidFill>
                </w14:textFill>
              </w:rPr>
              <w:t>Ca</w:t>
            </w:r>
            <w:r>
              <w:rPr>
                <w:rFonts w:hint="eastAsia" w:eastAsia="宋体"/>
                <w:color w:val="000000" w:themeColor="text1"/>
                <w:sz w:val="24"/>
                <w:szCs w:val="24"/>
                <w:vertAlign w:val="superscript"/>
                <w14:textFill>
                  <w14:solidFill>
                    <w14:schemeClr w14:val="tx1"/>
                  </w14:solidFill>
                </w14:textFill>
              </w:rPr>
              <w:t>2+</w:t>
            </w:r>
            <w:r>
              <w:rPr>
                <w:rFonts w:hint="eastAsia" w:eastAsia="宋体"/>
                <w:color w:val="000000" w:themeColor="text1"/>
                <w:sz w:val="24"/>
                <w:szCs w:val="24"/>
                <w14:textFill>
                  <w14:solidFill>
                    <w14:schemeClr w14:val="tx1"/>
                  </w14:solidFill>
                </w14:textFill>
              </w:rPr>
              <w:t>、Na</w:t>
            </w:r>
            <w:r>
              <w:rPr>
                <w:rFonts w:hint="eastAsia" w:eastAsia="宋体"/>
                <w:color w:val="000000" w:themeColor="text1"/>
                <w:sz w:val="24"/>
                <w:szCs w:val="24"/>
                <w:vertAlign w:val="superscript"/>
                <w14:textFill>
                  <w14:solidFill>
                    <w14:schemeClr w14:val="tx1"/>
                  </w14:solidFill>
                </w14:textFill>
              </w:rPr>
              <w:t>+</w:t>
            </w:r>
            <w:r>
              <w:rPr>
                <w:rFonts w:hint="eastAsia" w:eastAsia="宋体"/>
                <w:color w:val="000000" w:themeColor="text1"/>
                <w14:textFill>
                  <w14:solidFill>
                    <w14:schemeClr w14:val="tx1"/>
                  </w14:solidFill>
                </w14:textFill>
              </w:rPr>
              <w:t>离子，而且pH、盐分也较高，进入土壤后可使土壤板结，增加土壤的盐碱化程度，土壤生产力下降。本工程钻井井场均</w:t>
            </w:r>
            <w:r>
              <w:rPr>
                <w:rFonts w:hint="eastAsia" w:eastAsia="宋体"/>
                <w:color w:val="000000" w:themeColor="text1"/>
                <w:lang w:val="en-US" w:eastAsia="zh-CN"/>
                <w14:textFill>
                  <w14:solidFill>
                    <w14:schemeClr w14:val="tx1"/>
                  </w14:solidFill>
                </w14:textFill>
              </w:rPr>
              <w:t>配</w:t>
            </w:r>
            <w:r>
              <w:rPr>
                <w:rFonts w:hint="eastAsia" w:eastAsia="宋体"/>
                <w:color w:val="000000" w:themeColor="text1"/>
                <w14:textFill>
                  <w14:solidFill>
                    <w14:schemeClr w14:val="tx1"/>
                  </w14:solidFill>
                </w14:textFill>
              </w:rPr>
              <w:t>有泥浆</w:t>
            </w:r>
            <w:r>
              <w:rPr>
                <w:rFonts w:hint="eastAsia" w:eastAsia="宋体"/>
                <w:color w:val="000000" w:themeColor="text1"/>
                <w:lang w:val="en-US" w:eastAsia="zh-CN"/>
                <w14:textFill>
                  <w14:solidFill>
                    <w14:schemeClr w14:val="tx1"/>
                  </w14:solidFill>
                </w14:textFill>
              </w:rPr>
              <w:t>罐</w:t>
            </w:r>
            <w:r>
              <w:rPr>
                <w:rFonts w:hint="eastAsia" w:eastAsia="宋体"/>
                <w:color w:val="000000" w:themeColor="text1"/>
                <w14:textFill>
                  <w14:solidFill>
                    <w14:schemeClr w14:val="tx1"/>
                  </w14:solidFill>
                </w14:textFill>
              </w:rPr>
              <w:t>，钻井施工过程中通过注意规范操作，避免泥浆外溢，钻井对土壤环境影响较小。</w:t>
            </w:r>
          </w:p>
          <w:p w14:paraId="69D4A825">
            <w:pPr>
              <w:pStyle w:val="3"/>
              <w:numPr>
                <w:ilvl w:val="-1"/>
                <w:numId w:val="0"/>
              </w:numPr>
              <w:ind w:firstLine="480" w:firstLineChars="200"/>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（3）植被</w:t>
            </w:r>
          </w:p>
          <w:p w14:paraId="14C17386">
            <w:pPr>
              <w:pStyle w:val="3"/>
              <w:numPr>
                <w:ilvl w:val="-1"/>
                <w:numId w:val="0"/>
              </w:numPr>
              <w:ind w:firstLine="480" w:firstLineChars="200"/>
              <w:rPr>
                <w:rFonts w:hint="eastAsia"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本项目占地无天然林地，区域内未发现珍稀保护植物。项目井场、道路占地以旱地为主，主要植被为常见农作物（</w:t>
            </w:r>
            <w:r>
              <w:rPr>
                <w:rFonts w:hint="eastAsia" w:eastAsia="宋体"/>
                <w:color w:val="000000" w:themeColor="text1"/>
                <w:lang w:val="en-US" w:eastAsia="zh-CN"/>
                <w14:textFill>
                  <w14:solidFill>
                    <w14:schemeClr w14:val="tx1"/>
                  </w14:solidFill>
                </w14:textFill>
              </w:rPr>
              <w:t>水稻</w:t>
            </w:r>
            <w:r>
              <w:rPr>
                <w:rFonts w:hint="eastAsia" w:eastAsia="宋体"/>
                <w:color w:val="000000" w:themeColor="text1"/>
                <w14:textFill>
                  <w14:solidFill>
                    <w14:schemeClr w14:val="tx1"/>
                  </w14:solidFill>
                </w14:textFill>
              </w:rPr>
              <w:t>），项目的建设会对农作物有一定的影响，严格按照国家与当地的国土部门相关规定，办理占地手续，补偿可能带来的经济损失。</w:t>
            </w:r>
          </w:p>
          <w:p w14:paraId="08F795EC">
            <w:pPr>
              <w:pStyle w:val="3"/>
              <w:numPr>
                <w:ilvl w:val="0"/>
                <w:numId w:val="0"/>
              </w:numPr>
              <w:ind w:firstLine="480" w:firstLineChars="200"/>
              <w:rPr>
                <w:rFonts w:hint="eastAsia" w:eastAsia="宋体"/>
                <w:lang w:val="en-US" w:eastAsia="zh-CN"/>
              </w:rPr>
            </w:pPr>
            <w:r>
              <w:rPr>
                <w:rFonts w:hint="eastAsia" w:ascii="Times New Roman" w:hAnsi="Times New Roman" w:eastAsia="宋体" w:cs="Times New Roman"/>
                <w:kern w:val="0"/>
                <w:sz w:val="24"/>
                <w:szCs w:val="24"/>
                <w:lang w:val="en-US" w:eastAsia="zh-CN" w:bidi="ar-SA"/>
              </w:rPr>
              <w:t>（</w:t>
            </w:r>
            <w:r>
              <w:rPr>
                <w:rFonts w:hint="eastAsia" w:eastAsia="宋体" w:cs="Times New Roman"/>
                <w:kern w:val="0"/>
                <w:sz w:val="24"/>
                <w:szCs w:val="24"/>
                <w:lang w:val="en-US" w:eastAsia="zh-CN" w:bidi="ar-SA"/>
              </w:rPr>
              <w:t>4</w:t>
            </w:r>
            <w:r>
              <w:rPr>
                <w:rFonts w:hint="eastAsia" w:ascii="Times New Roman" w:hAnsi="Times New Roman" w:eastAsia="宋体" w:cs="Times New Roman"/>
                <w:kern w:val="0"/>
                <w:sz w:val="24"/>
                <w:szCs w:val="24"/>
                <w:lang w:val="en-US" w:eastAsia="zh-CN" w:bidi="ar-SA"/>
              </w:rPr>
              <w:t>）</w:t>
            </w:r>
            <w:r>
              <w:rPr>
                <w:rFonts w:hint="eastAsia" w:eastAsia="宋体"/>
                <w:lang w:val="en-US" w:eastAsia="zh-CN"/>
              </w:rPr>
              <w:t>动物</w:t>
            </w:r>
          </w:p>
          <w:p w14:paraId="60365E4D">
            <w:pPr>
              <w:pStyle w:val="3"/>
              <w:numPr>
                <w:ilvl w:val="-1"/>
                <w:numId w:val="0"/>
              </w:numPr>
              <w:ind w:firstLine="480" w:firstLineChars="200"/>
              <w:rPr>
                <w:rFonts w:hint="eastAsia" w:eastAsia="宋体"/>
              </w:rPr>
            </w:pPr>
            <w:r>
              <w:rPr>
                <w:rFonts w:hint="eastAsia" w:eastAsia="宋体"/>
              </w:rPr>
              <w:t>本项目周边野生动物种类较少，无大型野生哺乳动物，现有的野生动</w:t>
            </w:r>
          </w:p>
        </w:tc>
      </w:tr>
      <w:tr w14:paraId="0E2B6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8" w:hRule="atLeast"/>
        </w:trPr>
        <w:tc>
          <w:tcPr>
            <w:tcW w:w="593" w:type="dxa"/>
            <w:vAlign w:val="center"/>
          </w:tcPr>
          <w:p w14:paraId="37818C3C">
            <w:pPr>
              <w:pStyle w:val="9"/>
              <w:widowControl/>
              <w:numPr>
                <w:ilvl w:val="0"/>
                <w:numId w:val="0"/>
              </w:numPr>
              <w:spacing w:before="0" w:beforeAutospacing="0" w:after="0" w:afterAutospacing="0"/>
              <w:jc w:val="both"/>
              <w:outlineLvl w:val="0"/>
              <w:rPr>
                <w:rFonts w:hint="eastAsia" w:ascii="黑体" w:hAnsi="黑体" w:eastAsia="黑体" w:cs="黑体"/>
                <w:b w:val="0"/>
                <w:bCs w:val="0"/>
                <w:snapToGrid w:val="0"/>
                <w:sz w:val="30"/>
                <w:szCs w:val="30"/>
                <w:vertAlign w:val="baseline"/>
              </w:rPr>
            </w:pPr>
          </w:p>
        </w:tc>
        <w:tc>
          <w:tcPr>
            <w:tcW w:w="7922" w:type="dxa"/>
          </w:tcPr>
          <w:p w14:paraId="26485C50">
            <w:pPr>
              <w:pStyle w:val="3"/>
              <w:numPr>
                <w:ilvl w:val="-1"/>
                <w:numId w:val="0"/>
              </w:numPr>
              <w:rPr>
                <w:rFonts w:hint="default" w:eastAsia="宋体"/>
                <w:lang w:val="en-US" w:eastAsia="zh-CN"/>
              </w:rPr>
            </w:pPr>
            <w:r>
              <w:rPr>
                <w:rFonts w:hint="eastAsia" w:eastAsia="宋体"/>
              </w:rPr>
              <w:t>物多为一些常见的蛇类、啮齿类、鸟类及昆虫类等，无珍稀保护动物。本项目占地面积较小，不会引起该区域野生动物生环境大面积的明显改变，因此对野生动物影响不大。钻井活动对野生动物的影响主要来自人类活动、生产机</w:t>
            </w:r>
            <w:r>
              <w:rPr>
                <w:rFonts w:hint="eastAsia" w:eastAsia="宋体"/>
                <w:lang w:val="en-US" w:eastAsia="zh-CN"/>
              </w:rPr>
              <w:t>械</w:t>
            </w:r>
            <w:r>
              <w:rPr>
                <w:rFonts w:hint="eastAsia" w:eastAsia="宋体"/>
              </w:rPr>
              <w:t>噪声等影响。这种影响是局部和暂时的，随钻进工程的结束而消失，不会引起该区域野生动物的大面积迁移或消亡。</w:t>
            </w:r>
          </w:p>
          <w:p w14:paraId="094DC7A6">
            <w:pPr>
              <w:pStyle w:val="3"/>
              <w:numPr>
                <w:ilvl w:val="-1"/>
                <w:numId w:val="0"/>
              </w:numPr>
              <w:ind w:firstLine="480" w:firstLineChars="200"/>
              <w:rPr>
                <w:rFonts w:hint="eastAsia" w:eastAsia="宋体"/>
              </w:rPr>
            </w:pPr>
            <w:r>
              <w:rPr>
                <w:rFonts w:hint="eastAsia" w:eastAsia="宋体"/>
                <w:lang w:eastAsia="zh-CN"/>
              </w:rPr>
              <w:t>（</w:t>
            </w:r>
            <w:r>
              <w:rPr>
                <w:rFonts w:hint="eastAsia" w:eastAsia="宋体"/>
                <w:lang w:val="en-US" w:eastAsia="zh-CN"/>
              </w:rPr>
              <w:t>5</w:t>
            </w:r>
            <w:r>
              <w:rPr>
                <w:rFonts w:hint="eastAsia" w:eastAsia="宋体"/>
                <w:lang w:eastAsia="zh-CN"/>
              </w:rPr>
              <w:t>）</w:t>
            </w:r>
            <w:r>
              <w:rPr>
                <w:rFonts w:hint="eastAsia" w:eastAsia="宋体"/>
              </w:rPr>
              <w:t>土地利用</w:t>
            </w:r>
          </w:p>
          <w:p w14:paraId="30574CB1">
            <w:pPr>
              <w:pStyle w:val="3"/>
              <w:numPr>
                <w:ilvl w:val="-1"/>
                <w:numId w:val="0"/>
              </w:numPr>
              <w:ind w:firstLine="480" w:firstLineChars="200"/>
              <w:rPr>
                <w:rFonts w:hint="eastAsia" w:eastAsia="宋体"/>
                <w:highlight w:val="yellow"/>
                <w:lang w:val="en-US" w:eastAsia="zh-CN"/>
              </w:rPr>
            </w:pPr>
            <w:r>
              <w:rPr>
                <w:rFonts w:hint="eastAsia" w:eastAsia="宋体"/>
              </w:rPr>
              <w:t>本项目</w:t>
            </w:r>
            <w:r>
              <w:rPr>
                <w:rFonts w:hint="eastAsia" w:eastAsia="宋体"/>
                <w:lang w:val="en-US" w:eastAsia="zh-CN"/>
              </w:rPr>
              <w:t>单</w:t>
            </w:r>
            <w:r>
              <w:rPr>
                <w:rFonts w:hint="eastAsia" w:eastAsia="宋体"/>
              </w:rPr>
              <w:t>井场占地</w:t>
            </w:r>
            <w:r>
              <w:rPr>
                <w:rFonts w:hint="eastAsia" w:eastAsia="宋体"/>
                <w:color w:val="auto"/>
                <w:highlight w:val="none"/>
              </w:rPr>
              <w:t>4930m</w:t>
            </w:r>
            <w:r>
              <w:rPr>
                <w:rFonts w:hint="eastAsia" w:eastAsia="宋体"/>
                <w:color w:val="auto"/>
                <w:highlight w:val="none"/>
                <w:vertAlign w:val="superscript"/>
              </w:rPr>
              <w:t>2</w:t>
            </w:r>
            <w:r>
              <w:rPr>
                <w:rFonts w:hint="eastAsia" w:eastAsia="宋体"/>
                <w:color w:val="auto"/>
                <w:highlight w:val="none"/>
              </w:rPr>
              <w:t>，</w:t>
            </w:r>
            <w:r>
              <w:rPr>
                <w:rFonts w:hint="eastAsia" w:eastAsia="宋体"/>
                <w:color w:val="auto"/>
                <w:highlight w:val="none"/>
                <w:lang w:val="en-US" w:eastAsia="zh-CN"/>
              </w:rPr>
              <w:t>两</w:t>
            </w:r>
            <w:r>
              <w:rPr>
                <w:rFonts w:hint="eastAsia" w:eastAsia="宋体"/>
                <w:color w:val="auto"/>
                <w:highlight w:val="none"/>
              </w:rPr>
              <w:t>个井场合计</w:t>
            </w:r>
            <w:r>
              <w:rPr>
                <w:rFonts w:hint="eastAsia" w:eastAsia="宋体"/>
                <w:color w:val="auto"/>
                <w:highlight w:val="none"/>
                <w:lang w:val="en-US" w:eastAsia="zh-CN"/>
              </w:rPr>
              <w:t>约</w:t>
            </w:r>
            <w:r>
              <w:rPr>
                <w:rFonts w:hint="eastAsia" w:eastAsia="宋体"/>
                <w:lang w:val="en-US" w:eastAsia="zh-CN"/>
              </w:rPr>
              <w:t>9860</w:t>
            </w:r>
            <w:r>
              <w:rPr>
                <w:rFonts w:hint="eastAsia" w:eastAsia="宋体"/>
                <w:highlight w:val="none"/>
              </w:rPr>
              <w:t>m</w:t>
            </w:r>
            <w:r>
              <w:rPr>
                <w:rFonts w:hint="eastAsia" w:eastAsia="宋体"/>
                <w:highlight w:val="none"/>
                <w:vertAlign w:val="superscript"/>
              </w:rPr>
              <w:t>2</w:t>
            </w:r>
            <w:r>
              <w:rPr>
                <w:rFonts w:hint="eastAsia" w:eastAsia="宋体"/>
              </w:rPr>
              <w:t>，占地为临时用地，不涉及永久占地。工程项目建设对生态环境的影响主要表现为项目占地使土地功能发生改变；井场临时占地会在一定程度上改变土地利用方式，临时性的减小</w:t>
            </w:r>
            <w:r>
              <w:rPr>
                <w:rFonts w:hint="eastAsia" w:eastAsia="宋体"/>
                <w:lang w:val="en-US" w:eastAsia="zh-CN"/>
              </w:rPr>
              <w:t>一般农田</w:t>
            </w:r>
            <w:r>
              <w:rPr>
                <w:rFonts w:hint="eastAsia" w:eastAsia="宋体"/>
              </w:rPr>
              <w:t>的面积，工程利用挖方回填，同时对耕植土按照相关要求进行堆放并采取覆盖薄膜等措施，尽可能的减小对当地土地资源的影响；临时占地只在短期内改变土地利用性质，钻井工程完成后，若本井不产</w:t>
            </w:r>
            <w:r>
              <w:rPr>
                <w:rFonts w:hint="eastAsia" w:eastAsia="宋体"/>
                <w:lang w:val="en-US" w:eastAsia="zh-CN"/>
              </w:rPr>
              <w:t>油</w:t>
            </w:r>
            <w:r>
              <w:rPr>
                <w:rFonts w:hint="eastAsia" w:eastAsia="宋体"/>
              </w:rPr>
              <w:t>气，则对本项目钻井期间施工区域进行植被恢复，若本井产</w:t>
            </w:r>
            <w:r>
              <w:rPr>
                <w:rFonts w:hint="eastAsia" w:eastAsia="宋体"/>
                <w:lang w:val="en-US" w:eastAsia="zh-CN"/>
              </w:rPr>
              <w:t>油</w:t>
            </w:r>
            <w:r>
              <w:rPr>
                <w:rFonts w:hint="eastAsia" w:eastAsia="宋体"/>
              </w:rPr>
              <w:t>气则进行集输工程，征地工作根据集输工程要求进行。</w:t>
            </w:r>
          </w:p>
          <w:p w14:paraId="4F26AA05">
            <w:pPr>
              <w:pStyle w:val="2"/>
              <w:ind w:firstLine="482" w:firstLineChars="200"/>
              <w:rPr>
                <w:rFonts w:eastAsia="宋体"/>
              </w:rPr>
            </w:pPr>
            <w:r>
              <w:rPr>
                <w:rFonts w:hint="eastAsia" w:eastAsia="宋体"/>
                <w:lang w:val="en-US" w:eastAsia="zh-CN"/>
              </w:rPr>
              <w:t>2</w:t>
            </w:r>
            <w:r>
              <w:rPr>
                <w:rFonts w:hint="eastAsia" w:eastAsia="宋体"/>
              </w:rPr>
              <w:t>、大气环境影响</w:t>
            </w:r>
          </w:p>
          <w:p w14:paraId="62BFD6AB">
            <w:pPr>
              <w:pStyle w:val="3"/>
              <w:ind w:firstLine="480"/>
              <w:rPr>
                <w:rFonts w:hint="eastAsia" w:eastAsia="宋体"/>
              </w:rPr>
            </w:pPr>
            <w:r>
              <w:rPr>
                <w:rFonts w:hint="eastAsia" w:eastAsia="宋体"/>
              </w:rPr>
              <w:t>本项目用电来自当地电网，</w:t>
            </w:r>
            <w:r>
              <w:rPr>
                <w:rFonts w:hint="eastAsia" w:eastAsia="宋体"/>
                <w:lang w:val="en-US" w:eastAsia="zh-CN"/>
              </w:rPr>
              <w:t>仅在</w:t>
            </w:r>
            <w:r>
              <w:rPr>
                <w:rFonts w:hint="eastAsia" w:eastAsia="宋体"/>
              </w:rPr>
              <w:t>应急状态下采用柴油发电机供电，</w:t>
            </w:r>
            <w:r>
              <w:rPr>
                <w:rFonts w:hint="eastAsia" w:eastAsia="宋体"/>
                <w:lang w:val="en-US" w:eastAsia="zh-CN"/>
              </w:rPr>
              <w:t>考虑到当地电网运营稳定，极少出现停电现象</w:t>
            </w:r>
            <w:r>
              <w:rPr>
                <w:rFonts w:hint="eastAsia" w:eastAsia="宋体"/>
                <w:lang w:eastAsia="zh-CN"/>
              </w:rPr>
              <w:t>，</w:t>
            </w:r>
            <w:r>
              <w:rPr>
                <w:rFonts w:hint="eastAsia" w:eastAsia="宋体"/>
              </w:rPr>
              <w:t>因此柴油燃烧废气</w:t>
            </w:r>
            <w:r>
              <w:rPr>
                <w:rFonts w:hint="eastAsia" w:eastAsia="宋体"/>
                <w:lang w:val="en-US" w:eastAsia="zh-CN"/>
              </w:rPr>
              <w:t>产生量很少</w:t>
            </w:r>
            <w:r>
              <w:rPr>
                <w:rFonts w:hint="eastAsia" w:eastAsia="宋体"/>
                <w:color w:val="auto"/>
                <w:lang w:val="en-US" w:eastAsia="zh-CN"/>
              </w:rPr>
              <w:t>、</w:t>
            </w:r>
            <w:r>
              <w:rPr>
                <w:rFonts w:hint="eastAsia" w:ascii="宋体" w:hAnsi="宋体" w:eastAsia="宋体" w:cs="宋体"/>
                <w:color w:val="auto"/>
                <w:lang w:eastAsia="zh-CN"/>
              </w:rPr>
              <w:t>甚至不产生</w:t>
            </w:r>
            <w:r>
              <w:rPr>
                <w:rFonts w:hint="eastAsia" w:eastAsia="宋体"/>
              </w:rPr>
              <w:t>。废气主要来源于施工扬尘、车辆尾气和试采过程中逸散的烃类废气。</w:t>
            </w:r>
          </w:p>
          <w:p w14:paraId="6689808F">
            <w:pPr>
              <w:pStyle w:val="3"/>
              <w:ind w:firstLine="480"/>
              <w:rPr>
                <w:rFonts w:eastAsia="宋体"/>
              </w:rPr>
            </w:pPr>
            <w:r>
              <w:rPr>
                <w:rFonts w:hint="eastAsia" w:eastAsia="宋体"/>
              </w:rPr>
              <w:t>（1）施工扬尘</w:t>
            </w:r>
          </w:p>
          <w:p w14:paraId="6B734FB5">
            <w:pPr>
              <w:pStyle w:val="3"/>
              <w:ind w:firstLine="480"/>
              <w:rPr>
                <w:rFonts w:eastAsia="宋体"/>
              </w:rPr>
            </w:pPr>
            <w:r>
              <w:rPr>
                <w:rFonts w:eastAsia="宋体"/>
              </w:rPr>
              <w:t>项目施工过程中，车辆运输及井场基础建设均会产生扬尘污染，施工现场采取洒水、围挡措施，物料集中堆放采取遮盖，车辆不要装载过满并采取密闭或者遮盖等措施后可以有效</w:t>
            </w:r>
            <w:r>
              <w:rPr>
                <w:rFonts w:hint="eastAsia" w:eastAsia="宋体"/>
                <w:lang w:val="en-US" w:eastAsia="zh-CN"/>
              </w:rPr>
              <w:t>地</w:t>
            </w:r>
            <w:r>
              <w:rPr>
                <w:rFonts w:eastAsia="宋体"/>
              </w:rPr>
              <w:t>抑制扬尘，对周围环境影响</w:t>
            </w:r>
            <w:r>
              <w:rPr>
                <w:rFonts w:hint="eastAsia" w:eastAsia="宋体"/>
              </w:rPr>
              <w:t>可接受</w:t>
            </w:r>
            <w:r>
              <w:rPr>
                <w:rFonts w:eastAsia="宋体"/>
              </w:rPr>
              <w:t>。</w:t>
            </w:r>
          </w:p>
          <w:p w14:paraId="68DC21FA">
            <w:pPr>
              <w:pStyle w:val="3"/>
              <w:ind w:firstLine="480"/>
              <w:rPr>
                <w:rFonts w:eastAsia="宋体"/>
              </w:rPr>
            </w:pPr>
            <w:r>
              <w:rPr>
                <w:rFonts w:hint="eastAsia" w:eastAsia="宋体"/>
              </w:rPr>
              <w:t>（2）车辆尾气</w:t>
            </w:r>
          </w:p>
          <w:p w14:paraId="773585A9">
            <w:pPr>
              <w:pStyle w:val="3"/>
              <w:ind w:firstLine="480"/>
              <w:rPr>
                <w:rFonts w:eastAsia="宋体"/>
              </w:rPr>
            </w:pPr>
            <w:r>
              <w:rPr>
                <w:rFonts w:eastAsia="宋体"/>
              </w:rPr>
              <w:t>施工期间各种车辆较多，汽车尾气主要为CO、碳氢化合物、NOx和烟尘等，汽车排放的尾气会对大气环境造成一定污染。由于井场的车辆数量与每辆车燃烧的油料种类不易确定，</w:t>
            </w:r>
            <w:r>
              <w:rPr>
                <w:rFonts w:hint="eastAsia" w:eastAsia="宋体"/>
              </w:rPr>
              <w:t>因此应加强车辆的管理和维护，确保车辆尾气达标排放，对周边的环境影响可接受。</w:t>
            </w:r>
          </w:p>
          <w:p w14:paraId="1AA6069A">
            <w:pPr>
              <w:pStyle w:val="3"/>
              <w:ind w:firstLine="480"/>
              <w:rPr>
                <w:rFonts w:eastAsia="宋体"/>
              </w:rPr>
            </w:pPr>
            <w:r>
              <w:rPr>
                <w:rFonts w:hint="eastAsia" w:eastAsia="宋体"/>
              </w:rPr>
              <w:t>（3）试采废气</w:t>
            </w:r>
          </w:p>
          <w:p w14:paraId="3497D19A">
            <w:pPr>
              <w:pStyle w:val="3"/>
              <w:ind w:firstLine="480"/>
              <w:rPr>
                <w:rFonts w:eastAsia="宋体"/>
              </w:rPr>
            </w:pPr>
            <w:r>
              <w:rPr>
                <w:rFonts w:eastAsia="宋体"/>
              </w:rPr>
              <w:t>本项目为</w:t>
            </w:r>
            <w:r>
              <w:rPr>
                <w:rFonts w:hint="eastAsia" w:eastAsia="宋体"/>
              </w:rPr>
              <w:t>勘探井</w:t>
            </w:r>
            <w:r>
              <w:rPr>
                <w:rFonts w:eastAsia="宋体"/>
              </w:rPr>
              <w:t>项目，在此阶段其油井产油量尚不能确定，完井测试后如确定为油井，进行射孔穿透油层，试</w:t>
            </w:r>
            <w:r>
              <w:rPr>
                <w:rFonts w:hint="eastAsia" w:eastAsia="宋体"/>
                <w:lang w:val="en-US" w:eastAsia="zh-CN"/>
              </w:rPr>
              <w:t>采</w:t>
            </w:r>
            <w:r>
              <w:rPr>
                <w:rFonts w:eastAsia="宋体"/>
              </w:rPr>
              <w:t>期间有少量烃类气体逸散，其烃类挥发损耗较小</w:t>
            </w:r>
            <w:r>
              <w:rPr>
                <w:rFonts w:hint="eastAsia" w:eastAsia="宋体"/>
              </w:rPr>
              <w:t>，</w:t>
            </w:r>
            <w:r>
              <w:rPr>
                <w:rFonts w:eastAsia="宋体"/>
              </w:rPr>
              <w:t>释放到大气环境中很快被稀释，</w:t>
            </w:r>
            <w:r>
              <w:rPr>
                <w:rFonts w:hint="eastAsia" w:eastAsia="宋体"/>
                <w:lang w:val="en-US" w:eastAsia="zh-CN"/>
              </w:rPr>
              <w:t>可忽略不计，本项目不进行定量分析，</w:t>
            </w:r>
            <w:r>
              <w:rPr>
                <w:rFonts w:eastAsia="宋体"/>
              </w:rPr>
              <w:t>对环境影响较小。</w:t>
            </w:r>
          </w:p>
          <w:p w14:paraId="292EF3C9">
            <w:pPr>
              <w:pStyle w:val="2"/>
              <w:numPr>
                <w:ilvl w:val="0"/>
                <w:numId w:val="3"/>
              </w:numPr>
              <w:ind w:firstLine="480" w:firstLineChars="200"/>
              <w:rPr>
                <w:rFonts w:hint="eastAsia" w:eastAsia="宋体"/>
                <w:b w:val="0"/>
                <w:bCs/>
                <w:lang w:val="en-US" w:eastAsia="zh-CN"/>
              </w:rPr>
            </w:pPr>
            <w:r>
              <w:rPr>
                <w:rFonts w:hint="eastAsia" w:eastAsia="宋体"/>
                <w:b w:val="0"/>
                <w:bCs/>
                <w:lang w:val="en-US" w:eastAsia="zh-CN"/>
              </w:rPr>
              <w:t>柴油燃烧废气</w:t>
            </w:r>
          </w:p>
          <w:p w14:paraId="58EA8A2E">
            <w:pPr>
              <w:pStyle w:val="3"/>
              <w:ind w:firstLine="480"/>
              <w:rPr>
                <w:rFonts w:hint="eastAsia" w:eastAsia="宋体"/>
                <w:lang w:val="en-US" w:eastAsia="zh-CN"/>
              </w:rPr>
            </w:pPr>
            <w:r>
              <w:rPr>
                <w:rFonts w:hint="eastAsia" w:eastAsia="宋体"/>
                <w:lang w:val="en-US" w:eastAsia="zh-CN"/>
              </w:rPr>
              <w:t>本项目用电依托当地电网，仅在电网停电等特殊情况时，使用备用发电机发电，发电机燃料为柴油，工作时会产生燃油废气，其中主要含有烟尘、SO</w:t>
            </w:r>
            <w:r>
              <w:rPr>
                <w:rFonts w:hint="eastAsia" w:eastAsia="宋体"/>
                <w:vertAlign w:val="subscript"/>
                <w:lang w:val="en-US" w:eastAsia="zh-CN"/>
              </w:rPr>
              <w:t>2</w:t>
            </w:r>
            <w:r>
              <w:rPr>
                <w:rFonts w:hint="eastAsia" w:eastAsia="宋体"/>
                <w:lang w:val="en-US" w:eastAsia="zh-CN"/>
              </w:rPr>
              <w:t>、NO</w:t>
            </w:r>
            <w:r>
              <w:rPr>
                <w:rFonts w:hint="eastAsia" w:eastAsia="宋体"/>
                <w:vertAlign w:val="subscript"/>
                <w:lang w:val="en-US" w:eastAsia="zh-CN"/>
              </w:rPr>
              <w:t>x</w:t>
            </w:r>
            <w:r>
              <w:rPr>
                <w:rFonts w:hint="eastAsia" w:eastAsia="宋体"/>
                <w:lang w:val="en-US" w:eastAsia="zh-CN"/>
              </w:rPr>
              <w:t>等污染物。</w:t>
            </w:r>
          </w:p>
          <w:p w14:paraId="15999C42">
            <w:pPr>
              <w:pStyle w:val="3"/>
              <w:ind w:firstLine="480"/>
              <w:rPr>
                <w:rFonts w:hint="eastAsia" w:eastAsia="宋体"/>
                <w:lang w:val="en-US" w:eastAsia="zh-CN"/>
              </w:rPr>
            </w:pPr>
            <w:r>
              <w:rPr>
                <w:rFonts w:hint="eastAsia" w:eastAsia="宋体"/>
                <w:lang w:val="en-US" w:eastAsia="zh-CN"/>
              </w:rPr>
              <w:t>临时发电时，柴油发电机满足《非道路移动机械用柴油机排气污染物排放限值及测量方法（中国第三、四阶段)）》（GB 20891-2014） 及《非道路柴油移动机械排气烟度限值及测量方法》（GB 36886-2018）中第I类限值要求，同时柴油发电机排放污染物参照《大气污染物综合排放标准》（DB32/4041-2021）。本项目调节好柴油的运行工况，再加之施工所在区域较为开阔，柴油发电机的烟气扩散较快，对周边大气环境的影响较小。</w:t>
            </w:r>
          </w:p>
          <w:p w14:paraId="1296027E">
            <w:pPr>
              <w:pStyle w:val="2"/>
              <w:ind w:firstLine="482" w:firstLineChars="200"/>
              <w:rPr>
                <w:rFonts w:eastAsia="宋体"/>
              </w:rPr>
            </w:pPr>
            <w:r>
              <w:rPr>
                <w:rFonts w:hint="eastAsia" w:eastAsia="宋体"/>
                <w:lang w:val="en-US" w:eastAsia="zh-CN"/>
              </w:rPr>
              <w:t>3</w:t>
            </w:r>
            <w:r>
              <w:rPr>
                <w:rFonts w:hint="eastAsia" w:eastAsia="宋体"/>
              </w:rPr>
              <w:t>、地表水环境影响</w:t>
            </w:r>
          </w:p>
          <w:p w14:paraId="465B6114">
            <w:pPr>
              <w:pStyle w:val="3"/>
              <w:ind w:firstLine="480"/>
              <w:rPr>
                <w:rFonts w:eastAsia="宋体"/>
              </w:rPr>
            </w:pPr>
            <w:r>
              <w:rPr>
                <w:rFonts w:hint="eastAsia" w:eastAsia="宋体"/>
              </w:rPr>
              <w:t>本项目废水主要为钻井废水、洗井废水、压裂废水和生活污水</w:t>
            </w:r>
            <w:r>
              <w:rPr>
                <w:rFonts w:hint="eastAsia" w:ascii="Times New Roman" w:hAnsi="Times New Roman" w:eastAsia="宋体" w:cs="Times New Roman"/>
              </w:rPr>
              <w:t>。</w:t>
            </w:r>
            <w:r>
              <w:rPr>
                <w:rFonts w:hint="eastAsia" w:ascii="Times New Roman" w:hAnsi="Times New Roman" w:eastAsia="宋体" w:cs="Times New Roman"/>
                <w:lang w:val="en-US" w:eastAsia="zh-CN"/>
              </w:rPr>
              <w:t>沙105斜井、沙86斜井产生的</w:t>
            </w:r>
            <w:r>
              <w:rPr>
                <w:rFonts w:hint="eastAsia" w:ascii="Times New Roman" w:hAnsi="Times New Roman" w:eastAsia="宋体" w:cs="Times New Roman"/>
                <w:lang w:eastAsia="zh-CN"/>
              </w:rPr>
              <w:t>钻井废水、洗井废水和压裂废水由罐车拉至就近的</w:t>
            </w:r>
            <w:r>
              <w:rPr>
                <w:rFonts w:hint="eastAsia" w:ascii="Times New Roman" w:hAnsi="Times New Roman" w:eastAsia="宋体" w:cs="Times New Roman"/>
                <w:lang w:val="en-US" w:eastAsia="zh-CN"/>
              </w:rPr>
              <w:t>沙埝</w:t>
            </w:r>
            <w:r>
              <w:rPr>
                <w:rFonts w:hint="eastAsia" w:ascii="Times New Roman" w:hAnsi="Times New Roman" w:eastAsia="宋体" w:cs="Times New Roman"/>
                <w:lang w:eastAsia="zh-CN"/>
              </w:rPr>
              <w:t>联合站处理；</w:t>
            </w:r>
            <w:r>
              <w:rPr>
                <w:rFonts w:hint="default" w:ascii="Times New Roman" w:hAnsi="Times New Roman" w:eastAsia="宋体" w:cs="Times New Roman"/>
                <w:lang w:val="en-US" w:eastAsia="zh-CN"/>
              </w:rPr>
              <w:t>生活污水</w:t>
            </w:r>
            <w:r>
              <w:rPr>
                <w:rFonts w:hint="eastAsia" w:ascii="Times New Roman" w:hAnsi="Times New Roman" w:eastAsia="宋体" w:cs="Times New Roman"/>
                <w:lang w:val="en-US" w:eastAsia="zh-CN"/>
              </w:rPr>
              <w:t>作为</w:t>
            </w:r>
            <w:r>
              <w:rPr>
                <w:rFonts w:hint="eastAsia" w:ascii="Times New Roman" w:hAnsi="Times New Roman" w:eastAsia="宋体" w:cs="Times New Roman"/>
              </w:rPr>
              <w:t>钻井队便携式公共厕所</w:t>
            </w:r>
            <w:r>
              <w:rPr>
                <w:rFonts w:hint="eastAsia" w:ascii="Times New Roman" w:hAnsi="Times New Roman" w:eastAsia="宋体" w:cs="Times New Roman"/>
                <w:lang w:val="en-US" w:eastAsia="zh-CN"/>
              </w:rPr>
              <w:t>冲洗水循环使用不外排</w:t>
            </w:r>
          </w:p>
          <w:p w14:paraId="5480B81F">
            <w:pPr>
              <w:pStyle w:val="2"/>
              <w:numPr>
                <w:ilvl w:val="-1"/>
                <w:numId w:val="0"/>
              </w:numPr>
              <w:ind w:firstLine="480" w:firstLineChars="200"/>
              <w:rPr>
                <w:rFonts w:hint="eastAsia" w:eastAsia="宋体"/>
                <w:b w:val="0"/>
                <w:bCs/>
                <w:lang w:val="en-US" w:eastAsia="zh-CN"/>
              </w:rPr>
            </w:pPr>
            <w:r>
              <w:rPr>
                <w:rFonts w:hint="eastAsia" w:eastAsia="宋体"/>
                <w:b w:val="0"/>
                <w:bCs/>
                <w:lang w:val="en-US" w:eastAsia="zh-CN"/>
              </w:rPr>
              <w:t>（1）钻井废水</w:t>
            </w:r>
          </w:p>
          <w:p w14:paraId="7038EB55">
            <w:pPr>
              <w:pStyle w:val="2"/>
              <w:numPr>
                <w:ilvl w:val="-1"/>
                <w:numId w:val="0"/>
              </w:numPr>
              <w:ind w:firstLine="480" w:firstLineChars="200"/>
              <w:rPr>
                <w:rFonts w:hint="eastAsia" w:eastAsia="宋体"/>
                <w:b w:val="0"/>
                <w:bCs/>
                <w:lang w:val="en-US" w:eastAsia="zh-CN"/>
              </w:rPr>
            </w:pPr>
            <w:r>
              <w:rPr>
                <w:rFonts w:hint="eastAsia" w:eastAsia="宋体"/>
                <w:b w:val="0"/>
                <w:bCs/>
                <w:lang w:val="en-US" w:eastAsia="zh-CN"/>
              </w:rPr>
              <w:t>钻井废水主要是经泥浆不落地设备压滤后不可回用的废水及设备冲洗水，据江苏油田钻井现场经验，钻井废水产生量20t/hm进尺，回用量14.2t/hm进尺，钻井废水排放量5.8t/hm进尺，因此本次废水量按照0.058t/m计算。</w:t>
            </w:r>
          </w:p>
          <w:p w14:paraId="16603FD5">
            <w:pPr>
              <w:pStyle w:val="3"/>
              <w:ind w:firstLine="480"/>
              <w:rPr>
                <w:rFonts w:eastAsia="宋体"/>
                <w:color w:val="000000" w:themeColor="text1"/>
                <w14:textFill>
                  <w14:solidFill>
                    <w14:schemeClr w14:val="tx1"/>
                  </w14:solidFill>
                </w14:textFill>
              </w:rPr>
            </w:pPr>
            <w:r>
              <w:rPr>
                <w:rFonts w:hint="eastAsia" w:eastAsia="宋体"/>
              </w:rPr>
              <w:t>钻井废水中主要污染物为COD、SS、石油类。其具有pH值高、悬浮物含量高、有机污染物含量高等特点。根据江苏油田</w:t>
            </w:r>
            <w:r>
              <w:rPr>
                <w:rFonts w:hint="eastAsia" w:eastAsia="宋体"/>
                <w:lang w:val="en-US" w:eastAsia="zh-CN"/>
              </w:rPr>
              <w:t>勘探井项目中的实测数据</w:t>
            </w:r>
            <w:r>
              <w:rPr>
                <w:rFonts w:hint="eastAsia" w:eastAsia="宋体"/>
              </w:rPr>
              <w:t>，钻井废水污染物源强为COD3500~8000mg/L、SS1000～7500mg/L 、石油类30~50mg/L。本</w:t>
            </w:r>
            <w:r>
              <w:rPr>
                <w:rFonts w:hint="eastAsia" w:eastAsia="宋体"/>
                <w:lang w:val="en-US" w:eastAsia="zh-CN"/>
              </w:rPr>
              <w:t>次</w:t>
            </w:r>
            <w:r>
              <w:rPr>
                <w:rFonts w:hint="eastAsia" w:eastAsia="宋体"/>
              </w:rPr>
              <w:t>环评取</w:t>
            </w:r>
            <w:r>
              <w:rPr>
                <w:rFonts w:eastAsia="宋体"/>
              </w:rPr>
              <w:t>COD5000mg/</w:t>
            </w:r>
            <w:r>
              <w:rPr>
                <w:rFonts w:hint="eastAsia" w:eastAsia="宋体"/>
              </w:rPr>
              <w:t>L</w:t>
            </w:r>
            <w:r>
              <w:rPr>
                <w:rFonts w:eastAsia="宋体"/>
              </w:rPr>
              <w:t>、SS5000mg/</w:t>
            </w:r>
            <w:r>
              <w:rPr>
                <w:rFonts w:hint="eastAsia" w:eastAsia="宋体"/>
              </w:rPr>
              <w:t>L</w:t>
            </w:r>
            <w:r>
              <w:rPr>
                <w:rFonts w:eastAsia="宋体"/>
              </w:rPr>
              <w:t>、石油类50mg/</w:t>
            </w:r>
            <w:r>
              <w:rPr>
                <w:rFonts w:hint="eastAsia" w:eastAsia="宋体"/>
              </w:rPr>
              <w:t>L。钻井废水由罐车收集</w:t>
            </w:r>
            <w:r>
              <w:rPr>
                <w:rFonts w:hint="eastAsia" w:eastAsia="宋体"/>
                <w:lang w:val="en-US" w:eastAsia="zh-CN"/>
              </w:rPr>
              <w:t>后</w:t>
            </w:r>
            <w:r>
              <w:rPr>
                <w:rFonts w:hint="eastAsia" w:eastAsia="宋体"/>
              </w:rPr>
              <w:t>拉运至附近的</w:t>
            </w:r>
            <w:r>
              <w:rPr>
                <w:rFonts w:hint="eastAsia" w:eastAsia="宋体"/>
                <w:lang w:val="en-US" w:eastAsia="zh-CN"/>
              </w:rPr>
              <w:t>沙埝</w:t>
            </w:r>
            <w:r>
              <w:rPr>
                <w:rFonts w:hint="eastAsia" w:eastAsia="宋体"/>
              </w:rPr>
              <w:t>联合站进行处理，处理达标后用于</w:t>
            </w:r>
            <w:r>
              <w:rPr>
                <w:rFonts w:hint="eastAsia" w:eastAsia="宋体"/>
                <w:color w:val="000000" w:themeColor="text1"/>
                <w14:textFill>
                  <w14:solidFill>
                    <w14:schemeClr w14:val="tx1"/>
                  </w14:solidFill>
                </w14:textFill>
              </w:rPr>
              <w:t>开</w:t>
            </w:r>
            <w:r>
              <w:rPr>
                <w:rFonts w:hint="eastAsia" w:eastAsia="宋体"/>
                <w:color w:val="000000" w:themeColor="text1"/>
                <w:lang w:eastAsia="zh-CN"/>
                <w14:textFill>
                  <w14:solidFill>
                    <w14:schemeClr w14:val="tx1"/>
                  </w14:solidFill>
                </w14:textFill>
              </w:rPr>
              <w:t>采区回</w:t>
            </w:r>
            <w:r>
              <w:rPr>
                <w:rFonts w:hint="eastAsia" w:eastAsia="宋体"/>
                <w:color w:val="000000" w:themeColor="text1"/>
                <w14:textFill>
                  <w14:solidFill>
                    <w14:schemeClr w14:val="tx1"/>
                  </w14:solidFill>
                </w14:textFill>
              </w:rPr>
              <w:t>注，无外排，对地表水基本无影响。</w:t>
            </w:r>
          </w:p>
          <w:p w14:paraId="7DBAC539">
            <w:pPr>
              <w:pStyle w:val="3"/>
              <w:ind w:firstLine="480"/>
              <w:rPr>
                <w:rFonts w:eastAsia="宋体"/>
              </w:rPr>
            </w:pPr>
            <w:r>
              <w:rPr>
                <w:rFonts w:hint="eastAsia" w:eastAsia="宋体"/>
              </w:rPr>
              <w:t>（2）洗井废水</w:t>
            </w:r>
          </w:p>
          <w:p w14:paraId="5ABA4B70">
            <w:pPr>
              <w:pStyle w:val="3"/>
              <w:ind w:firstLine="480"/>
              <w:rPr>
                <w:rFonts w:eastAsia="宋体"/>
              </w:rPr>
            </w:pPr>
            <w:r>
              <w:rPr>
                <w:rFonts w:eastAsia="宋体"/>
              </w:rPr>
              <w:t>完钻探井在射孔前，需要用清水洗去井下残余泥浆，此时排放少量洗井废水，据调查，洗井废水回用率不低于70%。</w:t>
            </w:r>
            <w:r>
              <w:rPr>
                <w:rFonts w:hint="eastAsia" w:eastAsia="宋体"/>
                <w:lang w:val="en-US" w:eastAsia="zh-CN"/>
              </w:rPr>
              <w:t>无法回用的</w:t>
            </w:r>
            <w:r>
              <w:rPr>
                <w:rFonts w:eastAsia="宋体"/>
              </w:rPr>
              <w:t>洗井废水量</w:t>
            </w:r>
            <w:r>
              <w:rPr>
                <w:rFonts w:hint="eastAsia" w:eastAsia="宋体"/>
                <w:lang w:val="en-US" w:eastAsia="zh-CN"/>
              </w:rPr>
              <w:t>为</w:t>
            </w:r>
            <w:r>
              <w:rPr>
                <w:rFonts w:eastAsia="宋体"/>
              </w:rPr>
              <w:t>0.01m</w:t>
            </w:r>
            <w:r>
              <w:rPr>
                <w:rFonts w:eastAsia="宋体"/>
                <w:vertAlign w:val="superscript"/>
              </w:rPr>
              <w:t>3</w:t>
            </w:r>
            <w:r>
              <w:rPr>
                <w:rFonts w:eastAsia="宋体"/>
              </w:rPr>
              <w:t>/m。废水污染物主要</w:t>
            </w:r>
            <w:r>
              <w:rPr>
                <w:rFonts w:hint="eastAsia" w:eastAsia="宋体"/>
              </w:rPr>
              <w:t>为</w:t>
            </w:r>
            <w:r>
              <w:rPr>
                <w:rFonts w:eastAsia="宋体"/>
              </w:rPr>
              <w:t>探井中残留的钻井废液，</w:t>
            </w:r>
            <w:r>
              <w:rPr>
                <w:rFonts w:hint="eastAsia" w:eastAsia="宋体"/>
              </w:rPr>
              <w:t>根据江苏油田</w:t>
            </w:r>
            <w:r>
              <w:rPr>
                <w:rFonts w:hint="eastAsia" w:eastAsia="宋体"/>
                <w:lang w:val="en-US" w:eastAsia="zh-CN"/>
              </w:rPr>
              <w:t>勘探井项目中的实测数据</w:t>
            </w:r>
            <w:r>
              <w:rPr>
                <w:rFonts w:hint="eastAsia" w:eastAsia="宋体"/>
              </w:rPr>
              <w:t>，</w:t>
            </w:r>
            <w:r>
              <w:rPr>
                <w:rFonts w:eastAsia="宋体"/>
              </w:rPr>
              <w:t>洗井</w:t>
            </w:r>
            <w:r>
              <w:rPr>
                <w:rFonts w:hint="eastAsia" w:eastAsia="宋体"/>
              </w:rPr>
              <w:t>废水污染物源强</w:t>
            </w:r>
            <w:r>
              <w:rPr>
                <w:rFonts w:eastAsia="宋体"/>
              </w:rPr>
              <w:t>为SS1500mg/L、COD400mg/L、石油类20mg/L。</w:t>
            </w:r>
          </w:p>
          <w:p w14:paraId="7CB76982">
            <w:pPr>
              <w:pStyle w:val="3"/>
              <w:ind w:firstLine="480"/>
              <w:rPr>
                <w:rFonts w:eastAsia="宋体"/>
              </w:rPr>
            </w:pPr>
            <w:r>
              <w:rPr>
                <w:rFonts w:hint="eastAsia" w:eastAsia="宋体"/>
                <w:lang w:eastAsia="zh-CN"/>
              </w:rPr>
              <w:t>不可回用的</w:t>
            </w:r>
            <w:r>
              <w:rPr>
                <w:rFonts w:eastAsia="宋体"/>
              </w:rPr>
              <w:t>洗井废水由罐车</w:t>
            </w:r>
            <w:r>
              <w:rPr>
                <w:rFonts w:hint="eastAsia" w:eastAsia="宋体"/>
              </w:rPr>
              <w:t>收集</w:t>
            </w:r>
            <w:r>
              <w:rPr>
                <w:rFonts w:hint="eastAsia" w:eastAsia="宋体"/>
                <w:lang w:val="en-US" w:eastAsia="zh-CN"/>
              </w:rPr>
              <w:t>后</w:t>
            </w:r>
            <w:r>
              <w:rPr>
                <w:rFonts w:hint="eastAsia" w:eastAsia="宋体"/>
              </w:rPr>
              <w:t>拉运至附近的</w:t>
            </w:r>
            <w:r>
              <w:rPr>
                <w:rFonts w:hint="eastAsia" w:eastAsia="宋体"/>
                <w:lang w:eastAsia="zh-CN"/>
              </w:rPr>
              <w:t>沙埝联合站</w:t>
            </w:r>
            <w:r>
              <w:rPr>
                <w:rFonts w:hint="eastAsia" w:eastAsia="宋体"/>
              </w:rPr>
              <w:t>进行处理</w:t>
            </w:r>
            <w:r>
              <w:rPr>
                <w:rFonts w:eastAsia="宋体"/>
              </w:rPr>
              <w:t>，处理达标后用于开发注水，无外排，对地表水基本无影响。</w:t>
            </w:r>
          </w:p>
          <w:p w14:paraId="6B480666">
            <w:pPr>
              <w:pStyle w:val="3"/>
              <w:ind w:firstLine="480"/>
              <w:rPr>
                <w:rFonts w:eastAsia="宋体"/>
              </w:rPr>
            </w:pPr>
            <w:r>
              <w:rPr>
                <w:rFonts w:hint="eastAsia" w:eastAsia="宋体"/>
              </w:rPr>
              <w:t>（3）压裂废水</w:t>
            </w:r>
          </w:p>
          <w:p w14:paraId="1549CAD8">
            <w:pPr>
              <w:pStyle w:val="3"/>
              <w:ind w:firstLine="480"/>
              <w:rPr>
                <w:rFonts w:eastAsia="宋体"/>
              </w:rPr>
            </w:pPr>
            <w:r>
              <w:rPr>
                <w:rFonts w:eastAsia="宋体"/>
              </w:rPr>
              <w:t>根据钻井设计资料，本项目实际参与作业的压裂车每次压裂液泵入时间约2～3小时，均在白天进行。压裂液注入量约10m</w:t>
            </w:r>
            <w:r>
              <w:rPr>
                <w:rFonts w:eastAsia="宋体"/>
                <w:vertAlign w:val="superscript"/>
              </w:rPr>
              <w:t>3</w:t>
            </w:r>
            <w:r>
              <w:rPr>
                <w:rFonts w:eastAsia="宋体"/>
              </w:rPr>
              <w:t>/hm进尺。</w:t>
            </w:r>
          </w:p>
          <w:p w14:paraId="3BD0591A">
            <w:pPr>
              <w:pStyle w:val="3"/>
              <w:ind w:firstLine="480"/>
              <w:rPr>
                <w:rFonts w:eastAsia="宋体"/>
              </w:rPr>
            </w:pPr>
            <w:r>
              <w:rPr>
                <w:rFonts w:eastAsia="宋体"/>
              </w:rPr>
              <w:t>本项目拟对返排出的压裂废水进行回收利用，用于该区域其他井的压裂液的配制，该区域已部署了数量众多的钻井工程，返排液经过处理后可用于其他井配置压裂液使用，这样既减少了废水的转运、处理的风险和成本，也减少了取用新鲜水配置压裂液的量，节约用水。类比</w:t>
            </w:r>
            <w:r>
              <w:rPr>
                <w:rFonts w:hint="eastAsia" w:eastAsia="宋体"/>
              </w:rPr>
              <w:t>江苏油田</w:t>
            </w:r>
            <w:r>
              <w:rPr>
                <w:rFonts w:eastAsia="宋体"/>
              </w:rPr>
              <w:t>同类型压裂废水回用率，本项目压裂废水回用率按85%计，则</w:t>
            </w:r>
            <w:r>
              <w:rPr>
                <w:rFonts w:hint="eastAsia" w:eastAsia="宋体"/>
                <w:lang w:val="en-US" w:eastAsia="zh-CN"/>
              </w:rPr>
              <w:t>无法回用的</w:t>
            </w:r>
            <w:r>
              <w:rPr>
                <w:rFonts w:eastAsia="宋体"/>
              </w:rPr>
              <w:t>压裂废水量为</w:t>
            </w:r>
            <w:r>
              <w:rPr>
                <w:rFonts w:hint="eastAsia" w:eastAsia="宋体"/>
                <w:lang w:val="en-US" w:eastAsia="zh-CN"/>
              </w:rPr>
              <w:t>0</w:t>
            </w:r>
            <w:r>
              <w:rPr>
                <w:rFonts w:eastAsia="宋体"/>
              </w:rPr>
              <w:t>.</w:t>
            </w:r>
            <w:r>
              <w:rPr>
                <w:rFonts w:hint="eastAsia" w:eastAsia="宋体"/>
                <w:lang w:val="en-US" w:eastAsia="zh-CN"/>
              </w:rPr>
              <w:t>01</w:t>
            </w:r>
            <w:r>
              <w:rPr>
                <w:rFonts w:eastAsia="宋体"/>
              </w:rPr>
              <w:t>5m</w:t>
            </w:r>
            <w:r>
              <w:rPr>
                <w:rFonts w:eastAsia="宋体"/>
                <w:vertAlign w:val="superscript"/>
              </w:rPr>
              <w:t>3</w:t>
            </w:r>
            <w:r>
              <w:rPr>
                <w:rFonts w:eastAsia="宋体"/>
              </w:rPr>
              <w:t>/m</w:t>
            </w:r>
            <w:r>
              <w:rPr>
                <w:rFonts w:hint="eastAsia" w:eastAsia="宋体"/>
              </w:rPr>
              <w:t>。根据江苏油田</w:t>
            </w:r>
            <w:r>
              <w:rPr>
                <w:rFonts w:hint="eastAsia" w:eastAsia="宋体"/>
                <w:lang w:val="en-US" w:eastAsia="zh-CN"/>
              </w:rPr>
              <w:t>勘探井项目中的实测数据</w:t>
            </w:r>
            <w:r>
              <w:rPr>
                <w:rFonts w:hint="eastAsia" w:eastAsia="宋体"/>
              </w:rPr>
              <w:t>，压裂废水污染物源强</w:t>
            </w:r>
            <w:r>
              <w:rPr>
                <w:rFonts w:eastAsia="宋体"/>
              </w:rPr>
              <w:t>为</w:t>
            </w:r>
            <w:r>
              <w:rPr>
                <w:rFonts w:hint="eastAsia" w:eastAsia="宋体"/>
              </w:rPr>
              <w:t>COD3000mg/L、SS300mg/L、石油类50mg/L。</w:t>
            </w:r>
          </w:p>
          <w:p w14:paraId="2C3FCB70">
            <w:pPr>
              <w:pStyle w:val="3"/>
              <w:ind w:firstLine="480"/>
              <w:rPr>
                <w:rFonts w:eastAsia="宋体"/>
              </w:rPr>
            </w:pPr>
            <w:r>
              <w:rPr>
                <w:rFonts w:eastAsia="宋体"/>
              </w:rPr>
              <w:t>不可回用的压裂废水</w:t>
            </w:r>
            <w:r>
              <w:rPr>
                <w:rFonts w:hint="eastAsia" w:eastAsia="宋体"/>
              </w:rPr>
              <w:t>由罐车收集</w:t>
            </w:r>
            <w:r>
              <w:rPr>
                <w:rFonts w:hint="eastAsia" w:eastAsia="宋体"/>
                <w:lang w:val="en-US" w:eastAsia="zh-CN"/>
              </w:rPr>
              <w:t>后</w:t>
            </w:r>
            <w:r>
              <w:rPr>
                <w:rFonts w:hint="eastAsia" w:eastAsia="宋体"/>
              </w:rPr>
              <w:t>拉运至附近的</w:t>
            </w:r>
            <w:r>
              <w:rPr>
                <w:rFonts w:hint="eastAsia" w:eastAsia="宋体"/>
                <w:lang w:val="en-US" w:eastAsia="zh-CN"/>
              </w:rPr>
              <w:t>沙埝</w:t>
            </w:r>
            <w:r>
              <w:rPr>
                <w:rFonts w:hint="eastAsia" w:eastAsia="宋体"/>
              </w:rPr>
              <w:t>联合站进行处理，处理达标后用于开发注水，无外排，对地表水基本无影响。</w:t>
            </w:r>
          </w:p>
          <w:p w14:paraId="7FF8C2FF">
            <w:pPr>
              <w:pStyle w:val="3"/>
              <w:ind w:firstLine="480"/>
              <w:rPr>
                <w:rFonts w:eastAsia="宋体"/>
              </w:rPr>
            </w:pPr>
            <w:r>
              <w:rPr>
                <w:rFonts w:hint="eastAsia" w:eastAsia="宋体"/>
              </w:rPr>
              <w:t>（4）生活污水</w:t>
            </w:r>
          </w:p>
          <w:p w14:paraId="7ADE00F8">
            <w:pPr>
              <w:pStyle w:val="3"/>
              <w:ind w:firstLine="480"/>
              <w:rPr>
                <w:rFonts w:eastAsia="宋体"/>
                <w:color w:val="auto"/>
              </w:rPr>
            </w:pPr>
            <w:r>
              <w:rPr>
                <w:rFonts w:hint="eastAsia" w:eastAsia="宋体"/>
                <w:color w:val="auto"/>
              </w:rPr>
              <w:t>井场施工人员住宿及生活主要依托</w:t>
            </w:r>
            <w:r>
              <w:rPr>
                <w:rFonts w:hint="eastAsia" w:eastAsia="宋体"/>
                <w:color w:val="auto"/>
                <w:lang w:val="en-US" w:eastAsia="zh-CN"/>
              </w:rPr>
              <w:t>就近</w:t>
            </w:r>
            <w:r>
              <w:rPr>
                <w:rFonts w:hint="eastAsia" w:eastAsia="宋体"/>
                <w:color w:val="auto"/>
              </w:rPr>
              <w:t>的</w:t>
            </w:r>
            <w:r>
              <w:rPr>
                <w:rFonts w:hint="eastAsia" w:eastAsia="宋体"/>
                <w:color w:val="auto"/>
                <w:lang w:val="en-US" w:eastAsia="zh-CN"/>
              </w:rPr>
              <w:t>宾馆</w:t>
            </w:r>
            <w:r>
              <w:rPr>
                <w:rFonts w:hint="eastAsia" w:eastAsia="宋体"/>
                <w:color w:val="auto"/>
              </w:rPr>
              <w:t>，井场内不设生活区域。在井场设置钻井队便携式公共厕所，对施工期间产生的生活污水进行收集</w:t>
            </w:r>
            <w:r>
              <w:rPr>
                <w:rFonts w:hint="eastAsia" w:eastAsia="宋体"/>
                <w:color w:val="auto"/>
                <w:lang w:val="en-US" w:eastAsia="zh-CN"/>
              </w:rPr>
              <w:t>处理</w:t>
            </w:r>
            <w:r>
              <w:rPr>
                <w:rFonts w:hint="eastAsia" w:eastAsia="宋体"/>
                <w:color w:val="auto"/>
              </w:rPr>
              <w:t>。</w:t>
            </w:r>
          </w:p>
          <w:p w14:paraId="5ECA7CCF">
            <w:pPr>
              <w:pStyle w:val="3"/>
              <w:ind w:firstLine="480"/>
              <w:rPr>
                <w:rFonts w:hint="eastAsia" w:eastAsia="宋体"/>
                <w:color w:val="FF0000"/>
              </w:rPr>
            </w:pPr>
            <w:r>
              <w:rPr>
                <w:rFonts w:hint="eastAsia" w:eastAsia="宋体"/>
              </w:rPr>
              <w:t>本项目</w:t>
            </w:r>
            <w:r>
              <w:rPr>
                <w:rFonts w:hint="eastAsia" w:eastAsia="宋体"/>
                <w:lang w:eastAsia="zh-CN"/>
              </w:rPr>
              <w:t>每个井场</w:t>
            </w:r>
            <w:r>
              <w:rPr>
                <w:rFonts w:hint="eastAsia" w:eastAsia="宋体"/>
              </w:rPr>
              <w:t>施工人员</w:t>
            </w:r>
            <w:r>
              <w:rPr>
                <w:rFonts w:hint="eastAsia" w:eastAsia="宋体"/>
                <w:lang w:eastAsia="zh-CN"/>
              </w:rPr>
              <w:t>约</w:t>
            </w:r>
            <w:r>
              <w:rPr>
                <w:rFonts w:hint="eastAsia" w:eastAsia="宋体"/>
                <w:lang w:val="en-US" w:eastAsia="zh-CN"/>
              </w:rPr>
              <w:t>50</w:t>
            </w:r>
            <w:r>
              <w:rPr>
                <w:rFonts w:hint="eastAsia" w:eastAsia="宋体"/>
              </w:rPr>
              <w:t>人，</w:t>
            </w:r>
            <w:r>
              <w:rPr>
                <w:rFonts w:hint="eastAsia" w:ascii="Times New Roman" w:hAnsi="Times New Roman" w:eastAsia="宋体" w:cs="Times New Roman"/>
                <w:lang w:val="en-US" w:eastAsia="zh-CN"/>
              </w:rPr>
              <w:t>单个井场</w:t>
            </w:r>
            <w:r>
              <w:rPr>
                <w:rFonts w:hint="eastAsia" w:ascii="Times New Roman" w:hAnsi="Times New Roman" w:eastAsia="宋体" w:cs="Times New Roman"/>
              </w:rPr>
              <w:t>施工周期为</w:t>
            </w:r>
            <w:r>
              <w:rPr>
                <w:rFonts w:hint="eastAsia" w:eastAsia="宋体"/>
                <w:lang w:val="en-US" w:eastAsia="zh-CN"/>
              </w:rPr>
              <w:t>30</w:t>
            </w:r>
            <w:r>
              <w:rPr>
                <w:rFonts w:hint="eastAsia" w:eastAsia="宋体"/>
              </w:rPr>
              <w:t>天</w:t>
            </w:r>
            <w:r>
              <w:rPr>
                <w:rFonts w:hint="eastAsia" w:eastAsia="宋体"/>
                <w:lang w:eastAsia="zh-CN"/>
              </w:rPr>
              <w:t>，</w:t>
            </w:r>
            <w:r>
              <w:rPr>
                <w:rFonts w:hint="eastAsia" w:eastAsia="宋体"/>
                <w:lang w:val="en-US" w:eastAsia="zh-CN"/>
              </w:rPr>
              <w:t>施工共60天</w:t>
            </w:r>
            <w:r>
              <w:rPr>
                <w:rFonts w:hint="eastAsia" w:eastAsia="宋体"/>
              </w:rPr>
              <w:t>。</w:t>
            </w:r>
            <w:r>
              <w:rPr>
                <w:rFonts w:eastAsia="宋体"/>
              </w:rPr>
              <w:t xml:space="preserve">按人均用水量 </w:t>
            </w:r>
            <w:r>
              <w:rPr>
                <w:rFonts w:hint="eastAsia" w:eastAsia="宋体"/>
              </w:rPr>
              <w:t>5</w:t>
            </w:r>
            <w:r>
              <w:rPr>
                <w:rFonts w:eastAsia="宋体"/>
              </w:rPr>
              <w:t>0L/d 计，生活污水按用水量的</w:t>
            </w:r>
            <w:r>
              <w:rPr>
                <w:rFonts w:hint="eastAsia" w:eastAsia="宋体"/>
              </w:rPr>
              <w:t>85</w:t>
            </w:r>
            <w:r>
              <w:rPr>
                <w:rFonts w:eastAsia="宋体"/>
              </w:rPr>
              <w:t>%计，则</w:t>
            </w:r>
            <w:r>
              <w:rPr>
                <w:rFonts w:hint="eastAsia" w:eastAsia="宋体"/>
              </w:rPr>
              <w:t>生活用水量为</w:t>
            </w:r>
            <w:r>
              <w:rPr>
                <w:rFonts w:hint="eastAsia" w:eastAsia="宋体"/>
                <w:lang w:val="en-US" w:eastAsia="zh-CN"/>
              </w:rPr>
              <w:t>150</w:t>
            </w:r>
            <w:r>
              <w:rPr>
                <w:rFonts w:hint="eastAsia" w:eastAsia="宋体"/>
              </w:rPr>
              <w:t>t，</w:t>
            </w:r>
            <w:r>
              <w:rPr>
                <w:rFonts w:eastAsia="宋体"/>
              </w:rPr>
              <w:t>生活污水产生量为</w:t>
            </w:r>
            <w:r>
              <w:rPr>
                <w:rFonts w:hint="eastAsia" w:eastAsia="宋体"/>
                <w:lang w:val="en-US" w:eastAsia="zh-CN"/>
              </w:rPr>
              <w:t>127.5</w:t>
            </w:r>
            <w:r>
              <w:rPr>
                <w:rFonts w:eastAsia="宋体"/>
              </w:rPr>
              <w:t>t。</w:t>
            </w:r>
            <w:r>
              <w:rPr>
                <w:rFonts w:hint="eastAsia" w:eastAsia="宋体"/>
              </w:rPr>
              <w:t>根据</w:t>
            </w:r>
            <w:r>
              <w:rPr>
                <w:rFonts w:hint="eastAsia" w:eastAsia="宋体"/>
                <w:lang w:val="en-US" w:eastAsia="zh-CN"/>
              </w:rPr>
              <w:t>环境部公告2021年第24号关于发布《排放源统计调查产排污核算方法和系数手册》中《生活源产排污核算系数手册》，生活污水中主要污染物浓度为COD340mg/L、SS300mg/L、氨氮32.6mg/L、总氮44.8mg/L、总磷4.27mg/L。</w:t>
            </w:r>
            <w:r>
              <w:rPr>
                <w:rFonts w:eastAsia="宋体"/>
                <w:color w:val="auto"/>
              </w:rPr>
              <w:t>在施工现场设置</w:t>
            </w:r>
            <w:r>
              <w:rPr>
                <w:rFonts w:hint="eastAsia" w:eastAsia="宋体"/>
                <w:color w:val="auto"/>
              </w:rPr>
              <w:t>钻井队便携式公共厕所</w:t>
            </w:r>
            <w:r>
              <w:rPr>
                <w:rFonts w:hint="eastAsia" w:eastAsia="宋体"/>
                <w:color w:val="auto"/>
                <w:lang w:eastAsia="zh-CN"/>
              </w:rPr>
              <w:t>（</w:t>
            </w:r>
            <w:r>
              <w:rPr>
                <w:rFonts w:hint="eastAsia" w:eastAsia="宋体"/>
                <w:color w:val="auto"/>
                <w:lang w:val="en-US" w:eastAsia="zh-CN"/>
              </w:rPr>
              <w:t>处理工艺和设备详见附件13</w:t>
            </w:r>
            <w:r>
              <w:rPr>
                <w:rFonts w:hint="eastAsia" w:eastAsia="宋体"/>
                <w:color w:val="auto"/>
                <w:lang w:eastAsia="zh-CN"/>
              </w:rPr>
              <w:t>）</w:t>
            </w:r>
            <w:r>
              <w:rPr>
                <w:rFonts w:eastAsia="宋体"/>
                <w:color w:val="000000" w:themeColor="text1"/>
                <w14:textFill>
                  <w14:solidFill>
                    <w14:schemeClr w14:val="tx1"/>
                  </w14:solidFill>
                </w14:textFill>
              </w:rPr>
              <w:t>，</w:t>
            </w:r>
            <w:r>
              <w:rPr>
                <w:rFonts w:hint="eastAsia" w:eastAsia="宋体"/>
                <w:color w:val="000000" w:themeColor="text1"/>
                <w:lang w:val="en-US" w:eastAsia="zh-CN"/>
                <w14:textFill>
                  <w14:solidFill>
                    <w14:schemeClr w14:val="tx1"/>
                  </w14:solidFill>
                </w14:textFill>
              </w:rPr>
              <w:t>处理后的生活污水作为</w:t>
            </w:r>
            <w:r>
              <w:rPr>
                <w:rFonts w:hint="eastAsia" w:eastAsia="宋体"/>
                <w:color w:val="000000" w:themeColor="text1"/>
                <w14:textFill>
                  <w14:solidFill>
                    <w14:schemeClr w14:val="tx1"/>
                  </w14:solidFill>
                </w14:textFill>
              </w:rPr>
              <w:t>钻井队便携式公共厕所</w:t>
            </w:r>
            <w:r>
              <w:rPr>
                <w:rFonts w:hint="eastAsia" w:eastAsia="宋体"/>
                <w:color w:val="000000" w:themeColor="text1"/>
                <w:lang w:val="en-US" w:eastAsia="zh-CN"/>
                <w14:textFill>
                  <w14:solidFill>
                    <w14:schemeClr w14:val="tx1"/>
                  </w14:solidFill>
                </w14:textFill>
              </w:rPr>
              <w:t>冲洗水循环使用不外排</w:t>
            </w:r>
            <w:r>
              <w:rPr>
                <w:rFonts w:hint="eastAsia" w:eastAsia="宋体"/>
                <w:color w:val="000000" w:themeColor="text1"/>
                <w14:textFill>
                  <w14:solidFill>
                    <w14:schemeClr w14:val="tx1"/>
                  </w14:solidFill>
                </w14:textFill>
              </w:rPr>
              <w:t>，</w:t>
            </w:r>
            <w:r>
              <w:rPr>
                <w:rFonts w:hint="eastAsia" w:eastAsia="宋体"/>
                <w:color w:val="000000" w:themeColor="text1"/>
                <w:lang w:val="en-US" w:eastAsia="zh-CN"/>
                <w14:textFill>
                  <w14:solidFill>
                    <w14:schemeClr w14:val="tx1"/>
                  </w14:solidFill>
                </w14:textFill>
              </w:rPr>
              <w:t>待勘探结束后将</w:t>
            </w:r>
            <w:r>
              <w:rPr>
                <w:rFonts w:hint="eastAsia" w:eastAsia="宋体"/>
                <w:color w:val="000000" w:themeColor="text1"/>
                <w14:textFill>
                  <w14:solidFill>
                    <w14:schemeClr w14:val="tx1"/>
                  </w14:solidFill>
                </w14:textFill>
              </w:rPr>
              <w:t>钻井队便携式公共厕所</w:t>
            </w:r>
            <w:r>
              <w:rPr>
                <w:rFonts w:hint="eastAsia" w:eastAsia="宋体"/>
                <w:color w:val="000000" w:themeColor="text1"/>
                <w:lang w:val="en-US" w:eastAsia="zh-CN"/>
                <w14:textFill>
                  <w14:solidFill>
                    <w14:schemeClr w14:val="tx1"/>
                  </w14:solidFill>
                </w14:textFill>
              </w:rPr>
              <w:t>运至下一处项目，不外排，</w:t>
            </w:r>
            <w:r>
              <w:rPr>
                <w:rFonts w:eastAsia="宋体"/>
                <w:color w:val="000000" w:themeColor="text1"/>
                <w14:textFill>
                  <w14:solidFill>
                    <w14:schemeClr w14:val="tx1"/>
                  </w14:solidFill>
                </w14:textFill>
              </w:rPr>
              <w:t>不会对周围地表水环境产生较大影响。</w:t>
            </w:r>
          </w:p>
          <w:p w14:paraId="4C652F40">
            <w:pPr>
              <w:pStyle w:val="3"/>
              <w:ind w:firstLine="480"/>
              <w:rPr>
                <w:rFonts w:eastAsia="宋体"/>
                <w:color w:val="auto"/>
              </w:rPr>
            </w:pPr>
            <w:r>
              <w:rPr>
                <w:rFonts w:hint="eastAsia" w:eastAsia="宋体"/>
                <w:color w:val="auto"/>
              </w:rPr>
              <w:t>（5）井场</w:t>
            </w:r>
            <w:r>
              <w:rPr>
                <w:rFonts w:eastAsia="宋体"/>
                <w:color w:val="auto"/>
              </w:rPr>
              <w:t>雨水</w:t>
            </w:r>
            <w:r>
              <w:rPr>
                <w:rFonts w:hint="eastAsia" w:eastAsia="宋体"/>
                <w:color w:val="auto"/>
              </w:rPr>
              <w:t>排放</w:t>
            </w:r>
          </w:p>
          <w:p w14:paraId="04689186">
            <w:pPr>
              <w:pStyle w:val="3"/>
              <w:ind w:firstLine="480"/>
              <w:rPr>
                <w:rFonts w:hint="eastAsia" w:eastAsia="宋体"/>
                <w:color w:val="auto"/>
                <w:highlight w:val="none"/>
              </w:rPr>
            </w:pPr>
            <w:r>
              <w:rPr>
                <w:rFonts w:hint="eastAsia" w:eastAsia="宋体"/>
                <w:color w:val="auto"/>
              </w:rPr>
              <w:t>根据中国</w:t>
            </w:r>
            <w:r>
              <w:rPr>
                <w:rFonts w:eastAsia="宋体"/>
                <w:color w:val="auto"/>
              </w:rPr>
              <w:t>石油化工集团公司企业标准</w:t>
            </w:r>
            <w:r>
              <w:rPr>
                <w:rFonts w:hint="eastAsia" w:eastAsia="宋体"/>
                <w:color w:val="auto"/>
              </w:rPr>
              <w:t>《钻井</w:t>
            </w:r>
            <w:r>
              <w:rPr>
                <w:rFonts w:eastAsia="宋体"/>
                <w:color w:val="auto"/>
              </w:rPr>
              <w:t>工程污染防治规范</w:t>
            </w:r>
            <w:r>
              <w:rPr>
                <w:rFonts w:hint="eastAsia" w:eastAsia="宋体"/>
                <w:color w:val="auto"/>
              </w:rPr>
              <w:t>》（</w:t>
            </w:r>
            <w:r>
              <w:rPr>
                <w:rFonts w:eastAsia="宋体"/>
                <w:color w:val="auto"/>
              </w:rPr>
              <w:t>Q/SH0238</w:t>
            </w:r>
            <w:r>
              <w:rPr>
                <w:rFonts w:hint="eastAsia" w:eastAsia="宋体"/>
                <w:color w:val="auto"/>
              </w:rPr>
              <w:t>-200</w:t>
            </w:r>
            <w:r>
              <w:rPr>
                <w:rFonts w:eastAsia="宋体"/>
                <w:color w:val="auto"/>
              </w:rPr>
              <w:t>9</w:t>
            </w:r>
            <w:r>
              <w:rPr>
                <w:rFonts w:hint="eastAsia" w:eastAsia="宋体"/>
                <w:color w:val="auto"/>
              </w:rPr>
              <w:t>）要求，井场</w:t>
            </w:r>
            <w:r>
              <w:rPr>
                <w:rFonts w:eastAsia="宋体"/>
                <w:color w:val="auto"/>
              </w:rPr>
              <w:t>周边应设置</w:t>
            </w:r>
            <w:r>
              <w:rPr>
                <w:rFonts w:hint="eastAsia" w:eastAsia="宋体"/>
                <w:color w:val="auto"/>
              </w:rPr>
              <w:t>界沟，</w:t>
            </w:r>
            <w:r>
              <w:rPr>
                <w:rFonts w:eastAsia="宋体"/>
                <w:color w:val="auto"/>
              </w:rPr>
              <w:t>排泄井场范围内的雨水。</w:t>
            </w:r>
            <w:r>
              <w:rPr>
                <w:rFonts w:hint="eastAsia" w:eastAsia="宋体"/>
                <w:color w:val="auto"/>
              </w:rPr>
              <w:t>坡面水</w:t>
            </w:r>
            <w:r>
              <w:rPr>
                <w:rFonts w:eastAsia="宋体"/>
                <w:color w:val="auto"/>
              </w:rPr>
              <w:t>、井场雨水等</w:t>
            </w:r>
            <w:r>
              <w:rPr>
                <w:rFonts w:hint="eastAsia" w:eastAsia="宋体"/>
                <w:color w:val="auto"/>
              </w:rPr>
              <w:t>未受污染的</w:t>
            </w:r>
            <w:r>
              <w:rPr>
                <w:rFonts w:eastAsia="宋体"/>
                <w:color w:val="auto"/>
              </w:rPr>
              <w:t>雨水经边沟进入雨水</w:t>
            </w:r>
            <w:r>
              <w:rPr>
                <w:rFonts w:hint="eastAsia" w:eastAsia="宋体"/>
                <w:color w:val="auto"/>
              </w:rPr>
              <w:t>监控</w:t>
            </w:r>
            <w:r>
              <w:rPr>
                <w:rFonts w:eastAsia="宋体"/>
                <w:color w:val="auto"/>
              </w:rPr>
              <w:t>池可直接外排，</w:t>
            </w:r>
            <w:r>
              <w:rPr>
                <w:rFonts w:hint="eastAsia" w:eastAsia="宋体"/>
                <w:color w:val="auto"/>
              </w:rPr>
              <w:t>受到</w:t>
            </w:r>
            <w:r>
              <w:rPr>
                <w:rFonts w:eastAsia="宋体"/>
                <w:color w:val="auto"/>
              </w:rPr>
              <w:t>污染</w:t>
            </w:r>
            <w:r>
              <w:rPr>
                <w:rFonts w:hint="eastAsia" w:eastAsia="宋体"/>
                <w:color w:val="auto"/>
              </w:rPr>
              <w:t>时，排入场内的初期雨水池，然后进入泥浆不落地处理系统</w:t>
            </w:r>
            <w:r>
              <w:rPr>
                <w:rFonts w:eastAsia="宋体"/>
                <w:color w:val="auto"/>
              </w:rPr>
              <w:t>。</w:t>
            </w:r>
          </w:p>
          <w:p w14:paraId="69A7DC8F">
            <w:pPr>
              <w:pStyle w:val="3"/>
              <w:ind w:firstLine="48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rPr>
              <w:t>根据《化工建设项目环境保护</w:t>
            </w:r>
            <w:r>
              <w:rPr>
                <w:rFonts w:hint="eastAsia" w:ascii="Times New Roman" w:hAnsi="Times New Roman" w:eastAsia="宋体" w:cs="Times New Roman"/>
                <w:color w:val="auto"/>
                <w:lang w:val="en-US" w:eastAsia="zh-CN"/>
              </w:rPr>
              <w:t>工程</w:t>
            </w:r>
            <w:r>
              <w:rPr>
                <w:rFonts w:hint="eastAsia" w:ascii="Times New Roman" w:hAnsi="Times New Roman" w:eastAsia="宋体" w:cs="Times New Roman"/>
                <w:color w:val="auto"/>
              </w:rPr>
              <w:t>设计标准》(GB</w:t>
            </w:r>
            <w:r>
              <w:rPr>
                <w:rFonts w:hint="eastAsia" w:ascii="Times New Roman" w:hAnsi="Times New Roman" w:eastAsia="宋体" w:cs="Times New Roman"/>
                <w:color w:val="auto"/>
                <w:lang w:val="en-US" w:eastAsia="zh-CN"/>
              </w:rPr>
              <w:t xml:space="preserve">/T </w:t>
            </w:r>
            <w:r>
              <w:rPr>
                <w:rFonts w:hint="eastAsia" w:ascii="Times New Roman" w:hAnsi="Times New Roman" w:eastAsia="宋体" w:cs="Times New Roman"/>
                <w:color w:val="auto"/>
              </w:rPr>
              <w:t>5</w:t>
            </w:r>
            <w:r>
              <w:rPr>
                <w:rFonts w:hint="eastAsia" w:ascii="Times New Roman" w:hAnsi="Times New Roman" w:eastAsia="宋体" w:cs="Times New Roman"/>
                <w:color w:val="auto"/>
                <w:lang w:val="en-US" w:eastAsia="zh-CN"/>
              </w:rPr>
              <w:t>0</w:t>
            </w:r>
            <w:r>
              <w:rPr>
                <w:rFonts w:hint="eastAsia" w:ascii="Times New Roman" w:hAnsi="Times New Roman" w:eastAsia="宋体" w:cs="Times New Roman"/>
                <w:color w:val="auto"/>
              </w:rPr>
              <w:t>483-2019)，初期雨水指污染区域降雨初期产生的雨水。宜取一次降雨初期15min~30min雨量，或降雨初期20mm~30mm厚度的雨量。本项目排入场内初期雨水池的是降雨初期15min的雨水。</w:t>
            </w:r>
            <w:r>
              <w:rPr>
                <w:rFonts w:hint="eastAsia" w:ascii="Times New Roman" w:hAnsi="Times New Roman" w:eastAsia="宋体" w:cs="Times New Roman"/>
                <w:color w:val="auto"/>
                <w:lang w:val="en-US" w:eastAsia="zh-CN"/>
              </w:rPr>
              <w:t>初期雨水量计算过程如下：</w:t>
            </w:r>
          </w:p>
          <w:p w14:paraId="01EF175B">
            <w:pPr>
              <w:pStyle w:val="3"/>
              <w:ind w:left="0" w:leftChars="0" w:firstLine="480" w:firstLineChars="200"/>
              <w:rPr>
                <w:rFonts w:hint="eastAsia" w:ascii="Times New Roman" w:hAnsi="Times New Roman" w:eastAsia="宋体" w:cs="Times New Roman"/>
                <w:color w:val="auto"/>
              </w:rPr>
            </w:pPr>
            <w:r>
              <w:rPr>
                <w:rFonts w:hint="eastAsia" w:ascii="Times New Roman" w:hAnsi="Times New Roman" w:eastAsia="宋体" w:cs="Times New Roman"/>
                <w:color w:val="auto"/>
                <w:lang w:eastAsia="zh-CN"/>
              </w:rPr>
              <w:t>初期雨水为</w:t>
            </w:r>
            <w:r>
              <w:rPr>
                <w:rFonts w:hint="eastAsia" w:ascii="Times New Roman" w:hAnsi="Times New Roman" w:eastAsia="宋体" w:cs="Times New Roman"/>
                <w:color w:val="auto"/>
              </w:rPr>
              <w:t xml:space="preserve">发生事故时可能进入该废水收集系统的当地的最大降雨量，应根据 GB50014 有关规定确定； </w:t>
            </w:r>
          </w:p>
          <w:p w14:paraId="4B3BA03E">
            <w:pPr>
              <w:pStyle w:val="3"/>
              <w:ind w:firstLine="480"/>
              <w:jc w:val="center"/>
              <w:rPr>
                <w:rFonts w:hint="eastAsia"/>
                <w:color w:val="auto"/>
                <w:highlight w:val="none"/>
              </w:rPr>
            </w:pPr>
            <w:r>
              <w:rPr>
                <w:rFonts w:hint="eastAsia"/>
                <w:color w:val="auto"/>
                <w:highlight w:val="none"/>
              </w:rPr>
              <w:t>V=Q</w:t>
            </w:r>
            <w:r>
              <w:rPr>
                <w:rFonts w:hint="eastAsia"/>
                <w:color w:val="auto"/>
                <w:highlight w:val="none"/>
                <w:vertAlign w:val="subscript"/>
              </w:rPr>
              <w:t>S</w:t>
            </w:r>
            <w:r>
              <w:rPr>
                <w:rFonts w:hint="eastAsia"/>
                <w:color w:val="auto"/>
                <w:highlight w:val="none"/>
              </w:rPr>
              <w:t>×T（m</w:t>
            </w:r>
            <w:r>
              <w:rPr>
                <w:rFonts w:hint="eastAsia"/>
                <w:color w:val="auto"/>
                <w:highlight w:val="none"/>
                <w:vertAlign w:val="superscript"/>
              </w:rPr>
              <w:t>3</w:t>
            </w:r>
            <w:r>
              <w:rPr>
                <w:rFonts w:hint="eastAsia"/>
                <w:color w:val="auto"/>
                <w:highlight w:val="none"/>
              </w:rPr>
              <w:t>）</w:t>
            </w:r>
          </w:p>
          <w:p w14:paraId="46CD6BED">
            <w:pPr>
              <w:pStyle w:val="3"/>
              <w:ind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Q</w:t>
            </w:r>
            <w:r>
              <w:rPr>
                <w:rFonts w:hint="default" w:ascii="Times New Roman" w:hAnsi="Times New Roman" w:eastAsia="宋体" w:cs="Times New Roman"/>
                <w:color w:val="auto"/>
                <w:highlight w:val="none"/>
                <w:vertAlign w:val="subscript"/>
              </w:rPr>
              <w:t>S</w:t>
            </w:r>
            <w:r>
              <w:rPr>
                <w:rFonts w:hint="default" w:ascii="Times New Roman" w:hAnsi="Times New Roman" w:eastAsia="宋体" w:cs="Times New Roman"/>
                <w:color w:val="auto"/>
                <w:highlight w:val="none"/>
              </w:rPr>
              <w:t>——雨水设计流量</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L/s</w:t>
            </w:r>
            <w:r>
              <w:rPr>
                <w:rFonts w:hint="default" w:ascii="Times New Roman" w:hAnsi="Times New Roman" w:eastAsia="宋体" w:cs="Times New Roman"/>
                <w:color w:val="auto"/>
                <w:highlight w:val="none"/>
                <w:lang w:eastAsia="zh-CN"/>
              </w:rPr>
              <w:t>）</w:t>
            </w:r>
          </w:p>
          <w:p w14:paraId="07767159">
            <w:pPr>
              <w:pStyle w:val="3"/>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T——降雨计时；取</w:t>
            </w:r>
            <w:r>
              <w:rPr>
                <w:rFonts w:hint="default" w:ascii="Times New Roman" w:hAnsi="Times New Roman" w:eastAsia="宋体" w:cs="Times New Roman"/>
                <w:color w:val="auto"/>
                <w:highlight w:val="none"/>
                <w:lang w:val="en-US" w:eastAsia="zh-CN"/>
              </w:rPr>
              <w:t>15</w:t>
            </w:r>
            <w:r>
              <w:rPr>
                <w:rFonts w:hint="default" w:ascii="Times New Roman" w:hAnsi="Times New Roman" w:eastAsia="宋体" w:cs="Times New Roman"/>
                <w:color w:val="auto"/>
                <w:highlight w:val="none"/>
              </w:rPr>
              <w:t xml:space="preserve">min </w:t>
            </w:r>
          </w:p>
          <w:p w14:paraId="494046E3">
            <w:pPr>
              <w:pStyle w:val="3"/>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其中：Q</w:t>
            </w:r>
            <w:r>
              <w:rPr>
                <w:rFonts w:hint="default" w:ascii="Times New Roman" w:hAnsi="Times New Roman" w:eastAsia="宋体" w:cs="Times New Roman"/>
                <w:color w:val="auto"/>
                <w:highlight w:val="none"/>
                <w:vertAlign w:val="subscript"/>
              </w:rPr>
              <w:t>S</w:t>
            </w:r>
            <w:r>
              <w:rPr>
                <w:rFonts w:hint="default" w:ascii="Times New Roman" w:hAnsi="Times New Roman" w:eastAsia="宋体" w:cs="Times New Roman"/>
                <w:color w:val="auto"/>
                <w:highlight w:val="none"/>
              </w:rPr>
              <w:t xml:space="preserve">=qΨF（L/s）； </w:t>
            </w:r>
          </w:p>
          <w:p w14:paraId="0F2F0D01">
            <w:pPr>
              <w:pStyle w:val="3"/>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q——设计暴雨强度，L/(s×hm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 xml:space="preserve">)； </w:t>
            </w:r>
          </w:p>
          <w:p w14:paraId="2A1D1C73">
            <w:pPr>
              <w:pStyle w:val="3"/>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q= A(1+ClgP)/(t+b)</w:t>
            </w:r>
            <w:r>
              <w:rPr>
                <w:rFonts w:hint="default" w:ascii="Times New Roman" w:hAnsi="Times New Roman" w:eastAsia="宋体" w:cs="Times New Roman"/>
                <w:color w:val="auto"/>
                <w:highlight w:val="none"/>
                <w:vertAlign w:val="superscript"/>
              </w:rPr>
              <w:t>n</w:t>
            </w:r>
            <w:r>
              <w:rPr>
                <w:rFonts w:hint="default" w:ascii="Times New Roman" w:hAnsi="Times New Roman" w:eastAsia="宋体" w:cs="Times New Roman"/>
                <w:color w:val="auto"/>
                <w:highlight w:val="none"/>
              </w:rPr>
              <w:t xml:space="preserve"> </w:t>
            </w:r>
          </w:p>
          <w:p w14:paraId="79B3DAA4">
            <w:pPr>
              <w:pStyle w:val="3"/>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Ψ——径流系数；</w:t>
            </w:r>
            <w:r>
              <w:rPr>
                <w:rFonts w:hint="default" w:ascii="Times New Roman" w:hAnsi="Times New Roman" w:eastAsia="宋体" w:cs="Times New Roman"/>
                <w:color w:val="auto"/>
                <w:highlight w:val="none"/>
                <w:lang w:eastAsia="zh-CN"/>
              </w:rPr>
              <w:t>非铺砌土地面</w:t>
            </w:r>
            <w:r>
              <w:rPr>
                <w:rFonts w:hint="default" w:ascii="Times New Roman" w:hAnsi="Times New Roman" w:eastAsia="宋体" w:cs="Times New Roman"/>
                <w:color w:val="auto"/>
                <w:highlight w:val="none"/>
              </w:rPr>
              <w:t>取0.</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 xml:space="preserve"> </w:t>
            </w:r>
          </w:p>
          <w:p w14:paraId="26AE347C">
            <w:pPr>
              <w:pStyle w:val="3"/>
              <w:ind w:firstLine="480"/>
              <w:rPr>
                <w:rFonts w:hint="eastAsia"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rPr>
              <w:t>F——汇水面积（hm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)。本项目</w:t>
            </w:r>
            <w:r>
              <w:rPr>
                <w:rFonts w:hint="eastAsia" w:eastAsia="宋体" w:cs="Times New Roman"/>
                <w:color w:val="auto"/>
                <w:highlight w:val="none"/>
                <w:lang w:val="en-US" w:eastAsia="zh-CN"/>
              </w:rPr>
              <w:t>沙105、沙86</w:t>
            </w:r>
            <w:r>
              <w:rPr>
                <w:rFonts w:hint="eastAsia" w:ascii="Times New Roman" w:hAnsi="Times New Roman" w:eastAsia="宋体" w:cs="Times New Roman"/>
                <w:color w:val="auto"/>
                <w:highlight w:val="none"/>
                <w:lang w:val="en-US" w:eastAsia="zh-CN"/>
              </w:rPr>
              <w:t>斜井</w:t>
            </w:r>
            <w:r>
              <w:rPr>
                <w:rFonts w:hint="default" w:ascii="Times New Roman" w:hAnsi="Times New Roman" w:eastAsia="宋体" w:cs="Times New Roman"/>
                <w:color w:val="auto"/>
                <w:highlight w:val="none"/>
              </w:rPr>
              <w:t>汇水面积</w:t>
            </w:r>
            <w:r>
              <w:rPr>
                <w:rFonts w:hint="eastAsia" w:eastAsia="宋体" w:cs="Times New Roman"/>
                <w:color w:val="auto"/>
                <w:highlight w:val="none"/>
                <w:lang w:val="en-US" w:eastAsia="zh-CN"/>
              </w:rPr>
              <w:t>分别</w:t>
            </w:r>
            <w:r>
              <w:rPr>
                <w:rFonts w:hint="default" w:ascii="Times New Roman" w:hAnsi="Times New Roman" w:eastAsia="宋体" w:cs="Times New Roman"/>
                <w:color w:val="auto"/>
                <w:highlight w:val="none"/>
              </w:rPr>
              <w:t>为</w:t>
            </w:r>
            <w:r>
              <w:rPr>
                <w:rFonts w:hint="eastAsia" w:eastAsia="宋体" w:cs="Times New Roman"/>
                <w:color w:val="auto"/>
                <w:highlight w:val="none"/>
                <w:lang w:val="en-US" w:eastAsia="zh-CN"/>
              </w:rPr>
              <w:t>4000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eastAsia" w:eastAsia="宋体" w:cs="Times New Roman"/>
                <w:color w:val="auto"/>
                <w:highlight w:val="none"/>
                <w:vertAlign w:val="baseline"/>
                <w:lang w:val="en-US" w:eastAsia="zh-CN"/>
              </w:rPr>
              <w:t>和4100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eastAsia" w:eastAsia="宋体" w:cs="Times New Roman"/>
                <w:color w:val="auto"/>
                <w:highlight w:val="none"/>
                <w:vertAlign w:val="baseline"/>
                <w:lang w:eastAsia="zh-CN"/>
              </w:rPr>
              <w:t>。</w:t>
            </w:r>
          </w:p>
          <w:p w14:paraId="3839315F">
            <w:pPr>
              <w:pStyle w:val="3"/>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t——降雨历时（min）；取</w:t>
            </w:r>
            <w:r>
              <w:rPr>
                <w:rFonts w:hint="default" w:ascii="Times New Roman" w:hAnsi="Times New Roman" w:eastAsia="宋体" w:cs="Times New Roman"/>
                <w:color w:val="auto"/>
                <w:highlight w:val="none"/>
                <w:lang w:val="en-US" w:eastAsia="zh-CN"/>
              </w:rPr>
              <w:t>60</w:t>
            </w:r>
            <w:r>
              <w:rPr>
                <w:rFonts w:hint="default" w:ascii="Times New Roman" w:hAnsi="Times New Roman" w:eastAsia="宋体" w:cs="Times New Roman"/>
                <w:color w:val="auto"/>
                <w:highlight w:val="none"/>
              </w:rPr>
              <w:t xml:space="preserve">min </w:t>
            </w:r>
          </w:p>
          <w:p w14:paraId="7469A988">
            <w:pPr>
              <w:pStyle w:val="3"/>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P——设计重现期（年）；取2年 </w:t>
            </w:r>
          </w:p>
          <w:p w14:paraId="49A325F1">
            <w:pPr>
              <w:pStyle w:val="3"/>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其余系数按照</w:t>
            </w:r>
            <w:r>
              <w:rPr>
                <w:rFonts w:hint="eastAsia" w:ascii="Times New Roman" w:hAnsi="Times New Roman" w:eastAsia="宋体" w:cs="Times New Roman"/>
                <w:color w:val="auto"/>
                <w:highlight w:val="none"/>
                <w:lang w:val="en-US" w:eastAsia="zh-CN"/>
              </w:rPr>
              <w:t>高邮</w:t>
            </w:r>
            <w:r>
              <w:rPr>
                <w:rFonts w:hint="default" w:ascii="Times New Roman" w:hAnsi="Times New Roman" w:eastAsia="宋体" w:cs="Times New Roman"/>
                <w:color w:val="auto"/>
                <w:highlight w:val="none"/>
              </w:rPr>
              <w:t xml:space="preserve">地区取值：A=8248.13；C=0.641；n=0.95；b=40.3 </w:t>
            </w:r>
          </w:p>
          <w:p w14:paraId="7DD006B4">
            <w:pPr>
              <w:pStyle w:val="3"/>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计算得</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q=A(1+ClgP)/(t+b)</w:t>
            </w:r>
            <w:r>
              <w:rPr>
                <w:rFonts w:hint="default" w:ascii="Times New Roman" w:hAnsi="Times New Roman" w:eastAsia="宋体" w:cs="Times New Roman"/>
                <w:color w:val="auto"/>
                <w:highlight w:val="none"/>
                <w:vertAlign w:val="superscript"/>
              </w:rPr>
              <w:t>n</w:t>
            </w:r>
            <w:r>
              <w:rPr>
                <w:rFonts w:hint="default" w:ascii="Times New Roman" w:hAnsi="Times New Roman" w:eastAsia="宋体" w:cs="Times New Roman"/>
                <w:color w:val="auto"/>
                <w:highlight w:val="none"/>
              </w:rPr>
              <w:t>=123.52 L/(s×hm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 xml:space="preserve">) </w:t>
            </w:r>
          </w:p>
          <w:p w14:paraId="70FD315A">
            <w:pPr>
              <w:pStyle w:val="3"/>
              <w:ind w:left="0" w:leftChars="0" w:firstLine="480" w:firstLineChars="200"/>
              <w:rPr>
                <w:rFonts w:hint="default" w:ascii="Times New Roman" w:hAnsi="Times New Roman" w:eastAsia="仿宋" w:cs="Times New Roman"/>
                <w:color w:val="auto"/>
                <w:highlight w:val="none"/>
                <w:lang w:val="en-US" w:eastAsia="zh-CN"/>
              </w:rPr>
            </w:pPr>
            <w:r>
              <w:rPr>
                <w:rFonts w:hint="eastAsia" w:ascii="Times New Roman" w:hAnsi="Times New Roman" w:eastAsia="宋体" w:cs="Times New Roman"/>
                <w:color w:val="auto"/>
                <w:highlight w:val="none"/>
                <w:lang w:val="en-US" w:eastAsia="zh-CN"/>
              </w:rPr>
              <w:t>则</w:t>
            </w:r>
            <w:r>
              <w:rPr>
                <w:rFonts w:hint="eastAsia" w:eastAsia="宋体" w:cs="Times New Roman"/>
                <w:color w:val="auto"/>
                <w:highlight w:val="none"/>
                <w:lang w:val="en-US" w:eastAsia="zh-CN"/>
              </w:rPr>
              <w:t>沙105：</w:t>
            </w:r>
            <w:r>
              <w:rPr>
                <w:rFonts w:hint="eastAsia" w:ascii="Times New Roman" w:hAnsi="Times New Roman" w:eastAsia="宋体" w:cs="Times New Roman"/>
                <w:color w:val="auto"/>
                <w:highlight w:val="none"/>
                <w:lang w:val="en-US" w:eastAsia="zh-CN"/>
              </w:rPr>
              <w:t>V</w:t>
            </w:r>
            <w:r>
              <w:rPr>
                <w:rFonts w:hint="eastAsia"/>
                <w:color w:val="auto"/>
                <w:highlight w:val="none"/>
              </w:rPr>
              <w:t>=Q</w:t>
            </w:r>
            <w:r>
              <w:rPr>
                <w:rFonts w:hint="eastAsia"/>
                <w:color w:val="auto"/>
                <w:highlight w:val="none"/>
                <w:vertAlign w:val="subscript"/>
              </w:rPr>
              <w:t>S</w:t>
            </w:r>
            <w:r>
              <w:rPr>
                <w:rFonts w:hint="eastAsia"/>
                <w:color w:val="auto"/>
                <w:highlight w:val="none"/>
              </w:rPr>
              <w:t>×T（m</w:t>
            </w:r>
            <w:r>
              <w:rPr>
                <w:rFonts w:hint="eastAsia"/>
                <w:color w:val="auto"/>
                <w:highlight w:val="none"/>
                <w:vertAlign w:val="superscript"/>
              </w:rPr>
              <w:t>3</w:t>
            </w:r>
            <w:r>
              <w:rPr>
                <w:rFonts w:hint="eastAsia"/>
                <w:color w:val="auto"/>
                <w:highlight w:val="none"/>
              </w:rPr>
              <w:t>）=</w:t>
            </w:r>
            <w:r>
              <w:rPr>
                <w:rFonts w:hint="default" w:ascii="Times New Roman" w:hAnsi="Times New Roman" w:eastAsia="宋体" w:cs="Times New Roman"/>
                <w:color w:val="auto"/>
                <w:highlight w:val="none"/>
              </w:rPr>
              <w:t>q</w:t>
            </w:r>
            <w:r>
              <w:rPr>
                <w:rFonts w:hint="eastAsia"/>
                <w:color w:val="auto"/>
                <w:highlight w:val="none"/>
              </w:rPr>
              <w:t>×</w:t>
            </w:r>
            <w:r>
              <w:rPr>
                <w:rFonts w:hint="default" w:ascii="Times New Roman" w:hAnsi="Times New Roman" w:eastAsia="宋体" w:cs="Times New Roman"/>
                <w:color w:val="auto"/>
                <w:highlight w:val="none"/>
              </w:rPr>
              <w:t>Ψ</w:t>
            </w:r>
            <w:r>
              <w:rPr>
                <w:rFonts w:hint="eastAsia"/>
                <w:color w:val="auto"/>
                <w:highlight w:val="none"/>
              </w:rPr>
              <w:t>×</w:t>
            </w:r>
            <w:r>
              <w:rPr>
                <w:rFonts w:hint="default" w:ascii="Times New Roman" w:hAnsi="Times New Roman" w:eastAsia="宋体" w:cs="Times New Roman"/>
                <w:color w:val="auto"/>
                <w:highlight w:val="none"/>
              </w:rPr>
              <w:t>F</w:t>
            </w:r>
            <w:r>
              <w:rPr>
                <w:rFonts w:hint="eastAsia"/>
                <w:color w:val="auto"/>
                <w:highlight w:val="none"/>
              </w:rPr>
              <w:t>×</w:t>
            </w:r>
            <w:r>
              <w:rPr>
                <w:rFonts w:hint="eastAsia"/>
                <w:color w:val="auto"/>
                <w:highlight w:val="none"/>
                <w:lang w:val="en-US" w:eastAsia="zh-CN"/>
              </w:rPr>
              <w:t>T</w:t>
            </w:r>
            <w:r>
              <w:rPr>
                <w:rFonts w:hint="eastAsia"/>
                <w:color w:val="auto"/>
                <w:highlight w:val="none"/>
              </w:rPr>
              <w:t>=</w:t>
            </w:r>
            <w:r>
              <w:rPr>
                <w:rFonts w:hint="eastAsia"/>
                <w:color w:val="auto"/>
                <w:highlight w:val="none"/>
                <w:lang w:val="en-US" w:eastAsia="zh-CN"/>
              </w:rPr>
              <w:t>123.52</w:t>
            </w:r>
            <w:r>
              <w:rPr>
                <w:rFonts w:hint="default" w:ascii="Times New Roman" w:hAnsi="Times New Roman" w:eastAsia="宋体" w:cs="Times New Roman"/>
                <w:color w:val="auto"/>
                <w:highlight w:val="none"/>
              </w:rPr>
              <w:t>L/(s×hm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 xml:space="preserve">) </w:t>
            </w:r>
            <w:r>
              <w:rPr>
                <w:rFonts w:hint="eastAsia"/>
                <w:color w:val="auto"/>
                <w:highlight w:val="none"/>
              </w:rPr>
              <w:t>×</w:t>
            </w:r>
            <w:r>
              <w:rPr>
                <w:rFonts w:hint="eastAsia"/>
                <w:color w:val="auto"/>
                <w:highlight w:val="none"/>
                <w:lang w:val="en-US" w:eastAsia="zh-CN"/>
              </w:rPr>
              <w:t>0.3</w:t>
            </w:r>
            <w:r>
              <w:rPr>
                <w:rFonts w:hint="eastAsia"/>
                <w:color w:val="auto"/>
                <w:highlight w:val="none"/>
              </w:rPr>
              <w:t>×</w:t>
            </w:r>
            <w:r>
              <w:rPr>
                <w:rFonts w:hint="eastAsia"/>
                <w:color w:val="auto"/>
                <w:highlight w:val="none"/>
                <w:lang w:val="en-US" w:eastAsia="zh-CN"/>
              </w:rPr>
              <w:t>0.4</w:t>
            </w:r>
            <w:r>
              <w:rPr>
                <w:rFonts w:hint="default" w:ascii="Times New Roman" w:hAnsi="Times New Roman" w:eastAsia="宋体" w:cs="Times New Roman"/>
                <w:color w:val="auto"/>
                <w:highlight w:val="none"/>
              </w:rPr>
              <w:t>（hm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w:t>
            </w:r>
            <w:r>
              <w:rPr>
                <w:rFonts w:hint="eastAsia"/>
                <w:color w:val="auto"/>
                <w:highlight w:val="none"/>
              </w:rPr>
              <w:t>×</w:t>
            </w:r>
            <w:r>
              <w:rPr>
                <w:rFonts w:hint="eastAsia"/>
                <w:color w:val="auto"/>
                <w:highlight w:val="none"/>
                <w:lang w:val="en-US" w:eastAsia="zh-CN"/>
              </w:rPr>
              <w:t>900</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s</w:t>
            </w:r>
            <w:r>
              <w:rPr>
                <w:rFonts w:hint="default" w:ascii="Times New Roman" w:hAnsi="Times New Roman" w:eastAsia="宋体" w:cs="Times New Roman"/>
                <w:color w:val="auto"/>
                <w:highlight w:val="none"/>
              </w:rPr>
              <w:t>)</w:t>
            </w:r>
            <w:r>
              <w:rPr>
                <w:rFonts w:hint="eastAsia"/>
                <w:color w:val="auto"/>
                <w:highlight w:val="none"/>
              </w:rPr>
              <w:t>=</w:t>
            </w:r>
            <w:r>
              <w:rPr>
                <w:rFonts w:hint="eastAsia"/>
                <w:color w:val="auto"/>
                <w:highlight w:val="none"/>
                <w:lang w:val="en-US" w:eastAsia="zh-CN"/>
              </w:rPr>
              <w:t>13340.16L</w:t>
            </w:r>
            <w:r>
              <w:rPr>
                <w:rFonts w:hint="eastAsia"/>
                <w:color w:val="auto"/>
                <w:highlight w:val="none"/>
              </w:rPr>
              <w:t>=</w:t>
            </w:r>
            <w:r>
              <w:rPr>
                <w:rFonts w:hint="eastAsia"/>
                <w:color w:val="auto"/>
                <w:highlight w:val="none"/>
                <w:lang w:val="en-US" w:eastAsia="zh-CN"/>
              </w:rPr>
              <w:t>13.340m</w:t>
            </w:r>
            <w:r>
              <w:rPr>
                <w:rFonts w:hint="eastAsia"/>
                <w:color w:val="auto"/>
                <w:highlight w:val="none"/>
                <w:vertAlign w:val="superscript"/>
                <w:lang w:val="en-US" w:eastAsia="zh-CN"/>
              </w:rPr>
              <w:t>3</w:t>
            </w:r>
            <w:r>
              <w:rPr>
                <w:rFonts w:hint="eastAsia"/>
                <w:color w:val="auto"/>
                <w:highlight w:val="none"/>
                <w:vertAlign w:val="baseline"/>
                <w:lang w:val="en-US" w:eastAsia="zh-CN"/>
              </w:rPr>
              <w:t>；</w:t>
            </w:r>
            <w:r>
              <w:rPr>
                <w:rFonts w:hint="eastAsia" w:eastAsia="宋体" w:cs="Times New Roman"/>
                <w:color w:val="auto"/>
                <w:highlight w:val="none"/>
                <w:lang w:val="en-US" w:eastAsia="zh-CN"/>
              </w:rPr>
              <w:t>沙86：</w:t>
            </w:r>
            <w:r>
              <w:rPr>
                <w:rFonts w:hint="eastAsia" w:ascii="Times New Roman" w:hAnsi="Times New Roman" w:eastAsia="宋体" w:cs="Times New Roman"/>
                <w:color w:val="auto"/>
                <w:highlight w:val="none"/>
                <w:lang w:val="en-US" w:eastAsia="zh-CN"/>
              </w:rPr>
              <w:t>V</w:t>
            </w:r>
            <w:r>
              <w:rPr>
                <w:rFonts w:hint="eastAsia"/>
                <w:color w:val="auto"/>
                <w:highlight w:val="none"/>
              </w:rPr>
              <w:t>=Q</w:t>
            </w:r>
            <w:r>
              <w:rPr>
                <w:rFonts w:hint="eastAsia"/>
                <w:color w:val="auto"/>
                <w:highlight w:val="none"/>
                <w:vertAlign w:val="subscript"/>
              </w:rPr>
              <w:t>S</w:t>
            </w:r>
            <w:r>
              <w:rPr>
                <w:rFonts w:hint="eastAsia"/>
                <w:color w:val="auto"/>
                <w:highlight w:val="none"/>
              </w:rPr>
              <w:t>×T（m</w:t>
            </w:r>
            <w:r>
              <w:rPr>
                <w:rFonts w:hint="eastAsia"/>
                <w:color w:val="auto"/>
                <w:highlight w:val="none"/>
                <w:vertAlign w:val="superscript"/>
              </w:rPr>
              <w:t>3</w:t>
            </w:r>
            <w:r>
              <w:rPr>
                <w:rFonts w:hint="eastAsia"/>
                <w:color w:val="auto"/>
                <w:highlight w:val="none"/>
              </w:rPr>
              <w:t>）=</w:t>
            </w:r>
            <w:r>
              <w:rPr>
                <w:rFonts w:hint="default" w:ascii="Times New Roman" w:hAnsi="Times New Roman" w:eastAsia="宋体" w:cs="Times New Roman"/>
                <w:color w:val="auto"/>
                <w:highlight w:val="none"/>
              </w:rPr>
              <w:t>q</w:t>
            </w:r>
            <w:r>
              <w:rPr>
                <w:rFonts w:hint="eastAsia"/>
                <w:color w:val="auto"/>
                <w:highlight w:val="none"/>
              </w:rPr>
              <w:t>×</w:t>
            </w:r>
            <w:r>
              <w:rPr>
                <w:rFonts w:hint="default" w:ascii="Times New Roman" w:hAnsi="Times New Roman" w:eastAsia="宋体" w:cs="Times New Roman"/>
                <w:color w:val="auto"/>
                <w:highlight w:val="none"/>
              </w:rPr>
              <w:t>Ψ</w:t>
            </w:r>
            <w:r>
              <w:rPr>
                <w:rFonts w:hint="eastAsia"/>
                <w:color w:val="auto"/>
                <w:highlight w:val="none"/>
              </w:rPr>
              <w:t>×</w:t>
            </w:r>
            <w:r>
              <w:rPr>
                <w:rFonts w:hint="default" w:ascii="Times New Roman" w:hAnsi="Times New Roman" w:eastAsia="宋体" w:cs="Times New Roman"/>
                <w:color w:val="auto"/>
                <w:highlight w:val="none"/>
              </w:rPr>
              <w:t>F</w:t>
            </w:r>
            <w:r>
              <w:rPr>
                <w:rFonts w:hint="eastAsia"/>
                <w:color w:val="auto"/>
                <w:highlight w:val="none"/>
              </w:rPr>
              <w:t>×</w:t>
            </w:r>
            <w:r>
              <w:rPr>
                <w:rFonts w:hint="eastAsia"/>
                <w:color w:val="auto"/>
                <w:highlight w:val="none"/>
                <w:lang w:val="en-US" w:eastAsia="zh-CN"/>
              </w:rPr>
              <w:t>T</w:t>
            </w:r>
            <w:r>
              <w:rPr>
                <w:rFonts w:hint="eastAsia"/>
                <w:color w:val="auto"/>
                <w:highlight w:val="none"/>
              </w:rPr>
              <w:t>=</w:t>
            </w:r>
            <w:r>
              <w:rPr>
                <w:rFonts w:hint="eastAsia"/>
                <w:color w:val="auto"/>
                <w:highlight w:val="none"/>
                <w:lang w:val="en-US" w:eastAsia="zh-CN"/>
              </w:rPr>
              <w:t>123.52</w:t>
            </w:r>
            <w:r>
              <w:rPr>
                <w:rFonts w:hint="default" w:ascii="Times New Roman" w:hAnsi="Times New Roman" w:eastAsia="宋体" w:cs="Times New Roman"/>
                <w:color w:val="auto"/>
                <w:highlight w:val="none"/>
              </w:rPr>
              <w:t>L/(s×hm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 xml:space="preserve">) </w:t>
            </w:r>
            <w:r>
              <w:rPr>
                <w:rFonts w:hint="eastAsia"/>
                <w:color w:val="auto"/>
                <w:highlight w:val="none"/>
              </w:rPr>
              <w:t>×</w:t>
            </w:r>
            <w:r>
              <w:rPr>
                <w:rFonts w:hint="eastAsia"/>
                <w:color w:val="auto"/>
                <w:highlight w:val="none"/>
                <w:lang w:val="en-US" w:eastAsia="zh-CN"/>
              </w:rPr>
              <w:t>0.3</w:t>
            </w:r>
            <w:r>
              <w:rPr>
                <w:rFonts w:hint="eastAsia"/>
                <w:color w:val="auto"/>
                <w:highlight w:val="none"/>
              </w:rPr>
              <w:t>×</w:t>
            </w:r>
            <w:r>
              <w:rPr>
                <w:rFonts w:hint="eastAsia"/>
                <w:color w:val="auto"/>
                <w:highlight w:val="none"/>
                <w:lang w:val="en-US" w:eastAsia="zh-CN"/>
              </w:rPr>
              <w:t>0.41</w:t>
            </w:r>
            <w:r>
              <w:rPr>
                <w:rFonts w:hint="default" w:ascii="Times New Roman" w:hAnsi="Times New Roman" w:eastAsia="宋体" w:cs="Times New Roman"/>
                <w:color w:val="auto"/>
                <w:highlight w:val="none"/>
              </w:rPr>
              <w:t>（hm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w:t>
            </w:r>
            <w:r>
              <w:rPr>
                <w:rFonts w:hint="eastAsia"/>
                <w:color w:val="auto"/>
                <w:highlight w:val="none"/>
              </w:rPr>
              <w:t>×</w:t>
            </w:r>
            <w:r>
              <w:rPr>
                <w:rFonts w:hint="eastAsia"/>
                <w:color w:val="auto"/>
                <w:highlight w:val="none"/>
                <w:lang w:val="en-US" w:eastAsia="zh-CN"/>
              </w:rPr>
              <w:t>900</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s</w:t>
            </w:r>
            <w:r>
              <w:rPr>
                <w:rFonts w:hint="default" w:ascii="Times New Roman" w:hAnsi="Times New Roman" w:eastAsia="宋体" w:cs="Times New Roman"/>
                <w:color w:val="auto"/>
                <w:highlight w:val="none"/>
              </w:rPr>
              <w:t>)</w:t>
            </w:r>
            <w:r>
              <w:rPr>
                <w:rFonts w:hint="eastAsia"/>
                <w:color w:val="auto"/>
                <w:highlight w:val="none"/>
              </w:rPr>
              <w:t>=</w:t>
            </w:r>
            <w:r>
              <w:rPr>
                <w:rFonts w:hint="eastAsia"/>
                <w:color w:val="auto"/>
                <w:highlight w:val="none"/>
                <w:lang w:val="en-US" w:eastAsia="zh-CN"/>
              </w:rPr>
              <w:t>13673.66L</w:t>
            </w:r>
            <w:r>
              <w:rPr>
                <w:rFonts w:hint="eastAsia"/>
                <w:color w:val="auto"/>
                <w:highlight w:val="none"/>
              </w:rPr>
              <w:t>=</w:t>
            </w:r>
            <w:r>
              <w:rPr>
                <w:rFonts w:hint="eastAsia"/>
                <w:color w:val="auto"/>
                <w:highlight w:val="none"/>
                <w:lang w:val="en-US" w:eastAsia="zh-CN"/>
              </w:rPr>
              <w:t>13.673m</w:t>
            </w:r>
            <w:r>
              <w:rPr>
                <w:rFonts w:hint="eastAsia"/>
                <w:color w:val="auto"/>
                <w:highlight w:val="none"/>
                <w:vertAlign w:val="superscript"/>
                <w:lang w:val="en-US" w:eastAsia="zh-CN"/>
              </w:rPr>
              <w:t>3</w:t>
            </w:r>
          </w:p>
          <w:p w14:paraId="20AA3E85">
            <w:pPr>
              <w:pStyle w:val="3"/>
              <w:ind w:left="0" w:leftChars="0" w:firstLine="480" w:firstLineChars="200"/>
              <w:rPr>
                <w:rFonts w:hint="eastAsia" w:eastAsia="宋体"/>
                <w:color w:val="FF0000"/>
                <w:highlight w:val="none"/>
              </w:rPr>
            </w:pPr>
            <w:r>
              <w:rPr>
                <w:rFonts w:hint="default" w:ascii="Times New Roman" w:hAnsi="Times New Roman" w:eastAsia="宋体" w:cs="Times New Roman"/>
                <w:color w:val="auto"/>
                <w:highlight w:val="none"/>
                <w:lang w:eastAsia="zh-CN"/>
              </w:rPr>
              <w:t>则</w:t>
            </w:r>
            <w:r>
              <w:rPr>
                <w:rFonts w:hint="eastAsia" w:eastAsia="宋体" w:cs="Times New Roman"/>
                <w:color w:val="auto"/>
                <w:highlight w:val="none"/>
                <w:lang w:val="en-US" w:eastAsia="zh-CN"/>
              </w:rPr>
              <w:t>沙105斜井</w:t>
            </w:r>
            <w:r>
              <w:rPr>
                <w:rFonts w:hint="default" w:ascii="Times New Roman" w:hAnsi="Times New Roman" w:eastAsia="宋体" w:cs="Times New Roman"/>
                <w:color w:val="auto"/>
                <w:highlight w:val="none"/>
                <w:lang w:val="en-US" w:eastAsia="zh-CN"/>
              </w:rPr>
              <w:t>初期雨水约</w:t>
            </w:r>
            <w:r>
              <w:rPr>
                <w:rFonts w:hint="eastAsia"/>
                <w:color w:val="auto"/>
                <w:highlight w:val="none"/>
                <w:lang w:val="en-US" w:eastAsia="zh-CN"/>
              </w:rPr>
              <w:t>13.34</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eastAsia" w:eastAsia="宋体" w:cs="Times New Roman"/>
                <w:color w:val="auto"/>
                <w:highlight w:val="none"/>
                <w:vertAlign w:val="baseline"/>
                <w:lang w:eastAsia="zh-CN"/>
              </w:rPr>
              <w:t>；</w:t>
            </w:r>
            <w:r>
              <w:rPr>
                <w:rFonts w:hint="eastAsia" w:eastAsia="宋体" w:cs="Times New Roman"/>
                <w:color w:val="auto"/>
                <w:highlight w:val="none"/>
                <w:lang w:val="en-US" w:eastAsia="zh-CN"/>
              </w:rPr>
              <w:t>沙86斜井</w:t>
            </w:r>
            <w:r>
              <w:rPr>
                <w:rFonts w:hint="default" w:ascii="Times New Roman" w:hAnsi="Times New Roman" w:eastAsia="宋体" w:cs="Times New Roman"/>
                <w:color w:val="auto"/>
                <w:highlight w:val="none"/>
                <w:lang w:val="en-US" w:eastAsia="zh-CN"/>
              </w:rPr>
              <w:t>初期雨水约</w:t>
            </w:r>
            <w:r>
              <w:rPr>
                <w:rFonts w:hint="eastAsia"/>
                <w:color w:val="auto"/>
                <w:highlight w:val="none"/>
                <w:lang w:val="en-US" w:eastAsia="zh-CN"/>
              </w:rPr>
              <w:t>13.67</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vertAlign w:val="baseline"/>
                <w:lang w:eastAsia="zh-CN"/>
              </w:rPr>
              <w:t>建议</w:t>
            </w:r>
            <w:r>
              <w:rPr>
                <w:rFonts w:hint="eastAsia" w:eastAsia="宋体" w:cs="Times New Roman"/>
                <w:color w:val="auto"/>
                <w:highlight w:val="none"/>
                <w:lang w:val="en-US" w:eastAsia="zh-CN"/>
              </w:rPr>
              <w:t>沙105、沙86斜井</w:t>
            </w:r>
            <w:r>
              <w:rPr>
                <w:rFonts w:hint="default" w:ascii="Times New Roman" w:hAnsi="Times New Roman" w:eastAsia="宋体" w:cs="Times New Roman"/>
                <w:color w:val="auto"/>
                <w:highlight w:val="none"/>
                <w:lang w:val="en-US" w:eastAsia="zh-CN"/>
              </w:rPr>
              <w:t>建</w:t>
            </w:r>
            <w:r>
              <w:rPr>
                <w:rFonts w:hint="default" w:ascii="Times New Roman" w:hAnsi="Times New Roman" w:eastAsia="宋体" w:cs="Times New Roman"/>
                <w:color w:val="auto"/>
                <w:highlight w:val="none"/>
                <w:vertAlign w:val="baseline"/>
                <w:lang w:val="en-US" w:eastAsia="zh-CN"/>
              </w:rPr>
              <w:t>设约</w:t>
            </w:r>
            <w:r>
              <w:rPr>
                <w:rFonts w:hint="eastAsia" w:eastAsia="宋体" w:cs="Times New Roman"/>
                <w:color w:val="auto"/>
                <w:highlight w:val="none"/>
                <w:vertAlign w:val="baseline"/>
                <w:lang w:val="en-US" w:eastAsia="zh-CN"/>
              </w:rPr>
              <w:t>2</w:t>
            </w:r>
            <w:r>
              <w:rPr>
                <w:rFonts w:hint="eastAsia" w:ascii="Times New Roman" w:hAnsi="Times New Roman" w:eastAsia="宋体" w:cs="Times New Roman"/>
                <w:color w:val="auto"/>
                <w:highlight w:val="none"/>
                <w:vertAlign w:val="baseline"/>
                <w:lang w:val="en-US" w:eastAsia="zh-CN"/>
              </w:rPr>
              <w:t>0</w:t>
            </w:r>
            <w:r>
              <w:rPr>
                <w:rFonts w:hint="default" w:ascii="Times New Roman" w:hAnsi="Times New Roman" w:eastAsia="宋体" w:cs="Times New Roman"/>
                <w:color w:val="auto"/>
                <w:highlight w:val="none"/>
                <w:vertAlign w:val="baseli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vertAlign w:val="baseline"/>
                <w:lang w:val="en-US" w:eastAsia="zh-CN"/>
              </w:rPr>
              <w:t>的初期雨水池。</w:t>
            </w:r>
          </w:p>
          <w:p w14:paraId="41885DBB">
            <w:pPr>
              <w:pStyle w:val="16"/>
              <w:rPr>
                <w:rFonts w:hint="eastAsia" w:eastAsia="宋体"/>
                <w:color w:val="auto"/>
                <w:highlight w:val="none"/>
              </w:rPr>
            </w:pPr>
            <w:r>
              <w:rPr>
                <w:rFonts w:hint="eastAsia" w:eastAsia="宋体"/>
                <w:color w:val="auto"/>
                <w:highlight w:val="none"/>
              </w:rPr>
              <w:t>表4-1  本项目废水产生情况</w:t>
            </w:r>
          </w:p>
          <w:tbl>
            <w:tblPr>
              <w:tblStyle w:val="1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3"/>
              <w:gridCol w:w="909"/>
              <w:gridCol w:w="1107"/>
              <w:gridCol w:w="1132"/>
              <w:gridCol w:w="1238"/>
              <w:gridCol w:w="1323"/>
              <w:gridCol w:w="1141"/>
            </w:tblGrid>
            <w:tr w14:paraId="30715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554" w:type="pct"/>
                  <w:tcBorders>
                    <w:tl2br w:val="nil"/>
                    <w:tr2bl w:val="nil"/>
                  </w:tcBorders>
                  <w:shd w:val="clear" w:color="auto" w:fill="auto"/>
                  <w:vAlign w:val="center"/>
                </w:tcPr>
                <w:p w14:paraId="2F9D020C">
                  <w:pPr>
                    <w:pStyle w:val="17"/>
                    <w:jc w:val="center"/>
                    <w:rPr>
                      <w:rFonts w:hint="eastAsia" w:eastAsia="宋体"/>
                      <w:b/>
                      <w:bCs/>
                      <w:color w:val="auto"/>
                      <w:highlight w:val="none"/>
                      <w:lang w:eastAsia="zh-CN"/>
                    </w:rPr>
                  </w:pPr>
                  <w:r>
                    <w:rPr>
                      <w:rFonts w:hint="eastAsia" w:eastAsia="宋体"/>
                      <w:b/>
                      <w:bCs/>
                      <w:color w:val="auto"/>
                      <w:highlight w:val="none"/>
                      <w:lang w:eastAsia="zh-CN"/>
                    </w:rPr>
                    <w:t>井场</w:t>
                  </w:r>
                </w:p>
              </w:tc>
              <w:tc>
                <w:tcPr>
                  <w:tcW w:w="590" w:type="pct"/>
                  <w:tcBorders>
                    <w:tl2br w:val="nil"/>
                    <w:tr2bl w:val="nil"/>
                  </w:tcBorders>
                  <w:shd w:val="clear" w:color="auto" w:fill="auto"/>
                  <w:vAlign w:val="center"/>
                </w:tcPr>
                <w:p w14:paraId="0316B3D2">
                  <w:pPr>
                    <w:pStyle w:val="17"/>
                    <w:jc w:val="center"/>
                    <w:rPr>
                      <w:rFonts w:eastAsia="宋体"/>
                      <w:b/>
                      <w:bCs/>
                      <w:color w:val="auto"/>
                      <w:highlight w:val="none"/>
                    </w:rPr>
                  </w:pPr>
                  <w:r>
                    <w:rPr>
                      <w:rFonts w:hint="eastAsia" w:eastAsia="宋体"/>
                      <w:b/>
                      <w:bCs/>
                      <w:color w:val="auto"/>
                      <w:highlight w:val="none"/>
                    </w:rPr>
                    <w:t>钻深/m</w:t>
                  </w:r>
                </w:p>
              </w:tc>
              <w:tc>
                <w:tcPr>
                  <w:tcW w:w="718" w:type="pct"/>
                  <w:tcBorders>
                    <w:tl2br w:val="nil"/>
                    <w:tr2bl w:val="nil"/>
                  </w:tcBorders>
                  <w:shd w:val="clear" w:color="auto" w:fill="auto"/>
                  <w:vAlign w:val="center"/>
                </w:tcPr>
                <w:p w14:paraId="6A60AAC2">
                  <w:pPr>
                    <w:pStyle w:val="17"/>
                    <w:jc w:val="center"/>
                    <w:rPr>
                      <w:rFonts w:hint="eastAsia" w:eastAsia="宋体"/>
                      <w:b/>
                      <w:bCs/>
                      <w:color w:val="auto"/>
                      <w:highlight w:val="none"/>
                    </w:rPr>
                  </w:pPr>
                  <w:r>
                    <w:rPr>
                      <w:rFonts w:hint="eastAsia" w:eastAsia="宋体"/>
                      <w:b/>
                      <w:bCs/>
                      <w:color w:val="auto"/>
                      <w:highlight w:val="none"/>
                    </w:rPr>
                    <w:t>钻井</w:t>
                  </w:r>
                </w:p>
                <w:p w14:paraId="69438DF4">
                  <w:pPr>
                    <w:pStyle w:val="17"/>
                    <w:jc w:val="center"/>
                    <w:rPr>
                      <w:rFonts w:eastAsia="宋体"/>
                      <w:b/>
                      <w:bCs/>
                      <w:color w:val="auto"/>
                      <w:highlight w:val="none"/>
                    </w:rPr>
                  </w:pPr>
                  <w:r>
                    <w:rPr>
                      <w:rFonts w:hint="eastAsia" w:eastAsia="宋体"/>
                      <w:b/>
                      <w:bCs/>
                      <w:color w:val="auto"/>
                      <w:highlight w:val="none"/>
                    </w:rPr>
                    <w:t>废水/t</w:t>
                  </w:r>
                </w:p>
              </w:tc>
              <w:tc>
                <w:tcPr>
                  <w:tcW w:w="734" w:type="pct"/>
                  <w:tcBorders>
                    <w:tl2br w:val="nil"/>
                    <w:tr2bl w:val="nil"/>
                  </w:tcBorders>
                  <w:shd w:val="clear" w:color="auto" w:fill="auto"/>
                  <w:vAlign w:val="center"/>
                </w:tcPr>
                <w:p w14:paraId="513119BB">
                  <w:pPr>
                    <w:pStyle w:val="17"/>
                    <w:jc w:val="center"/>
                    <w:rPr>
                      <w:rFonts w:hint="eastAsia" w:eastAsia="宋体"/>
                      <w:b/>
                      <w:bCs/>
                      <w:color w:val="auto"/>
                      <w:highlight w:val="none"/>
                    </w:rPr>
                  </w:pPr>
                  <w:r>
                    <w:rPr>
                      <w:rFonts w:hint="eastAsia" w:eastAsia="宋体"/>
                      <w:b/>
                      <w:bCs/>
                      <w:color w:val="auto"/>
                      <w:highlight w:val="none"/>
                    </w:rPr>
                    <w:t>洗井</w:t>
                  </w:r>
                </w:p>
                <w:p w14:paraId="5521FE71">
                  <w:pPr>
                    <w:pStyle w:val="17"/>
                    <w:jc w:val="center"/>
                    <w:rPr>
                      <w:rFonts w:eastAsia="宋体"/>
                      <w:b/>
                      <w:bCs/>
                      <w:color w:val="auto"/>
                      <w:highlight w:val="none"/>
                    </w:rPr>
                  </w:pPr>
                  <w:r>
                    <w:rPr>
                      <w:rFonts w:hint="eastAsia" w:eastAsia="宋体"/>
                      <w:b/>
                      <w:bCs/>
                      <w:color w:val="auto"/>
                      <w:highlight w:val="none"/>
                    </w:rPr>
                    <w:t>废水/t</w:t>
                  </w:r>
                </w:p>
              </w:tc>
              <w:tc>
                <w:tcPr>
                  <w:tcW w:w="803" w:type="pct"/>
                  <w:tcBorders>
                    <w:tl2br w:val="nil"/>
                    <w:tr2bl w:val="nil"/>
                  </w:tcBorders>
                  <w:shd w:val="clear" w:color="auto" w:fill="auto"/>
                  <w:vAlign w:val="center"/>
                </w:tcPr>
                <w:p w14:paraId="257A5D84">
                  <w:pPr>
                    <w:pStyle w:val="17"/>
                    <w:jc w:val="center"/>
                    <w:rPr>
                      <w:rFonts w:hint="eastAsia" w:eastAsia="宋体"/>
                      <w:b/>
                      <w:bCs/>
                      <w:color w:val="auto"/>
                      <w:highlight w:val="none"/>
                    </w:rPr>
                  </w:pPr>
                  <w:r>
                    <w:rPr>
                      <w:rFonts w:hint="eastAsia" w:eastAsia="宋体"/>
                      <w:b/>
                      <w:bCs/>
                      <w:color w:val="auto"/>
                      <w:highlight w:val="none"/>
                    </w:rPr>
                    <w:t>压裂</w:t>
                  </w:r>
                </w:p>
                <w:p w14:paraId="1F64E62F">
                  <w:pPr>
                    <w:pStyle w:val="17"/>
                    <w:jc w:val="center"/>
                    <w:rPr>
                      <w:rFonts w:eastAsia="宋体"/>
                      <w:b/>
                      <w:bCs/>
                      <w:color w:val="auto"/>
                      <w:highlight w:val="none"/>
                    </w:rPr>
                  </w:pPr>
                  <w:r>
                    <w:rPr>
                      <w:rFonts w:hint="eastAsia" w:eastAsia="宋体"/>
                      <w:b/>
                      <w:bCs/>
                      <w:color w:val="auto"/>
                      <w:highlight w:val="none"/>
                    </w:rPr>
                    <w:t>废水/t</w:t>
                  </w:r>
                </w:p>
              </w:tc>
              <w:tc>
                <w:tcPr>
                  <w:tcW w:w="858" w:type="pct"/>
                  <w:tcBorders>
                    <w:tl2br w:val="nil"/>
                    <w:tr2bl w:val="nil"/>
                  </w:tcBorders>
                  <w:shd w:val="clear" w:color="auto" w:fill="auto"/>
                  <w:vAlign w:val="center"/>
                </w:tcPr>
                <w:p w14:paraId="10F70E2B">
                  <w:pPr>
                    <w:pStyle w:val="17"/>
                    <w:jc w:val="center"/>
                    <w:rPr>
                      <w:rFonts w:hint="eastAsia" w:eastAsia="宋体"/>
                      <w:b/>
                      <w:bCs/>
                      <w:color w:val="auto"/>
                      <w:highlight w:val="none"/>
                    </w:rPr>
                  </w:pPr>
                  <w:r>
                    <w:rPr>
                      <w:rFonts w:hint="eastAsia" w:eastAsia="宋体"/>
                      <w:b/>
                      <w:bCs/>
                      <w:color w:val="auto"/>
                      <w:highlight w:val="none"/>
                    </w:rPr>
                    <w:t>生活</w:t>
                  </w:r>
                </w:p>
                <w:p w14:paraId="4C9A302C">
                  <w:pPr>
                    <w:pStyle w:val="17"/>
                    <w:jc w:val="center"/>
                    <w:rPr>
                      <w:rFonts w:eastAsia="宋体"/>
                      <w:b/>
                      <w:bCs/>
                      <w:color w:val="auto"/>
                      <w:highlight w:val="none"/>
                    </w:rPr>
                  </w:pPr>
                  <w:r>
                    <w:rPr>
                      <w:rFonts w:hint="eastAsia" w:eastAsia="宋体"/>
                      <w:b/>
                      <w:bCs/>
                      <w:color w:val="auto"/>
                      <w:highlight w:val="none"/>
                    </w:rPr>
                    <w:t>污水/t</w:t>
                  </w:r>
                </w:p>
              </w:tc>
              <w:tc>
                <w:tcPr>
                  <w:tcW w:w="740" w:type="pct"/>
                  <w:tcBorders>
                    <w:tl2br w:val="nil"/>
                    <w:tr2bl w:val="nil"/>
                  </w:tcBorders>
                  <w:shd w:val="clear" w:color="auto" w:fill="auto"/>
                  <w:vAlign w:val="center"/>
                </w:tcPr>
                <w:p w14:paraId="3E7E9E9B">
                  <w:pPr>
                    <w:pStyle w:val="17"/>
                    <w:jc w:val="center"/>
                    <w:rPr>
                      <w:rFonts w:hint="eastAsia" w:eastAsia="宋体"/>
                      <w:b/>
                      <w:bCs/>
                      <w:color w:val="000000" w:themeColor="text1"/>
                      <w:highlight w:val="none"/>
                      <w:lang w:val="en-US" w:eastAsia="zh-CN"/>
                      <w14:textFill>
                        <w14:solidFill>
                          <w14:schemeClr w14:val="tx1"/>
                        </w14:solidFill>
                      </w14:textFill>
                    </w:rPr>
                  </w:pPr>
                  <w:r>
                    <w:rPr>
                      <w:rFonts w:hint="eastAsia" w:eastAsia="宋体"/>
                      <w:b/>
                      <w:bCs/>
                      <w:color w:val="000000" w:themeColor="text1"/>
                      <w:highlight w:val="none"/>
                      <w:lang w:val="en-US" w:eastAsia="zh-CN"/>
                      <w14:textFill>
                        <w14:solidFill>
                          <w14:schemeClr w14:val="tx1"/>
                        </w14:solidFill>
                      </w14:textFill>
                    </w:rPr>
                    <w:t>初期</w:t>
                  </w:r>
                </w:p>
                <w:p w14:paraId="1C78820C">
                  <w:pPr>
                    <w:pStyle w:val="17"/>
                    <w:jc w:val="center"/>
                    <w:rPr>
                      <w:rFonts w:hint="default" w:eastAsia="宋体"/>
                      <w:b/>
                      <w:bCs/>
                      <w:color w:val="000000" w:themeColor="text1"/>
                      <w:highlight w:val="none"/>
                      <w:lang w:val="en-US" w:eastAsia="zh-CN"/>
                      <w14:textFill>
                        <w14:solidFill>
                          <w14:schemeClr w14:val="tx1"/>
                        </w14:solidFill>
                      </w14:textFill>
                    </w:rPr>
                  </w:pPr>
                  <w:r>
                    <w:rPr>
                      <w:rFonts w:hint="eastAsia" w:eastAsia="宋体"/>
                      <w:b/>
                      <w:bCs/>
                      <w:color w:val="000000" w:themeColor="text1"/>
                      <w:highlight w:val="none"/>
                      <w:lang w:val="en-US" w:eastAsia="zh-CN"/>
                      <w14:textFill>
                        <w14:solidFill>
                          <w14:schemeClr w14:val="tx1"/>
                        </w14:solidFill>
                      </w14:textFill>
                    </w:rPr>
                    <w:t>雨水</w:t>
                  </w:r>
                  <w:r>
                    <w:rPr>
                      <w:rFonts w:hint="eastAsia" w:eastAsia="宋体"/>
                      <w:b/>
                      <w:bCs/>
                      <w:color w:val="000000" w:themeColor="text1"/>
                      <w:highlight w:val="none"/>
                      <w14:textFill>
                        <w14:solidFill>
                          <w14:schemeClr w14:val="tx1"/>
                        </w14:solidFill>
                      </w14:textFill>
                    </w:rPr>
                    <w:t>/t</w:t>
                  </w:r>
                </w:p>
              </w:tc>
            </w:tr>
            <w:tr w14:paraId="2736F0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4" w:type="pct"/>
                  <w:tcBorders>
                    <w:tl2br w:val="nil"/>
                    <w:tr2bl w:val="nil"/>
                  </w:tcBorders>
                  <w:shd w:val="clear" w:color="auto" w:fill="auto"/>
                  <w:vAlign w:val="center"/>
                </w:tcPr>
                <w:p w14:paraId="785E88E9">
                  <w:pPr>
                    <w:pStyle w:val="17"/>
                    <w:ind w:firstLine="0" w:firstLineChars="0"/>
                    <w:jc w:val="center"/>
                    <w:rPr>
                      <w:rFonts w:hint="eastAsia" w:eastAsia="宋体"/>
                      <w:lang w:eastAsia="zh-CN"/>
                    </w:rPr>
                  </w:pPr>
                  <w:r>
                    <w:rPr>
                      <w:rFonts w:hint="eastAsia" w:eastAsia="宋体"/>
                      <w:lang w:val="en-US" w:eastAsia="zh-CN"/>
                    </w:rPr>
                    <w:t>沙105斜井</w:t>
                  </w:r>
                </w:p>
              </w:tc>
              <w:tc>
                <w:tcPr>
                  <w:tcW w:w="590" w:type="pct"/>
                  <w:tcBorders>
                    <w:tl2br w:val="nil"/>
                    <w:tr2bl w:val="nil"/>
                  </w:tcBorders>
                  <w:shd w:val="clear" w:color="auto" w:fill="auto"/>
                  <w:vAlign w:val="center"/>
                </w:tcPr>
                <w:p w14:paraId="47FD69FB">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eastAsia="宋体"/>
                      <w:b w:val="0"/>
                      <w:bCs w:val="0"/>
                      <w:highlight w:val="none"/>
                      <w:lang w:val="en-US" w:eastAsia="zh-CN"/>
                    </w:rPr>
                    <w:t>3</w:t>
                  </w:r>
                  <w:r>
                    <w:rPr>
                      <w:rFonts w:hint="eastAsia"/>
                      <w:b w:val="0"/>
                      <w:bCs w:val="0"/>
                      <w:highlight w:val="none"/>
                      <w:lang w:val="en-US" w:eastAsia="zh-CN"/>
                    </w:rPr>
                    <w:t>090</w:t>
                  </w:r>
                </w:p>
              </w:tc>
              <w:tc>
                <w:tcPr>
                  <w:tcW w:w="718" w:type="pct"/>
                  <w:tcBorders>
                    <w:tl2br w:val="nil"/>
                    <w:tr2bl w:val="nil"/>
                  </w:tcBorders>
                  <w:shd w:val="clear" w:color="auto" w:fill="auto"/>
                  <w:vAlign w:val="center"/>
                </w:tcPr>
                <w:p w14:paraId="6FA48FE6">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179.22</w:t>
                  </w:r>
                </w:p>
              </w:tc>
              <w:tc>
                <w:tcPr>
                  <w:tcW w:w="734" w:type="pct"/>
                  <w:tcBorders>
                    <w:tl2br w:val="nil"/>
                    <w:tr2bl w:val="nil"/>
                  </w:tcBorders>
                  <w:shd w:val="clear" w:color="auto" w:fill="auto"/>
                  <w:vAlign w:val="center"/>
                </w:tcPr>
                <w:p w14:paraId="101B8054">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30.90</w:t>
                  </w:r>
                </w:p>
              </w:tc>
              <w:tc>
                <w:tcPr>
                  <w:tcW w:w="803" w:type="pct"/>
                  <w:tcBorders>
                    <w:tl2br w:val="nil"/>
                    <w:tr2bl w:val="nil"/>
                  </w:tcBorders>
                  <w:shd w:val="clear" w:color="auto" w:fill="auto"/>
                  <w:vAlign w:val="center"/>
                </w:tcPr>
                <w:p w14:paraId="5FC47AF2">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46.35</w:t>
                  </w:r>
                </w:p>
              </w:tc>
              <w:tc>
                <w:tcPr>
                  <w:tcW w:w="858" w:type="pct"/>
                  <w:tcBorders>
                    <w:tl2br w:val="nil"/>
                    <w:tr2bl w:val="nil"/>
                  </w:tcBorders>
                  <w:shd w:val="clear" w:color="auto" w:fill="auto"/>
                  <w:vAlign w:val="center"/>
                </w:tcPr>
                <w:p w14:paraId="355B0A9D">
                  <w:pPr>
                    <w:keepNext w:val="0"/>
                    <w:keepLines w:val="0"/>
                    <w:widowControl/>
                    <w:suppressLineNumbers w:val="0"/>
                    <w:jc w:val="center"/>
                    <w:textAlignment w:val="bottom"/>
                    <w:rPr>
                      <w:rFonts w:hint="default" w:ascii="Times New Roman" w:hAnsi="Times New Roman" w:eastAsia="宋体" w:cs="Times New Roman"/>
                      <w:color w:val="auto"/>
                      <w:kern w:val="2"/>
                      <w:sz w:val="21"/>
                      <w:szCs w:val="24"/>
                      <w:highlight w:val="none"/>
                      <w:lang w:val="en-US" w:eastAsia="zh-CN" w:bidi="ar-SA"/>
                    </w:rPr>
                  </w:pPr>
                  <w:r>
                    <w:rPr>
                      <w:rFonts w:hint="eastAsia" w:eastAsia="宋体"/>
                      <w:lang w:val="en-US" w:eastAsia="zh-CN"/>
                    </w:rPr>
                    <w:t>63.75</w:t>
                  </w:r>
                </w:p>
              </w:tc>
              <w:tc>
                <w:tcPr>
                  <w:tcW w:w="1141" w:type="dxa"/>
                  <w:tcBorders>
                    <w:tl2br w:val="nil"/>
                    <w:tr2bl w:val="nil"/>
                  </w:tcBorders>
                  <w:shd w:val="clear" w:color="auto" w:fill="auto"/>
                  <w:vAlign w:val="center"/>
                </w:tcPr>
                <w:p w14:paraId="49D50A54">
                  <w:pPr>
                    <w:keepNext w:val="0"/>
                    <w:keepLines w:val="0"/>
                    <w:widowControl/>
                    <w:suppressLineNumbers w:val="0"/>
                    <w:jc w:val="center"/>
                    <w:textAlignment w:val="bottom"/>
                    <w:rPr>
                      <w:rFonts w:hint="default"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13.34</w:t>
                  </w:r>
                </w:p>
              </w:tc>
            </w:tr>
            <w:tr w14:paraId="404271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4" w:type="pct"/>
                  <w:tcBorders>
                    <w:tl2br w:val="nil"/>
                    <w:tr2bl w:val="nil"/>
                  </w:tcBorders>
                  <w:shd w:val="clear" w:color="auto" w:fill="auto"/>
                  <w:vAlign w:val="center"/>
                </w:tcPr>
                <w:p w14:paraId="3585A59C">
                  <w:pPr>
                    <w:pStyle w:val="17"/>
                    <w:ind w:firstLine="0" w:firstLineChars="0"/>
                    <w:jc w:val="center"/>
                    <w:rPr>
                      <w:rFonts w:hint="default" w:eastAsia="宋体"/>
                      <w:lang w:val="en-US" w:eastAsia="zh-CN"/>
                    </w:rPr>
                  </w:pPr>
                  <w:r>
                    <w:rPr>
                      <w:rFonts w:hint="eastAsia" w:eastAsia="宋体"/>
                      <w:lang w:val="en-US" w:eastAsia="zh-CN"/>
                    </w:rPr>
                    <w:t>沙86斜井</w:t>
                  </w:r>
                </w:p>
              </w:tc>
              <w:tc>
                <w:tcPr>
                  <w:tcW w:w="590" w:type="pct"/>
                  <w:tcBorders>
                    <w:tl2br w:val="nil"/>
                    <w:tr2bl w:val="nil"/>
                  </w:tcBorders>
                  <w:shd w:val="clear" w:color="auto" w:fill="auto"/>
                  <w:vAlign w:val="center"/>
                </w:tcPr>
                <w:p w14:paraId="098B92C6">
                  <w:pPr>
                    <w:keepNext w:val="0"/>
                    <w:keepLines w:val="0"/>
                    <w:widowControl/>
                    <w:suppressLineNumbers w:val="0"/>
                    <w:jc w:val="center"/>
                    <w:textAlignment w:val="center"/>
                    <w:rPr>
                      <w:rFonts w:hint="default" w:eastAsia="宋体"/>
                      <w:b w:val="0"/>
                      <w:bCs w:val="0"/>
                      <w:highlight w:val="none"/>
                      <w:lang w:val="en-US" w:eastAsia="zh-CN"/>
                    </w:rPr>
                  </w:pPr>
                  <w:r>
                    <w:rPr>
                      <w:rFonts w:hint="eastAsia"/>
                      <w:b w:val="0"/>
                      <w:bCs w:val="0"/>
                      <w:highlight w:val="none"/>
                      <w:lang w:val="en-US" w:eastAsia="zh-CN"/>
                    </w:rPr>
                    <w:t>3292</w:t>
                  </w:r>
                </w:p>
              </w:tc>
              <w:tc>
                <w:tcPr>
                  <w:tcW w:w="718" w:type="pct"/>
                  <w:tcBorders>
                    <w:tl2br w:val="nil"/>
                    <w:tr2bl w:val="nil"/>
                  </w:tcBorders>
                  <w:shd w:val="clear" w:color="auto" w:fill="auto"/>
                  <w:vAlign w:val="center"/>
                </w:tcPr>
                <w:p w14:paraId="53438F23">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190.94</w:t>
                  </w:r>
                </w:p>
              </w:tc>
              <w:tc>
                <w:tcPr>
                  <w:tcW w:w="734" w:type="pct"/>
                  <w:tcBorders>
                    <w:tl2br w:val="nil"/>
                    <w:tr2bl w:val="nil"/>
                  </w:tcBorders>
                  <w:shd w:val="clear" w:color="auto" w:fill="auto"/>
                  <w:vAlign w:val="center"/>
                </w:tcPr>
                <w:p w14:paraId="075236E2">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32.92</w:t>
                  </w:r>
                </w:p>
              </w:tc>
              <w:tc>
                <w:tcPr>
                  <w:tcW w:w="803" w:type="pct"/>
                  <w:tcBorders>
                    <w:tl2br w:val="nil"/>
                    <w:tr2bl w:val="nil"/>
                  </w:tcBorders>
                  <w:shd w:val="clear" w:color="auto" w:fill="auto"/>
                  <w:vAlign w:val="center"/>
                </w:tcPr>
                <w:p w14:paraId="1D496072">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49.38</w:t>
                  </w:r>
                </w:p>
              </w:tc>
              <w:tc>
                <w:tcPr>
                  <w:tcW w:w="858" w:type="pct"/>
                  <w:tcBorders>
                    <w:tl2br w:val="nil"/>
                    <w:tr2bl w:val="nil"/>
                  </w:tcBorders>
                  <w:shd w:val="clear" w:color="auto" w:fill="auto"/>
                  <w:vAlign w:val="center"/>
                </w:tcPr>
                <w:p w14:paraId="5D3CBE55">
                  <w:pPr>
                    <w:keepNext w:val="0"/>
                    <w:keepLines w:val="0"/>
                    <w:widowControl/>
                    <w:suppressLineNumbers w:val="0"/>
                    <w:jc w:val="center"/>
                    <w:textAlignment w:val="bottom"/>
                    <w:rPr>
                      <w:rFonts w:hint="eastAsia" w:eastAsia="宋体"/>
                      <w:lang w:val="en-US" w:eastAsia="zh-CN"/>
                    </w:rPr>
                  </w:pPr>
                  <w:r>
                    <w:rPr>
                      <w:rFonts w:hint="eastAsia" w:eastAsia="宋体"/>
                      <w:lang w:val="en-US" w:eastAsia="zh-CN"/>
                    </w:rPr>
                    <w:t>63.75</w:t>
                  </w:r>
                </w:p>
              </w:tc>
              <w:tc>
                <w:tcPr>
                  <w:tcW w:w="1141" w:type="dxa"/>
                  <w:tcBorders>
                    <w:tl2br w:val="nil"/>
                    <w:tr2bl w:val="nil"/>
                  </w:tcBorders>
                  <w:shd w:val="clear" w:color="auto" w:fill="auto"/>
                  <w:vAlign w:val="center"/>
                </w:tcPr>
                <w:p w14:paraId="13E76C74">
                  <w:pPr>
                    <w:keepNext w:val="0"/>
                    <w:keepLines w:val="0"/>
                    <w:widowControl/>
                    <w:suppressLineNumbers w:val="0"/>
                    <w:jc w:val="center"/>
                    <w:textAlignment w:val="bottom"/>
                    <w:rPr>
                      <w:rFonts w:hint="default"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13.67</w:t>
                  </w:r>
                </w:p>
              </w:tc>
            </w:tr>
            <w:tr w14:paraId="24A5F7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4" w:type="pct"/>
                  <w:tcBorders>
                    <w:tl2br w:val="nil"/>
                    <w:tr2bl w:val="nil"/>
                  </w:tcBorders>
                  <w:shd w:val="clear" w:color="auto" w:fill="auto"/>
                  <w:vAlign w:val="center"/>
                </w:tcPr>
                <w:p w14:paraId="6959D498">
                  <w:pPr>
                    <w:pStyle w:val="17"/>
                    <w:ind w:firstLine="0" w:firstLineChars="0"/>
                    <w:jc w:val="center"/>
                    <w:rPr>
                      <w:rFonts w:hint="default" w:eastAsia="宋体"/>
                      <w:lang w:val="en-US" w:eastAsia="zh-CN"/>
                    </w:rPr>
                  </w:pPr>
                  <w:r>
                    <w:rPr>
                      <w:rFonts w:hint="eastAsia" w:eastAsia="宋体"/>
                      <w:lang w:val="en-US" w:eastAsia="zh-CN"/>
                    </w:rPr>
                    <w:t>合计</w:t>
                  </w:r>
                </w:p>
              </w:tc>
              <w:tc>
                <w:tcPr>
                  <w:tcW w:w="590" w:type="pct"/>
                  <w:tcBorders>
                    <w:tl2br w:val="nil"/>
                    <w:tr2bl w:val="nil"/>
                  </w:tcBorders>
                  <w:shd w:val="clear" w:color="auto" w:fill="auto"/>
                  <w:vAlign w:val="center"/>
                </w:tcPr>
                <w:p w14:paraId="6A4179CB">
                  <w:pPr>
                    <w:keepNext w:val="0"/>
                    <w:keepLines w:val="0"/>
                    <w:widowControl/>
                    <w:suppressLineNumbers w:val="0"/>
                    <w:jc w:val="center"/>
                    <w:textAlignment w:val="center"/>
                    <w:rPr>
                      <w:rFonts w:hint="default"/>
                      <w:b w:val="0"/>
                      <w:bCs w:val="0"/>
                      <w:highlight w:val="none"/>
                      <w:lang w:val="en-US" w:eastAsia="zh-CN"/>
                    </w:rPr>
                  </w:pPr>
                  <w:r>
                    <w:rPr>
                      <w:rFonts w:hint="eastAsia"/>
                      <w:b w:val="0"/>
                      <w:bCs w:val="0"/>
                      <w:highlight w:val="none"/>
                      <w:lang w:val="en-US" w:eastAsia="zh-CN"/>
                    </w:rPr>
                    <w:t>/</w:t>
                  </w:r>
                </w:p>
              </w:tc>
              <w:tc>
                <w:tcPr>
                  <w:tcW w:w="718" w:type="pct"/>
                  <w:tcBorders>
                    <w:tl2br w:val="nil"/>
                    <w:tr2bl w:val="nil"/>
                  </w:tcBorders>
                  <w:shd w:val="clear" w:color="auto" w:fill="auto"/>
                  <w:vAlign w:val="center"/>
                </w:tcPr>
                <w:p w14:paraId="44FF5859">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370.16</w:t>
                  </w:r>
                </w:p>
              </w:tc>
              <w:tc>
                <w:tcPr>
                  <w:tcW w:w="734" w:type="pct"/>
                  <w:tcBorders>
                    <w:tl2br w:val="nil"/>
                    <w:tr2bl w:val="nil"/>
                  </w:tcBorders>
                  <w:shd w:val="clear" w:color="auto" w:fill="auto"/>
                  <w:vAlign w:val="center"/>
                </w:tcPr>
                <w:p w14:paraId="35FDB8C8">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63.82</w:t>
                  </w:r>
                </w:p>
              </w:tc>
              <w:tc>
                <w:tcPr>
                  <w:tcW w:w="803" w:type="pct"/>
                  <w:tcBorders>
                    <w:tl2br w:val="nil"/>
                    <w:tr2bl w:val="nil"/>
                  </w:tcBorders>
                  <w:shd w:val="clear" w:color="auto" w:fill="auto"/>
                  <w:vAlign w:val="center"/>
                </w:tcPr>
                <w:p w14:paraId="360784C6">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95.73</w:t>
                  </w:r>
                </w:p>
              </w:tc>
              <w:tc>
                <w:tcPr>
                  <w:tcW w:w="858" w:type="pct"/>
                  <w:tcBorders>
                    <w:tl2br w:val="nil"/>
                    <w:tr2bl w:val="nil"/>
                  </w:tcBorders>
                  <w:shd w:val="clear" w:color="auto" w:fill="auto"/>
                  <w:vAlign w:val="center"/>
                </w:tcPr>
                <w:p w14:paraId="3826A18A">
                  <w:pPr>
                    <w:keepNext w:val="0"/>
                    <w:keepLines w:val="0"/>
                    <w:widowControl/>
                    <w:suppressLineNumbers w:val="0"/>
                    <w:jc w:val="center"/>
                    <w:textAlignment w:val="bottom"/>
                    <w:rPr>
                      <w:rFonts w:hint="default" w:eastAsia="宋体"/>
                      <w:lang w:val="en-US" w:eastAsia="zh-CN"/>
                    </w:rPr>
                  </w:pPr>
                  <w:r>
                    <w:rPr>
                      <w:rFonts w:hint="eastAsia" w:eastAsia="宋体"/>
                      <w:lang w:val="en-US" w:eastAsia="zh-CN"/>
                    </w:rPr>
                    <w:t>128.50</w:t>
                  </w:r>
                </w:p>
              </w:tc>
              <w:tc>
                <w:tcPr>
                  <w:tcW w:w="1141" w:type="dxa"/>
                  <w:tcBorders>
                    <w:tl2br w:val="nil"/>
                    <w:tr2bl w:val="nil"/>
                  </w:tcBorders>
                  <w:shd w:val="clear" w:color="auto" w:fill="auto"/>
                  <w:vAlign w:val="center"/>
                </w:tcPr>
                <w:p w14:paraId="379AD135">
                  <w:pPr>
                    <w:keepNext w:val="0"/>
                    <w:keepLines w:val="0"/>
                    <w:widowControl/>
                    <w:suppressLineNumbers w:val="0"/>
                    <w:jc w:val="center"/>
                    <w:textAlignment w:val="bottom"/>
                    <w:rPr>
                      <w:rFonts w:hint="default"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27.01</w:t>
                  </w:r>
                </w:p>
              </w:tc>
            </w:tr>
          </w:tbl>
          <w:p w14:paraId="11ED0CF6">
            <w:pPr>
              <w:pStyle w:val="16"/>
              <w:jc w:val="center"/>
              <w:rPr>
                <w:rFonts w:eastAsia="宋体"/>
                <w:color w:val="auto"/>
              </w:rPr>
            </w:pPr>
            <w:r>
              <w:rPr>
                <w:rFonts w:hint="eastAsia" w:eastAsia="宋体"/>
                <w:color w:val="auto"/>
              </w:rPr>
              <w:t>表4</w:t>
            </w:r>
            <w:r>
              <w:rPr>
                <w:rFonts w:eastAsia="宋体"/>
                <w:color w:val="auto"/>
              </w:rPr>
              <w:t>-2</w:t>
            </w:r>
            <w:r>
              <w:rPr>
                <w:rFonts w:hint="eastAsia" w:eastAsia="宋体"/>
                <w:color w:val="auto"/>
              </w:rPr>
              <w:t xml:space="preserve"> </w:t>
            </w:r>
            <w:r>
              <w:rPr>
                <w:rFonts w:eastAsia="宋体"/>
                <w:color w:val="auto"/>
              </w:rPr>
              <w:t xml:space="preserve"> 废水</w:t>
            </w:r>
            <w:r>
              <w:rPr>
                <w:rFonts w:hint="eastAsia" w:eastAsia="宋体"/>
                <w:color w:val="auto"/>
              </w:rPr>
              <w:t>源强</w:t>
            </w:r>
            <w:r>
              <w:rPr>
                <w:rFonts w:eastAsia="宋体"/>
                <w:color w:val="auto"/>
              </w:rPr>
              <w:t>核算</w:t>
            </w:r>
          </w:p>
          <w:tbl>
            <w:tblPr>
              <w:tblStyle w:val="1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7"/>
              <w:gridCol w:w="987"/>
              <w:gridCol w:w="1155"/>
              <w:gridCol w:w="1490"/>
              <w:gridCol w:w="1080"/>
              <w:gridCol w:w="1080"/>
              <w:gridCol w:w="1087"/>
            </w:tblGrid>
            <w:tr w14:paraId="7786F9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pct"/>
                  <w:tcBorders>
                    <w:tl2br w:val="nil"/>
                    <w:tr2bl w:val="nil"/>
                  </w:tcBorders>
                  <w:shd w:val="clear" w:color="auto" w:fill="auto"/>
                  <w:vAlign w:val="center"/>
                </w:tcPr>
                <w:p w14:paraId="56631015">
                  <w:pPr>
                    <w:pStyle w:val="17"/>
                    <w:rPr>
                      <w:rFonts w:eastAsia="宋体"/>
                      <w:b/>
                      <w:bCs/>
                      <w:color w:val="auto"/>
                    </w:rPr>
                  </w:pPr>
                  <w:r>
                    <w:rPr>
                      <w:rFonts w:hint="eastAsia" w:eastAsia="宋体"/>
                      <w:b/>
                      <w:bCs/>
                      <w:color w:val="auto"/>
                    </w:rPr>
                    <w:t>废水类别</w:t>
                  </w:r>
                </w:p>
              </w:tc>
              <w:tc>
                <w:tcPr>
                  <w:tcW w:w="640" w:type="pct"/>
                  <w:tcBorders>
                    <w:tl2br w:val="nil"/>
                    <w:tr2bl w:val="nil"/>
                  </w:tcBorders>
                  <w:shd w:val="clear" w:color="auto" w:fill="auto"/>
                  <w:vAlign w:val="center"/>
                </w:tcPr>
                <w:p w14:paraId="7B4059C9">
                  <w:pPr>
                    <w:pStyle w:val="17"/>
                    <w:rPr>
                      <w:rFonts w:eastAsia="宋体"/>
                      <w:b/>
                      <w:bCs/>
                      <w:color w:val="auto"/>
                    </w:rPr>
                  </w:pPr>
                  <w:r>
                    <w:rPr>
                      <w:rFonts w:hint="eastAsia" w:eastAsia="宋体"/>
                      <w:b/>
                      <w:bCs/>
                      <w:color w:val="auto"/>
                    </w:rPr>
                    <w:t>废水量/t</w:t>
                  </w:r>
                </w:p>
              </w:tc>
              <w:tc>
                <w:tcPr>
                  <w:tcW w:w="749" w:type="pct"/>
                  <w:tcBorders>
                    <w:tl2br w:val="nil"/>
                    <w:tr2bl w:val="nil"/>
                  </w:tcBorders>
                  <w:shd w:val="clear" w:color="auto" w:fill="auto"/>
                  <w:vAlign w:val="center"/>
                </w:tcPr>
                <w:p w14:paraId="39D5C814">
                  <w:pPr>
                    <w:pStyle w:val="17"/>
                    <w:rPr>
                      <w:rFonts w:eastAsia="宋体"/>
                      <w:b/>
                      <w:bCs/>
                      <w:color w:val="auto"/>
                    </w:rPr>
                  </w:pPr>
                  <w:r>
                    <w:rPr>
                      <w:rFonts w:hint="eastAsia" w:eastAsia="宋体"/>
                      <w:b/>
                      <w:bCs/>
                      <w:color w:val="auto"/>
                    </w:rPr>
                    <w:t>污染物名称</w:t>
                  </w:r>
                </w:p>
              </w:tc>
              <w:tc>
                <w:tcPr>
                  <w:tcW w:w="966" w:type="pct"/>
                  <w:tcBorders>
                    <w:tl2br w:val="nil"/>
                    <w:tr2bl w:val="nil"/>
                  </w:tcBorders>
                  <w:shd w:val="clear" w:color="auto" w:fill="auto"/>
                  <w:vAlign w:val="center"/>
                </w:tcPr>
                <w:p w14:paraId="40CBDF75">
                  <w:pPr>
                    <w:pStyle w:val="17"/>
                    <w:rPr>
                      <w:rFonts w:hint="eastAsia" w:eastAsia="宋体"/>
                      <w:b/>
                      <w:bCs/>
                      <w:color w:val="auto"/>
                      <w:lang w:eastAsia="zh-CN"/>
                    </w:rPr>
                  </w:pPr>
                  <w:r>
                    <w:rPr>
                      <w:rFonts w:hint="eastAsia" w:eastAsia="宋体"/>
                      <w:b/>
                      <w:bCs/>
                      <w:color w:val="auto"/>
                    </w:rPr>
                    <w:t>产生浓度/</w:t>
                  </w:r>
                  <w:r>
                    <w:rPr>
                      <w:rFonts w:eastAsia="宋体"/>
                      <w:b/>
                      <w:bCs/>
                      <w:color w:val="auto"/>
                    </w:rPr>
                    <w:t>m</w:t>
                  </w:r>
                  <w:r>
                    <w:rPr>
                      <w:rFonts w:hint="eastAsia" w:eastAsia="宋体"/>
                      <w:b/>
                      <w:bCs/>
                      <w:color w:val="auto"/>
                    </w:rPr>
                    <w:t>g</w:t>
                  </w:r>
                  <w:r>
                    <w:rPr>
                      <w:rFonts w:eastAsia="宋体"/>
                      <w:b/>
                      <w:bCs/>
                      <w:color w:val="auto"/>
                    </w:rPr>
                    <w:t>/</w:t>
                  </w:r>
                  <w:r>
                    <w:rPr>
                      <w:rFonts w:hint="eastAsia" w:eastAsia="宋体"/>
                      <w:b/>
                      <w:bCs/>
                      <w:color w:val="auto"/>
                      <w:lang w:val="en-US" w:eastAsia="zh-CN"/>
                    </w:rPr>
                    <w:t>L</w:t>
                  </w:r>
                </w:p>
              </w:tc>
              <w:tc>
                <w:tcPr>
                  <w:tcW w:w="700" w:type="pct"/>
                  <w:tcBorders>
                    <w:tl2br w:val="nil"/>
                    <w:tr2bl w:val="nil"/>
                  </w:tcBorders>
                  <w:shd w:val="clear" w:color="auto" w:fill="auto"/>
                  <w:vAlign w:val="center"/>
                </w:tcPr>
                <w:p w14:paraId="154CF90B">
                  <w:pPr>
                    <w:pStyle w:val="17"/>
                    <w:rPr>
                      <w:rFonts w:eastAsia="宋体"/>
                      <w:b/>
                      <w:bCs/>
                      <w:color w:val="auto"/>
                    </w:rPr>
                  </w:pPr>
                  <w:r>
                    <w:rPr>
                      <w:rFonts w:hint="eastAsia" w:eastAsia="宋体"/>
                      <w:b/>
                      <w:bCs/>
                      <w:color w:val="auto"/>
                    </w:rPr>
                    <w:t>产生量/t</w:t>
                  </w:r>
                </w:p>
              </w:tc>
              <w:tc>
                <w:tcPr>
                  <w:tcW w:w="700" w:type="pct"/>
                  <w:tcBorders>
                    <w:tl2br w:val="nil"/>
                    <w:tr2bl w:val="nil"/>
                  </w:tcBorders>
                  <w:shd w:val="clear" w:color="auto" w:fill="auto"/>
                  <w:vAlign w:val="center"/>
                </w:tcPr>
                <w:p w14:paraId="42923BA7">
                  <w:pPr>
                    <w:pStyle w:val="17"/>
                    <w:rPr>
                      <w:rFonts w:hint="eastAsia" w:eastAsia="宋体"/>
                      <w:b/>
                      <w:bCs/>
                      <w:color w:val="auto"/>
                    </w:rPr>
                  </w:pPr>
                  <w:r>
                    <w:rPr>
                      <w:rFonts w:hint="eastAsia" w:eastAsia="宋体"/>
                      <w:b/>
                      <w:bCs/>
                      <w:color w:val="auto"/>
                    </w:rPr>
                    <w:t>治理</w:t>
                  </w:r>
                </w:p>
                <w:p w14:paraId="747D29DF">
                  <w:pPr>
                    <w:pStyle w:val="17"/>
                    <w:rPr>
                      <w:rFonts w:eastAsia="宋体"/>
                      <w:b/>
                      <w:bCs/>
                      <w:color w:val="auto"/>
                    </w:rPr>
                  </w:pPr>
                  <w:r>
                    <w:rPr>
                      <w:rFonts w:hint="eastAsia" w:eastAsia="宋体"/>
                      <w:b/>
                      <w:bCs/>
                      <w:color w:val="auto"/>
                    </w:rPr>
                    <w:t>措施</w:t>
                  </w:r>
                </w:p>
              </w:tc>
              <w:tc>
                <w:tcPr>
                  <w:tcW w:w="705" w:type="pct"/>
                  <w:tcBorders>
                    <w:tl2br w:val="nil"/>
                    <w:tr2bl w:val="nil"/>
                  </w:tcBorders>
                  <w:shd w:val="clear" w:color="auto" w:fill="auto"/>
                  <w:vAlign w:val="center"/>
                </w:tcPr>
                <w:p w14:paraId="187BBCF7">
                  <w:pPr>
                    <w:pStyle w:val="17"/>
                    <w:rPr>
                      <w:rFonts w:eastAsia="宋体"/>
                      <w:b/>
                      <w:bCs/>
                      <w:color w:val="auto"/>
                    </w:rPr>
                  </w:pPr>
                  <w:r>
                    <w:rPr>
                      <w:rFonts w:hint="eastAsia" w:eastAsia="宋体"/>
                      <w:b/>
                      <w:bCs/>
                      <w:color w:val="auto"/>
                    </w:rPr>
                    <w:t>排放去向</w:t>
                  </w:r>
                </w:p>
              </w:tc>
            </w:tr>
            <w:tr w14:paraId="132025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7" w:type="pct"/>
                  <w:vMerge w:val="restart"/>
                  <w:tcBorders>
                    <w:tl2br w:val="nil"/>
                    <w:tr2bl w:val="nil"/>
                  </w:tcBorders>
                  <w:shd w:val="clear" w:color="auto" w:fill="auto"/>
                  <w:vAlign w:val="center"/>
                </w:tcPr>
                <w:p w14:paraId="1B5784C2">
                  <w:pPr>
                    <w:pStyle w:val="17"/>
                    <w:ind w:firstLine="0" w:firstLineChars="0"/>
                    <w:rPr>
                      <w:rFonts w:eastAsia="宋体"/>
                    </w:rPr>
                  </w:pPr>
                  <w:r>
                    <w:rPr>
                      <w:rFonts w:hint="eastAsia" w:eastAsia="宋体"/>
                      <w:color w:val="auto"/>
                      <w:highlight w:val="none"/>
                    </w:rPr>
                    <w:t>钻井废水</w:t>
                  </w:r>
                </w:p>
              </w:tc>
              <w:tc>
                <w:tcPr>
                  <w:tcW w:w="640" w:type="pct"/>
                  <w:vMerge w:val="restart"/>
                  <w:tcBorders>
                    <w:tl2br w:val="nil"/>
                    <w:tr2bl w:val="nil"/>
                  </w:tcBorders>
                  <w:shd w:val="clear" w:color="auto" w:fill="auto"/>
                  <w:vAlign w:val="center"/>
                </w:tcPr>
                <w:p w14:paraId="2D3DBCC3">
                  <w:pPr>
                    <w:pStyle w:val="17"/>
                    <w:rPr>
                      <w:rFonts w:hint="default" w:eastAsia="宋体"/>
                      <w:lang w:val="en-US" w:eastAsia="zh-CN"/>
                    </w:rPr>
                  </w:pPr>
                  <w:r>
                    <w:rPr>
                      <w:rFonts w:hint="eastAsia" w:eastAsia="宋体"/>
                      <w:lang w:val="en-US" w:eastAsia="zh-CN"/>
                    </w:rPr>
                    <w:t>370.16</w:t>
                  </w:r>
                </w:p>
              </w:tc>
              <w:tc>
                <w:tcPr>
                  <w:tcW w:w="749" w:type="pct"/>
                  <w:tcBorders>
                    <w:tl2br w:val="nil"/>
                    <w:tr2bl w:val="nil"/>
                  </w:tcBorders>
                  <w:shd w:val="clear" w:color="auto" w:fill="auto"/>
                  <w:vAlign w:val="center"/>
                </w:tcPr>
                <w:p w14:paraId="614F3E75">
                  <w:pPr>
                    <w:pStyle w:val="17"/>
                    <w:ind w:firstLine="0" w:firstLineChars="0"/>
                    <w:rPr>
                      <w:rFonts w:hint="eastAsia" w:eastAsia="宋体"/>
                    </w:rPr>
                  </w:pPr>
                  <w:r>
                    <w:rPr>
                      <w:rFonts w:hint="eastAsia" w:eastAsia="宋体"/>
                      <w:color w:val="auto"/>
                      <w:highlight w:val="none"/>
                    </w:rPr>
                    <w:t>COD</w:t>
                  </w:r>
                </w:p>
              </w:tc>
              <w:tc>
                <w:tcPr>
                  <w:tcW w:w="966" w:type="pct"/>
                  <w:tcBorders>
                    <w:tl2br w:val="nil"/>
                    <w:tr2bl w:val="nil"/>
                  </w:tcBorders>
                  <w:shd w:val="clear" w:color="auto" w:fill="auto"/>
                  <w:vAlign w:val="center"/>
                </w:tcPr>
                <w:p w14:paraId="7788537D">
                  <w:pPr>
                    <w:pStyle w:val="17"/>
                    <w:ind w:firstLine="0" w:firstLineChars="0"/>
                    <w:rPr>
                      <w:rFonts w:hint="eastAsia" w:eastAsia="宋体"/>
                      <w:lang w:val="en-US" w:eastAsia="zh-CN"/>
                    </w:rPr>
                  </w:pPr>
                  <w:r>
                    <w:rPr>
                      <w:rFonts w:hint="eastAsia" w:eastAsia="宋体"/>
                      <w:color w:val="auto"/>
                      <w:highlight w:val="none"/>
                    </w:rPr>
                    <w:t>5000</w:t>
                  </w:r>
                </w:p>
              </w:tc>
              <w:tc>
                <w:tcPr>
                  <w:tcW w:w="700" w:type="pct"/>
                  <w:tcBorders>
                    <w:tl2br w:val="nil"/>
                    <w:tr2bl w:val="nil"/>
                  </w:tcBorders>
                  <w:shd w:val="clear" w:color="auto" w:fill="auto"/>
                  <w:vAlign w:val="center"/>
                </w:tcPr>
                <w:p w14:paraId="75716E0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1.8508</w:t>
                  </w:r>
                </w:p>
              </w:tc>
              <w:tc>
                <w:tcPr>
                  <w:tcW w:w="700" w:type="pct"/>
                  <w:vMerge w:val="restart"/>
                  <w:tcBorders>
                    <w:tl2br w:val="nil"/>
                    <w:tr2bl w:val="nil"/>
                  </w:tcBorders>
                  <w:shd w:val="clear" w:color="auto" w:fill="auto"/>
                  <w:vAlign w:val="center"/>
                </w:tcPr>
                <w:p w14:paraId="37916F4E">
                  <w:pPr>
                    <w:pStyle w:val="17"/>
                    <w:ind w:firstLine="0" w:firstLineChars="0"/>
                    <w:rPr>
                      <w:rFonts w:eastAsia="宋体"/>
                    </w:rPr>
                  </w:pPr>
                  <w:r>
                    <w:rPr>
                      <w:rFonts w:hint="eastAsia" w:eastAsia="宋体"/>
                      <w:color w:val="auto"/>
                      <w:lang w:val="en-US" w:eastAsia="zh-CN"/>
                    </w:rPr>
                    <w:t>直接泵入井场水罐车储罐内，储罐装满后不在场区暂存，直接由罐车就近拉运至沙埝联合站进行处理</w:t>
                  </w:r>
                </w:p>
              </w:tc>
              <w:tc>
                <w:tcPr>
                  <w:tcW w:w="705" w:type="pct"/>
                  <w:vMerge w:val="restart"/>
                  <w:tcBorders>
                    <w:tl2br w:val="nil"/>
                    <w:tr2bl w:val="nil"/>
                  </w:tcBorders>
                  <w:shd w:val="clear" w:color="auto" w:fill="auto"/>
                  <w:vAlign w:val="center"/>
                </w:tcPr>
                <w:p w14:paraId="5182B96B">
                  <w:pPr>
                    <w:pStyle w:val="17"/>
                    <w:ind w:firstLine="0" w:firstLineChars="0"/>
                    <w:rPr>
                      <w:rFonts w:eastAsia="宋体"/>
                    </w:rPr>
                  </w:pPr>
                  <w:r>
                    <w:rPr>
                      <w:rFonts w:hint="eastAsia" w:eastAsia="宋体"/>
                      <w:color w:val="auto"/>
                    </w:rPr>
                    <w:t>回注</w:t>
                  </w:r>
                </w:p>
              </w:tc>
            </w:tr>
            <w:tr w14:paraId="614DF6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7" w:type="pct"/>
                  <w:vMerge w:val="continue"/>
                  <w:tcBorders>
                    <w:tl2br w:val="nil"/>
                    <w:tr2bl w:val="nil"/>
                  </w:tcBorders>
                  <w:shd w:val="clear" w:color="auto" w:fill="auto"/>
                  <w:vAlign w:val="center"/>
                </w:tcPr>
                <w:p w14:paraId="0905159D">
                  <w:pPr>
                    <w:pStyle w:val="17"/>
                    <w:rPr>
                      <w:rFonts w:eastAsia="宋体"/>
                    </w:rPr>
                  </w:pPr>
                </w:p>
              </w:tc>
              <w:tc>
                <w:tcPr>
                  <w:tcW w:w="640" w:type="pct"/>
                  <w:vMerge w:val="continue"/>
                  <w:tcBorders>
                    <w:tl2br w:val="nil"/>
                    <w:tr2bl w:val="nil"/>
                  </w:tcBorders>
                  <w:shd w:val="clear" w:color="auto" w:fill="auto"/>
                  <w:vAlign w:val="center"/>
                </w:tcPr>
                <w:p w14:paraId="2F770813">
                  <w:pPr>
                    <w:pStyle w:val="17"/>
                    <w:rPr>
                      <w:rFonts w:eastAsia="宋体"/>
                    </w:rPr>
                  </w:pPr>
                </w:p>
              </w:tc>
              <w:tc>
                <w:tcPr>
                  <w:tcW w:w="749" w:type="pct"/>
                  <w:tcBorders>
                    <w:tl2br w:val="nil"/>
                    <w:tr2bl w:val="nil"/>
                  </w:tcBorders>
                  <w:shd w:val="clear" w:color="auto" w:fill="auto"/>
                  <w:vAlign w:val="center"/>
                </w:tcPr>
                <w:p w14:paraId="4C2095AF">
                  <w:pPr>
                    <w:pStyle w:val="17"/>
                    <w:ind w:firstLine="0" w:firstLineChars="0"/>
                    <w:rPr>
                      <w:rFonts w:hint="eastAsia" w:eastAsia="宋体"/>
                    </w:rPr>
                  </w:pPr>
                  <w:r>
                    <w:rPr>
                      <w:rFonts w:hint="eastAsia" w:eastAsia="宋体"/>
                      <w:color w:val="auto"/>
                      <w:highlight w:val="none"/>
                    </w:rPr>
                    <w:t>SS</w:t>
                  </w:r>
                </w:p>
              </w:tc>
              <w:tc>
                <w:tcPr>
                  <w:tcW w:w="966" w:type="pct"/>
                  <w:tcBorders>
                    <w:tl2br w:val="nil"/>
                    <w:tr2bl w:val="nil"/>
                  </w:tcBorders>
                  <w:shd w:val="clear" w:color="auto" w:fill="auto"/>
                  <w:vAlign w:val="center"/>
                </w:tcPr>
                <w:p w14:paraId="208E03F2">
                  <w:pPr>
                    <w:pStyle w:val="17"/>
                    <w:ind w:firstLine="0" w:firstLineChars="0"/>
                    <w:rPr>
                      <w:rFonts w:hint="eastAsia" w:eastAsia="宋体"/>
                      <w:lang w:val="en-US" w:eastAsia="zh-CN"/>
                    </w:rPr>
                  </w:pPr>
                  <w:r>
                    <w:rPr>
                      <w:rFonts w:hint="eastAsia" w:eastAsia="宋体"/>
                      <w:color w:val="auto"/>
                      <w:highlight w:val="none"/>
                    </w:rPr>
                    <w:t>5000</w:t>
                  </w:r>
                </w:p>
              </w:tc>
              <w:tc>
                <w:tcPr>
                  <w:tcW w:w="700" w:type="pct"/>
                  <w:tcBorders>
                    <w:tl2br w:val="nil"/>
                    <w:tr2bl w:val="nil"/>
                  </w:tcBorders>
                  <w:shd w:val="clear" w:color="auto" w:fill="auto"/>
                  <w:vAlign w:val="center"/>
                </w:tcPr>
                <w:p w14:paraId="03F09AC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1.8508</w:t>
                  </w:r>
                </w:p>
              </w:tc>
              <w:tc>
                <w:tcPr>
                  <w:tcW w:w="700" w:type="pct"/>
                  <w:vMerge w:val="continue"/>
                  <w:tcBorders>
                    <w:tl2br w:val="nil"/>
                    <w:tr2bl w:val="nil"/>
                  </w:tcBorders>
                  <w:shd w:val="clear" w:color="auto" w:fill="auto"/>
                  <w:vAlign w:val="center"/>
                </w:tcPr>
                <w:p w14:paraId="5282F727">
                  <w:pPr>
                    <w:pStyle w:val="17"/>
                    <w:rPr>
                      <w:rFonts w:eastAsia="宋体"/>
                    </w:rPr>
                  </w:pPr>
                </w:p>
              </w:tc>
              <w:tc>
                <w:tcPr>
                  <w:tcW w:w="705" w:type="pct"/>
                  <w:vMerge w:val="continue"/>
                  <w:tcBorders>
                    <w:tl2br w:val="nil"/>
                    <w:tr2bl w:val="nil"/>
                  </w:tcBorders>
                  <w:shd w:val="clear" w:color="auto" w:fill="auto"/>
                  <w:vAlign w:val="center"/>
                </w:tcPr>
                <w:p w14:paraId="0851A272">
                  <w:pPr>
                    <w:pStyle w:val="17"/>
                    <w:rPr>
                      <w:rFonts w:eastAsia="宋体"/>
                    </w:rPr>
                  </w:pPr>
                </w:p>
              </w:tc>
            </w:tr>
            <w:tr w14:paraId="6728EE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7" w:type="pct"/>
                  <w:vMerge w:val="continue"/>
                  <w:tcBorders>
                    <w:tl2br w:val="nil"/>
                    <w:tr2bl w:val="nil"/>
                  </w:tcBorders>
                  <w:shd w:val="clear" w:color="auto" w:fill="auto"/>
                  <w:vAlign w:val="center"/>
                </w:tcPr>
                <w:p w14:paraId="6F01CC3A">
                  <w:pPr>
                    <w:pStyle w:val="17"/>
                    <w:rPr>
                      <w:rFonts w:eastAsia="宋体"/>
                    </w:rPr>
                  </w:pPr>
                </w:p>
              </w:tc>
              <w:tc>
                <w:tcPr>
                  <w:tcW w:w="640" w:type="pct"/>
                  <w:vMerge w:val="continue"/>
                  <w:tcBorders>
                    <w:tl2br w:val="nil"/>
                    <w:tr2bl w:val="nil"/>
                  </w:tcBorders>
                  <w:shd w:val="clear" w:color="auto" w:fill="auto"/>
                  <w:vAlign w:val="center"/>
                </w:tcPr>
                <w:p w14:paraId="18883919">
                  <w:pPr>
                    <w:pStyle w:val="17"/>
                    <w:rPr>
                      <w:rFonts w:eastAsia="宋体"/>
                    </w:rPr>
                  </w:pPr>
                </w:p>
              </w:tc>
              <w:tc>
                <w:tcPr>
                  <w:tcW w:w="749" w:type="pct"/>
                  <w:tcBorders>
                    <w:tl2br w:val="nil"/>
                    <w:tr2bl w:val="nil"/>
                  </w:tcBorders>
                  <w:shd w:val="clear" w:color="auto" w:fill="auto"/>
                  <w:vAlign w:val="center"/>
                </w:tcPr>
                <w:p w14:paraId="763DEE32">
                  <w:pPr>
                    <w:pStyle w:val="17"/>
                    <w:ind w:firstLine="0" w:firstLineChars="0"/>
                    <w:rPr>
                      <w:rFonts w:hint="eastAsia" w:eastAsia="宋体"/>
                    </w:rPr>
                  </w:pPr>
                  <w:r>
                    <w:rPr>
                      <w:rFonts w:hint="eastAsia" w:eastAsia="宋体"/>
                      <w:color w:val="auto"/>
                      <w:highlight w:val="none"/>
                    </w:rPr>
                    <w:t>石油类</w:t>
                  </w:r>
                </w:p>
              </w:tc>
              <w:tc>
                <w:tcPr>
                  <w:tcW w:w="966" w:type="pct"/>
                  <w:tcBorders>
                    <w:tl2br w:val="nil"/>
                    <w:tr2bl w:val="nil"/>
                  </w:tcBorders>
                  <w:shd w:val="clear" w:color="auto" w:fill="auto"/>
                  <w:vAlign w:val="center"/>
                </w:tcPr>
                <w:p w14:paraId="12524BD1">
                  <w:pPr>
                    <w:pStyle w:val="17"/>
                    <w:ind w:firstLine="0" w:firstLineChars="0"/>
                    <w:rPr>
                      <w:rFonts w:hint="eastAsia" w:eastAsia="宋体"/>
                      <w:lang w:val="en-US" w:eastAsia="zh-CN"/>
                    </w:rPr>
                  </w:pPr>
                  <w:r>
                    <w:rPr>
                      <w:rFonts w:hint="eastAsia" w:eastAsia="宋体"/>
                      <w:color w:val="auto"/>
                      <w:highlight w:val="none"/>
                    </w:rPr>
                    <w:t>50</w:t>
                  </w:r>
                </w:p>
              </w:tc>
              <w:tc>
                <w:tcPr>
                  <w:tcW w:w="700" w:type="pct"/>
                  <w:tcBorders>
                    <w:tl2br w:val="nil"/>
                    <w:tr2bl w:val="nil"/>
                  </w:tcBorders>
                  <w:shd w:val="clear" w:color="auto" w:fill="auto"/>
                  <w:vAlign w:val="center"/>
                </w:tcPr>
                <w:p w14:paraId="2681C05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0.0185</w:t>
                  </w:r>
                </w:p>
              </w:tc>
              <w:tc>
                <w:tcPr>
                  <w:tcW w:w="700" w:type="pct"/>
                  <w:vMerge w:val="continue"/>
                  <w:tcBorders>
                    <w:tl2br w:val="nil"/>
                    <w:tr2bl w:val="nil"/>
                  </w:tcBorders>
                  <w:shd w:val="clear" w:color="auto" w:fill="auto"/>
                  <w:vAlign w:val="center"/>
                </w:tcPr>
                <w:p w14:paraId="07155B08">
                  <w:pPr>
                    <w:pStyle w:val="17"/>
                    <w:rPr>
                      <w:rFonts w:eastAsia="宋体"/>
                    </w:rPr>
                  </w:pPr>
                </w:p>
              </w:tc>
              <w:tc>
                <w:tcPr>
                  <w:tcW w:w="705" w:type="pct"/>
                  <w:vMerge w:val="continue"/>
                  <w:tcBorders>
                    <w:tl2br w:val="nil"/>
                    <w:tr2bl w:val="nil"/>
                  </w:tcBorders>
                  <w:shd w:val="clear" w:color="auto" w:fill="auto"/>
                  <w:vAlign w:val="center"/>
                </w:tcPr>
                <w:p w14:paraId="7C6B7857">
                  <w:pPr>
                    <w:pStyle w:val="17"/>
                    <w:rPr>
                      <w:rFonts w:eastAsia="宋体"/>
                    </w:rPr>
                  </w:pPr>
                </w:p>
              </w:tc>
            </w:tr>
            <w:tr w14:paraId="53654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7" w:type="pct"/>
                  <w:vMerge w:val="restart"/>
                  <w:tcBorders>
                    <w:tl2br w:val="nil"/>
                    <w:tr2bl w:val="nil"/>
                  </w:tcBorders>
                  <w:shd w:val="clear" w:color="auto" w:fill="auto"/>
                  <w:vAlign w:val="center"/>
                </w:tcPr>
                <w:p w14:paraId="04EA47D0">
                  <w:pPr>
                    <w:pStyle w:val="17"/>
                    <w:ind w:firstLine="0" w:firstLineChars="0"/>
                    <w:rPr>
                      <w:rFonts w:eastAsia="宋体"/>
                    </w:rPr>
                  </w:pPr>
                  <w:r>
                    <w:rPr>
                      <w:rFonts w:hint="eastAsia" w:eastAsia="宋体"/>
                      <w:color w:val="auto"/>
                      <w:highlight w:val="none"/>
                    </w:rPr>
                    <w:t>洗井废水</w:t>
                  </w:r>
                </w:p>
              </w:tc>
              <w:tc>
                <w:tcPr>
                  <w:tcW w:w="640" w:type="pct"/>
                  <w:vMerge w:val="restart"/>
                  <w:tcBorders>
                    <w:tl2br w:val="nil"/>
                    <w:tr2bl w:val="nil"/>
                  </w:tcBorders>
                  <w:shd w:val="clear" w:color="auto" w:fill="auto"/>
                  <w:vAlign w:val="center"/>
                </w:tcPr>
                <w:p w14:paraId="558AC5B3">
                  <w:pPr>
                    <w:pStyle w:val="17"/>
                    <w:rPr>
                      <w:rFonts w:hint="default" w:eastAsia="宋体"/>
                      <w:lang w:val="en-US" w:eastAsia="zh-CN"/>
                    </w:rPr>
                  </w:pPr>
                  <w:r>
                    <w:rPr>
                      <w:rFonts w:hint="eastAsia" w:eastAsia="宋体"/>
                      <w:lang w:val="en-US" w:eastAsia="zh-CN"/>
                    </w:rPr>
                    <w:t>63.82</w:t>
                  </w:r>
                </w:p>
              </w:tc>
              <w:tc>
                <w:tcPr>
                  <w:tcW w:w="749" w:type="pct"/>
                  <w:tcBorders>
                    <w:tl2br w:val="nil"/>
                    <w:tr2bl w:val="nil"/>
                  </w:tcBorders>
                  <w:shd w:val="clear" w:color="auto" w:fill="auto"/>
                  <w:vAlign w:val="center"/>
                </w:tcPr>
                <w:p w14:paraId="71C01306">
                  <w:pPr>
                    <w:pStyle w:val="17"/>
                    <w:ind w:firstLine="0" w:firstLineChars="0"/>
                    <w:rPr>
                      <w:rFonts w:hint="eastAsia" w:eastAsia="宋体"/>
                    </w:rPr>
                  </w:pPr>
                  <w:r>
                    <w:rPr>
                      <w:rFonts w:hint="eastAsia" w:eastAsia="宋体"/>
                      <w:color w:val="auto"/>
                      <w:highlight w:val="none"/>
                    </w:rPr>
                    <w:t>COD</w:t>
                  </w:r>
                </w:p>
              </w:tc>
              <w:tc>
                <w:tcPr>
                  <w:tcW w:w="966" w:type="pct"/>
                  <w:tcBorders>
                    <w:tl2br w:val="nil"/>
                    <w:tr2bl w:val="nil"/>
                  </w:tcBorders>
                  <w:shd w:val="clear" w:color="auto" w:fill="auto"/>
                  <w:vAlign w:val="center"/>
                </w:tcPr>
                <w:p w14:paraId="12BD975F">
                  <w:pPr>
                    <w:pStyle w:val="17"/>
                    <w:ind w:firstLine="0" w:firstLineChars="0"/>
                    <w:rPr>
                      <w:rFonts w:hint="eastAsia" w:eastAsia="宋体"/>
                      <w:lang w:val="en-US" w:eastAsia="zh-CN"/>
                    </w:rPr>
                  </w:pPr>
                  <w:r>
                    <w:rPr>
                      <w:rFonts w:hint="eastAsia" w:eastAsia="宋体"/>
                      <w:color w:val="auto"/>
                      <w:highlight w:val="none"/>
                    </w:rPr>
                    <w:t>400</w:t>
                  </w:r>
                </w:p>
              </w:tc>
              <w:tc>
                <w:tcPr>
                  <w:tcW w:w="700" w:type="pct"/>
                  <w:tcBorders>
                    <w:tl2br w:val="nil"/>
                    <w:tr2bl w:val="nil"/>
                  </w:tcBorders>
                  <w:shd w:val="clear" w:color="auto" w:fill="auto"/>
                  <w:vAlign w:val="center"/>
                </w:tcPr>
                <w:p w14:paraId="699E1D9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0.3191</w:t>
                  </w:r>
                </w:p>
              </w:tc>
              <w:tc>
                <w:tcPr>
                  <w:tcW w:w="700" w:type="pct"/>
                  <w:vMerge w:val="continue"/>
                  <w:tcBorders>
                    <w:tl2br w:val="nil"/>
                    <w:tr2bl w:val="nil"/>
                  </w:tcBorders>
                  <w:shd w:val="clear" w:color="auto" w:fill="auto"/>
                  <w:vAlign w:val="center"/>
                </w:tcPr>
                <w:p w14:paraId="7B660BD8">
                  <w:pPr>
                    <w:pStyle w:val="17"/>
                    <w:rPr>
                      <w:rFonts w:eastAsia="宋体"/>
                    </w:rPr>
                  </w:pPr>
                </w:p>
              </w:tc>
              <w:tc>
                <w:tcPr>
                  <w:tcW w:w="705" w:type="pct"/>
                  <w:vMerge w:val="continue"/>
                  <w:tcBorders>
                    <w:tl2br w:val="nil"/>
                    <w:tr2bl w:val="nil"/>
                  </w:tcBorders>
                  <w:shd w:val="clear" w:color="auto" w:fill="auto"/>
                  <w:vAlign w:val="center"/>
                </w:tcPr>
                <w:p w14:paraId="620DE4FC">
                  <w:pPr>
                    <w:pStyle w:val="17"/>
                    <w:rPr>
                      <w:rFonts w:eastAsia="宋体"/>
                    </w:rPr>
                  </w:pPr>
                </w:p>
              </w:tc>
            </w:tr>
            <w:tr w14:paraId="61DA41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7" w:type="pct"/>
                  <w:vMerge w:val="continue"/>
                  <w:tcBorders>
                    <w:tl2br w:val="nil"/>
                    <w:tr2bl w:val="nil"/>
                  </w:tcBorders>
                  <w:shd w:val="clear" w:color="auto" w:fill="auto"/>
                  <w:vAlign w:val="center"/>
                </w:tcPr>
                <w:p w14:paraId="5CA2DE3D">
                  <w:pPr>
                    <w:pStyle w:val="17"/>
                    <w:rPr>
                      <w:rFonts w:eastAsia="宋体"/>
                    </w:rPr>
                  </w:pPr>
                </w:p>
              </w:tc>
              <w:tc>
                <w:tcPr>
                  <w:tcW w:w="640" w:type="pct"/>
                  <w:vMerge w:val="continue"/>
                  <w:tcBorders>
                    <w:tl2br w:val="nil"/>
                    <w:tr2bl w:val="nil"/>
                  </w:tcBorders>
                  <w:shd w:val="clear" w:color="auto" w:fill="auto"/>
                  <w:vAlign w:val="center"/>
                </w:tcPr>
                <w:p w14:paraId="5429F68F">
                  <w:pPr>
                    <w:pStyle w:val="17"/>
                    <w:rPr>
                      <w:rFonts w:eastAsia="宋体"/>
                    </w:rPr>
                  </w:pPr>
                </w:p>
              </w:tc>
              <w:tc>
                <w:tcPr>
                  <w:tcW w:w="749" w:type="pct"/>
                  <w:tcBorders>
                    <w:tl2br w:val="nil"/>
                    <w:tr2bl w:val="nil"/>
                  </w:tcBorders>
                  <w:shd w:val="clear" w:color="auto" w:fill="auto"/>
                  <w:vAlign w:val="center"/>
                </w:tcPr>
                <w:p w14:paraId="16833285">
                  <w:pPr>
                    <w:pStyle w:val="17"/>
                    <w:ind w:firstLine="0" w:firstLineChars="0"/>
                    <w:rPr>
                      <w:rFonts w:hint="eastAsia" w:eastAsia="宋体"/>
                    </w:rPr>
                  </w:pPr>
                  <w:r>
                    <w:rPr>
                      <w:rFonts w:hint="eastAsia" w:eastAsia="宋体"/>
                      <w:color w:val="auto"/>
                      <w:highlight w:val="none"/>
                    </w:rPr>
                    <w:t>SS</w:t>
                  </w:r>
                </w:p>
              </w:tc>
              <w:tc>
                <w:tcPr>
                  <w:tcW w:w="966" w:type="pct"/>
                  <w:tcBorders>
                    <w:tl2br w:val="nil"/>
                    <w:tr2bl w:val="nil"/>
                  </w:tcBorders>
                  <w:shd w:val="clear" w:color="auto" w:fill="auto"/>
                  <w:vAlign w:val="center"/>
                </w:tcPr>
                <w:p w14:paraId="72321CEB">
                  <w:pPr>
                    <w:pStyle w:val="17"/>
                    <w:ind w:firstLine="0" w:firstLineChars="0"/>
                    <w:rPr>
                      <w:rFonts w:hint="eastAsia" w:eastAsia="宋体"/>
                      <w:lang w:val="en-US" w:eastAsia="zh-CN"/>
                    </w:rPr>
                  </w:pPr>
                  <w:r>
                    <w:rPr>
                      <w:rFonts w:hint="eastAsia" w:eastAsia="宋体"/>
                      <w:color w:val="auto"/>
                      <w:highlight w:val="none"/>
                    </w:rPr>
                    <w:t>1500</w:t>
                  </w:r>
                </w:p>
              </w:tc>
              <w:tc>
                <w:tcPr>
                  <w:tcW w:w="700" w:type="pct"/>
                  <w:tcBorders>
                    <w:tl2br w:val="nil"/>
                    <w:tr2bl w:val="nil"/>
                  </w:tcBorders>
                  <w:shd w:val="clear" w:color="auto" w:fill="auto"/>
                  <w:vAlign w:val="center"/>
                </w:tcPr>
                <w:p w14:paraId="3C9AA96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0.3191</w:t>
                  </w:r>
                </w:p>
              </w:tc>
              <w:tc>
                <w:tcPr>
                  <w:tcW w:w="700" w:type="pct"/>
                  <w:vMerge w:val="continue"/>
                  <w:tcBorders>
                    <w:tl2br w:val="nil"/>
                    <w:tr2bl w:val="nil"/>
                  </w:tcBorders>
                  <w:shd w:val="clear" w:color="auto" w:fill="auto"/>
                  <w:vAlign w:val="center"/>
                </w:tcPr>
                <w:p w14:paraId="160F9DB5">
                  <w:pPr>
                    <w:pStyle w:val="17"/>
                    <w:rPr>
                      <w:rFonts w:eastAsia="宋体"/>
                    </w:rPr>
                  </w:pPr>
                </w:p>
              </w:tc>
              <w:tc>
                <w:tcPr>
                  <w:tcW w:w="705" w:type="pct"/>
                  <w:vMerge w:val="continue"/>
                  <w:tcBorders>
                    <w:tl2br w:val="nil"/>
                    <w:tr2bl w:val="nil"/>
                  </w:tcBorders>
                  <w:shd w:val="clear" w:color="auto" w:fill="auto"/>
                  <w:vAlign w:val="center"/>
                </w:tcPr>
                <w:p w14:paraId="04BE73C9">
                  <w:pPr>
                    <w:pStyle w:val="17"/>
                    <w:rPr>
                      <w:rFonts w:eastAsia="宋体"/>
                    </w:rPr>
                  </w:pPr>
                </w:p>
              </w:tc>
            </w:tr>
            <w:tr w14:paraId="10BDE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7" w:type="pct"/>
                  <w:vMerge w:val="continue"/>
                  <w:tcBorders>
                    <w:tl2br w:val="nil"/>
                    <w:tr2bl w:val="nil"/>
                  </w:tcBorders>
                  <w:shd w:val="clear" w:color="auto" w:fill="auto"/>
                  <w:vAlign w:val="center"/>
                </w:tcPr>
                <w:p w14:paraId="0B167210">
                  <w:pPr>
                    <w:pStyle w:val="17"/>
                    <w:rPr>
                      <w:rFonts w:eastAsia="宋体"/>
                    </w:rPr>
                  </w:pPr>
                </w:p>
              </w:tc>
              <w:tc>
                <w:tcPr>
                  <w:tcW w:w="640" w:type="pct"/>
                  <w:vMerge w:val="continue"/>
                  <w:tcBorders>
                    <w:tl2br w:val="nil"/>
                    <w:tr2bl w:val="nil"/>
                  </w:tcBorders>
                  <w:shd w:val="clear" w:color="auto" w:fill="auto"/>
                  <w:vAlign w:val="center"/>
                </w:tcPr>
                <w:p w14:paraId="294F7228">
                  <w:pPr>
                    <w:pStyle w:val="17"/>
                    <w:rPr>
                      <w:rFonts w:eastAsia="宋体"/>
                    </w:rPr>
                  </w:pPr>
                </w:p>
              </w:tc>
              <w:tc>
                <w:tcPr>
                  <w:tcW w:w="749" w:type="pct"/>
                  <w:tcBorders>
                    <w:tl2br w:val="nil"/>
                    <w:tr2bl w:val="nil"/>
                  </w:tcBorders>
                  <w:shd w:val="clear" w:color="auto" w:fill="auto"/>
                  <w:vAlign w:val="center"/>
                </w:tcPr>
                <w:p w14:paraId="071D2BA1">
                  <w:pPr>
                    <w:pStyle w:val="17"/>
                    <w:ind w:firstLine="0" w:firstLineChars="0"/>
                    <w:rPr>
                      <w:rFonts w:hint="eastAsia" w:eastAsia="宋体"/>
                    </w:rPr>
                  </w:pPr>
                  <w:r>
                    <w:rPr>
                      <w:rFonts w:hint="eastAsia" w:eastAsia="宋体"/>
                      <w:color w:val="auto"/>
                      <w:highlight w:val="none"/>
                    </w:rPr>
                    <w:t>石油类</w:t>
                  </w:r>
                </w:p>
              </w:tc>
              <w:tc>
                <w:tcPr>
                  <w:tcW w:w="966" w:type="pct"/>
                  <w:tcBorders>
                    <w:tl2br w:val="nil"/>
                    <w:tr2bl w:val="nil"/>
                  </w:tcBorders>
                  <w:shd w:val="clear" w:color="auto" w:fill="auto"/>
                  <w:vAlign w:val="center"/>
                </w:tcPr>
                <w:p w14:paraId="37C1A3C8">
                  <w:pPr>
                    <w:pStyle w:val="17"/>
                    <w:ind w:firstLine="0" w:firstLineChars="0"/>
                    <w:rPr>
                      <w:rFonts w:hint="eastAsia" w:eastAsia="宋体"/>
                      <w:lang w:val="en-US" w:eastAsia="zh-CN"/>
                    </w:rPr>
                  </w:pPr>
                  <w:r>
                    <w:rPr>
                      <w:rFonts w:hint="eastAsia" w:eastAsia="宋体"/>
                      <w:color w:val="auto"/>
                      <w:highlight w:val="none"/>
                    </w:rPr>
                    <w:t>20</w:t>
                  </w:r>
                </w:p>
              </w:tc>
              <w:tc>
                <w:tcPr>
                  <w:tcW w:w="700" w:type="pct"/>
                  <w:tcBorders>
                    <w:tl2br w:val="nil"/>
                    <w:tr2bl w:val="nil"/>
                  </w:tcBorders>
                  <w:shd w:val="clear" w:color="auto" w:fill="auto"/>
                  <w:vAlign w:val="center"/>
                </w:tcPr>
                <w:p w14:paraId="4E64877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0.0013</w:t>
                  </w:r>
                </w:p>
              </w:tc>
              <w:tc>
                <w:tcPr>
                  <w:tcW w:w="700" w:type="pct"/>
                  <w:vMerge w:val="continue"/>
                  <w:tcBorders>
                    <w:tl2br w:val="nil"/>
                    <w:tr2bl w:val="nil"/>
                  </w:tcBorders>
                  <w:shd w:val="clear" w:color="auto" w:fill="auto"/>
                  <w:vAlign w:val="center"/>
                </w:tcPr>
                <w:p w14:paraId="0D5778BE">
                  <w:pPr>
                    <w:pStyle w:val="17"/>
                    <w:rPr>
                      <w:rFonts w:eastAsia="宋体"/>
                    </w:rPr>
                  </w:pPr>
                </w:p>
              </w:tc>
              <w:tc>
                <w:tcPr>
                  <w:tcW w:w="705" w:type="pct"/>
                  <w:vMerge w:val="continue"/>
                  <w:tcBorders>
                    <w:tl2br w:val="nil"/>
                    <w:tr2bl w:val="nil"/>
                  </w:tcBorders>
                  <w:shd w:val="clear" w:color="auto" w:fill="auto"/>
                  <w:vAlign w:val="center"/>
                </w:tcPr>
                <w:p w14:paraId="6530C156">
                  <w:pPr>
                    <w:pStyle w:val="17"/>
                    <w:rPr>
                      <w:rFonts w:eastAsia="宋体"/>
                    </w:rPr>
                  </w:pPr>
                </w:p>
              </w:tc>
            </w:tr>
            <w:tr w14:paraId="097930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7" w:type="pct"/>
                  <w:vMerge w:val="restart"/>
                  <w:tcBorders>
                    <w:tl2br w:val="nil"/>
                    <w:tr2bl w:val="nil"/>
                  </w:tcBorders>
                  <w:shd w:val="clear" w:color="auto" w:fill="auto"/>
                  <w:vAlign w:val="center"/>
                </w:tcPr>
                <w:p w14:paraId="6BC0C95B">
                  <w:pPr>
                    <w:pStyle w:val="17"/>
                    <w:ind w:firstLine="0" w:firstLineChars="0"/>
                    <w:rPr>
                      <w:rFonts w:eastAsia="宋体"/>
                    </w:rPr>
                  </w:pPr>
                  <w:r>
                    <w:rPr>
                      <w:rFonts w:hint="eastAsia" w:eastAsia="宋体"/>
                      <w:color w:val="auto"/>
                      <w:highlight w:val="none"/>
                    </w:rPr>
                    <w:t>压裂废水</w:t>
                  </w:r>
                </w:p>
              </w:tc>
              <w:tc>
                <w:tcPr>
                  <w:tcW w:w="640" w:type="pct"/>
                  <w:vMerge w:val="restart"/>
                  <w:tcBorders>
                    <w:tl2br w:val="nil"/>
                    <w:tr2bl w:val="nil"/>
                  </w:tcBorders>
                  <w:shd w:val="clear" w:color="auto" w:fill="auto"/>
                  <w:vAlign w:val="center"/>
                </w:tcPr>
                <w:p w14:paraId="6901F62B">
                  <w:pPr>
                    <w:pStyle w:val="17"/>
                    <w:rPr>
                      <w:rFonts w:hint="default" w:eastAsia="宋体"/>
                      <w:lang w:val="en-US" w:eastAsia="zh-CN"/>
                    </w:rPr>
                  </w:pPr>
                  <w:r>
                    <w:rPr>
                      <w:rFonts w:hint="eastAsia" w:eastAsia="宋体"/>
                      <w:lang w:val="en-US" w:eastAsia="zh-CN"/>
                    </w:rPr>
                    <w:t>95.73</w:t>
                  </w:r>
                </w:p>
              </w:tc>
              <w:tc>
                <w:tcPr>
                  <w:tcW w:w="749" w:type="pct"/>
                  <w:tcBorders>
                    <w:tl2br w:val="nil"/>
                    <w:tr2bl w:val="nil"/>
                  </w:tcBorders>
                  <w:shd w:val="clear" w:color="auto" w:fill="auto"/>
                  <w:vAlign w:val="center"/>
                </w:tcPr>
                <w:p w14:paraId="793F7556">
                  <w:pPr>
                    <w:pStyle w:val="17"/>
                    <w:ind w:firstLine="0" w:firstLineChars="0"/>
                    <w:rPr>
                      <w:rFonts w:hint="eastAsia" w:eastAsia="宋体"/>
                    </w:rPr>
                  </w:pPr>
                  <w:r>
                    <w:rPr>
                      <w:rFonts w:hint="eastAsia" w:eastAsia="宋体"/>
                      <w:color w:val="auto"/>
                      <w:highlight w:val="none"/>
                    </w:rPr>
                    <w:t>COD</w:t>
                  </w:r>
                </w:p>
              </w:tc>
              <w:tc>
                <w:tcPr>
                  <w:tcW w:w="966" w:type="pct"/>
                  <w:tcBorders>
                    <w:tl2br w:val="nil"/>
                    <w:tr2bl w:val="nil"/>
                  </w:tcBorders>
                  <w:shd w:val="clear" w:color="auto" w:fill="auto"/>
                  <w:vAlign w:val="center"/>
                </w:tcPr>
                <w:p w14:paraId="78911D34">
                  <w:pPr>
                    <w:pStyle w:val="17"/>
                    <w:ind w:firstLine="0" w:firstLineChars="0"/>
                    <w:rPr>
                      <w:rFonts w:hint="eastAsia" w:eastAsia="宋体"/>
                      <w:lang w:val="en-US" w:eastAsia="zh-CN"/>
                    </w:rPr>
                  </w:pPr>
                  <w:r>
                    <w:rPr>
                      <w:rFonts w:hint="eastAsia" w:eastAsia="宋体"/>
                      <w:color w:val="auto"/>
                      <w:highlight w:val="none"/>
                    </w:rPr>
                    <w:t>3000</w:t>
                  </w:r>
                </w:p>
              </w:tc>
              <w:tc>
                <w:tcPr>
                  <w:tcW w:w="700" w:type="pct"/>
                  <w:tcBorders>
                    <w:tl2br w:val="nil"/>
                    <w:tr2bl w:val="nil"/>
                  </w:tcBorders>
                  <w:shd w:val="clear" w:color="auto" w:fill="auto"/>
                  <w:vAlign w:val="center"/>
                </w:tcPr>
                <w:p w14:paraId="17E7EB3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0.2872</w:t>
                  </w:r>
                </w:p>
              </w:tc>
              <w:tc>
                <w:tcPr>
                  <w:tcW w:w="700" w:type="pct"/>
                  <w:vMerge w:val="continue"/>
                  <w:tcBorders>
                    <w:tl2br w:val="nil"/>
                    <w:tr2bl w:val="nil"/>
                  </w:tcBorders>
                  <w:shd w:val="clear" w:color="auto" w:fill="auto"/>
                  <w:vAlign w:val="center"/>
                </w:tcPr>
                <w:p w14:paraId="3F599194">
                  <w:pPr>
                    <w:pStyle w:val="17"/>
                    <w:rPr>
                      <w:rFonts w:eastAsia="宋体"/>
                    </w:rPr>
                  </w:pPr>
                </w:p>
              </w:tc>
              <w:tc>
                <w:tcPr>
                  <w:tcW w:w="705" w:type="pct"/>
                  <w:vMerge w:val="continue"/>
                  <w:tcBorders>
                    <w:tl2br w:val="nil"/>
                    <w:tr2bl w:val="nil"/>
                  </w:tcBorders>
                  <w:shd w:val="clear" w:color="auto" w:fill="auto"/>
                  <w:vAlign w:val="center"/>
                </w:tcPr>
                <w:p w14:paraId="26A75C27">
                  <w:pPr>
                    <w:pStyle w:val="17"/>
                    <w:rPr>
                      <w:rFonts w:eastAsia="宋体"/>
                    </w:rPr>
                  </w:pPr>
                </w:p>
              </w:tc>
            </w:tr>
            <w:tr w14:paraId="2B28DD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7" w:type="pct"/>
                  <w:vMerge w:val="continue"/>
                  <w:tcBorders>
                    <w:tl2br w:val="nil"/>
                    <w:tr2bl w:val="nil"/>
                  </w:tcBorders>
                  <w:shd w:val="clear" w:color="auto" w:fill="auto"/>
                  <w:vAlign w:val="center"/>
                </w:tcPr>
                <w:p w14:paraId="19966AA1">
                  <w:pPr>
                    <w:pStyle w:val="17"/>
                    <w:rPr>
                      <w:rFonts w:eastAsia="宋体"/>
                    </w:rPr>
                  </w:pPr>
                </w:p>
              </w:tc>
              <w:tc>
                <w:tcPr>
                  <w:tcW w:w="640" w:type="pct"/>
                  <w:vMerge w:val="continue"/>
                  <w:tcBorders>
                    <w:tl2br w:val="nil"/>
                    <w:tr2bl w:val="nil"/>
                  </w:tcBorders>
                  <w:shd w:val="clear" w:color="auto" w:fill="auto"/>
                  <w:vAlign w:val="center"/>
                </w:tcPr>
                <w:p w14:paraId="14103088">
                  <w:pPr>
                    <w:pStyle w:val="17"/>
                    <w:rPr>
                      <w:rFonts w:eastAsia="宋体"/>
                    </w:rPr>
                  </w:pPr>
                </w:p>
              </w:tc>
              <w:tc>
                <w:tcPr>
                  <w:tcW w:w="749" w:type="pct"/>
                  <w:tcBorders>
                    <w:tl2br w:val="nil"/>
                    <w:tr2bl w:val="nil"/>
                  </w:tcBorders>
                  <w:shd w:val="clear" w:color="auto" w:fill="auto"/>
                  <w:vAlign w:val="center"/>
                </w:tcPr>
                <w:p w14:paraId="3C32AE0C">
                  <w:pPr>
                    <w:pStyle w:val="17"/>
                    <w:ind w:firstLine="0" w:firstLineChars="0"/>
                    <w:rPr>
                      <w:rFonts w:hint="eastAsia" w:eastAsia="宋体"/>
                    </w:rPr>
                  </w:pPr>
                  <w:r>
                    <w:rPr>
                      <w:rFonts w:hint="eastAsia" w:eastAsia="宋体"/>
                      <w:color w:val="auto"/>
                      <w:highlight w:val="none"/>
                    </w:rPr>
                    <w:t>SS</w:t>
                  </w:r>
                </w:p>
              </w:tc>
              <w:tc>
                <w:tcPr>
                  <w:tcW w:w="966" w:type="pct"/>
                  <w:tcBorders>
                    <w:tl2br w:val="nil"/>
                    <w:tr2bl w:val="nil"/>
                  </w:tcBorders>
                  <w:shd w:val="clear" w:color="auto" w:fill="auto"/>
                  <w:vAlign w:val="center"/>
                </w:tcPr>
                <w:p w14:paraId="1796DD27">
                  <w:pPr>
                    <w:pStyle w:val="17"/>
                    <w:ind w:firstLine="0" w:firstLineChars="0"/>
                    <w:rPr>
                      <w:rFonts w:hint="eastAsia" w:eastAsia="宋体"/>
                      <w:lang w:val="en-US" w:eastAsia="zh-CN"/>
                    </w:rPr>
                  </w:pPr>
                  <w:r>
                    <w:rPr>
                      <w:rFonts w:hint="eastAsia" w:eastAsia="宋体"/>
                      <w:color w:val="auto"/>
                      <w:highlight w:val="none"/>
                    </w:rPr>
                    <w:t>300</w:t>
                  </w:r>
                </w:p>
              </w:tc>
              <w:tc>
                <w:tcPr>
                  <w:tcW w:w="700" w:type="pct"/>
                  <w:tcBorders>
                    <w:tl2br w:val="nil"/>
                    <w:tr2bl w:val="nil"/>
                  </w:tcBorders>
                  <w:shd w:val="clear" w:color="auto" w:fill="auto"/>
                  <w:vAlign w:val="center"/>
                </w:tcPr>
                <w:p w14:paraId="393BBBA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0.0287</w:t>
                  </w:r>
                </w:p>
              </w:tc>
              <w:tc>
                <w:tcPr>
                  <w:tcW w:w="700" w:type="pct"/>
                  <w:vMerge w:val="continue"/>
                  <w:tcBorders>
                    <w:tl2br w:val="nil"/>
                    <w:tr2bl w:val="nil"/>
                  </w:tcBorders>
                  <w:shd w:val="clear" w:color="auto" w:fill="auto"/>
                  <w:vAlign w:val="center"/>
                </w:tcPr>
                <w:p w14:paraId="01DCA1BC">
                  <w:pPr>
                    <w:pStyle w:val="17"/>
                    <w:rPr>
                      <w:rFonts w:eastAsia="宋体"/>
                    </w:rPr>
                  </w:pPr>
                </w:p>
              </w:tc>
              <w:tc>
                <w:tcPr>
                  <w:tcW w:w="705" w:type="pct"/>
                  <w:vMerge w:val="continue"/>
                  <w:tcBorders>
                    <w:tl2br w:val="nil"/>
                    <w:tr2bl w:val="nil"/>
                  </w:tcBorders>
                  <w:shd w:val="clear" w:color="auto" w:fill="auto"/>
                  <w:vAlign w:val="center"/>
                </w:tcPr>
                <w:p w14:paraId="76F01BB2">
                  <w:pPr>
                    <w:pStyle w:val="17"/>
                    <w:rPr>
                      <w:rFonts w:eastAsia="宋体"/>
                    </w:rPr>
                  </w:pPr>
                </w:p>
              </w:tc>
            </w:tr>
            <w:tr w14:paraId="15F16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7" w:type="pct"/>
                  <w:vMerge w:val="continue"/>
                  <w:tcBorders>
                    <w:tl2br w:val="nil"/>
                    <w:tr2bl w:val="nil"/>
                  </w:tcBorders>
                  <w:shd w:val="clear" w:color="auto" w:fill="auto"/>
                  <w:vAlign w:val="center"/>
                </w:tcPr>
                <w:p w14:paraId="589565FA">
                  <w:pPr>
                    <w:pStyle w:val="17"/>
                    <w:rPr>
                      <w:rFonts w:eastAsia="宋体"/>
                    </w:rPr>
                  </w:pPr>
                </w:p>
              </w:tc>
              <w:tc>
                <w:tcPr>
                  <w:tcW w:w="640" w:type="pct"/>
                  <w:vMerge w:val="continue"/>
                  <w:tcBorders>
                    <w:tl2br w:val="nil"/>
                    <w:tr2bl w:val="nil"/>
                  </w:tcBorders>
                  <w:shd w:val="clear" w:color="auto" w:fill="auto"/>
                  <w:vAlign w:val="center"/>
                </w:tcPr>
                <w:p w14:paraId="42126559">
                  <w:pPr>
                    <w:pStyle w:val="17"/>
                    <w:rPr>
                      <w:rFonts w:eastAsia="宋体"/>
                    </w:rPr>
                  </w:pPr>
                </w:p>
              </w:tc>
              <w:tc>
                <w:tcPr>
                  <w:tcW w:w="749" w:type="pct"/>
                  <w:tcBorders>
                    <w:tl2br w:val="nil"/>
                    <w:tr2bl w:val="nil"/>
                  </w:tcBorders>
                  <w:shd w:val="clear" w:color="auto" w:fill="auto"/>
                  <w:vAlign w:val="center"/>
                </w:tcPr>
                <w:p w14:paraId="331E071E">
                  <w:pPr>
                    <w:pStyle w:val="17"/>
                    <w:ind w:firstLine="0" w:firstLineChars="0"/>
                    <w:rPr>
                      <w:rFonts w:hint="eastAsia" w:eastAsia="宋体"/>
                    </w:rPr>
                  </w:pPr>
                  <w:r>
                    <w:rPr>
                      <w:rFonts w:hint="eastAsia" w:eastAsia="宋体"/>
                      <w:color w:val="auto"/>
                      <w:highlight w:val="none"/>
                    </w:rPr>
                    <w:t>石油类</w:t>
                  </w:r>
                </w:p>
              </w:tc>
              <w:tc>
                <w:tcPr>
                  <w:tcW w:w="966" w:type="pct"/>
                  <w:tcBorders>
                    <w:tl2br w:val="nil"/>
                    <w:tr2bl w:val="nil"/>
                  </w:tcBorders>
                  <w:shd w:val="clear" w:color="auto" w:fill="auto"/>
                  <w:vAlign w:val="center"/>
                </w:tcPr>
                <w:p w14:paraId="50308510">
                  <w:pPr>
                    <w:pStyle w:val="17"/>
                    <w:ind w:firstLine="0" w:firstLineChars="0"/>
                    <w:rPr>
                      <w:rFonts w:hint="eastAsia" w:eastAsia="宋体"/>
                      <w:lang w:val="en-US" w:eastAsia="zh-CN"/>
                    </w:rPr>
                  </w:pPr>
                  <w:r>
                    <w:rPr>
                      <w:rFonts w:hint="eastAsia" w:eastAsia="宋体"/>
                      <w:color w:val="auto"/>
                      <w:highlight w:val="none"/>
                    </w:rPr>
                    <w:t>50</w:t>
                  </w:r>
                </w:p>
              </w:tc>
              <w:tc>
                <w:tcPr>
                  <w:tcW w:w="700" w:type="pct"/>
                  <w:tcBorders>
                    <w:tl2br w:val="nil"/>
                    <w:tr2bl w:val="nil"/>
                  </w:tcBorders>
                  <w:shd w:val="clear" w:color="auto" w:fill="auto"/>
                  <w:vAlign w:val="center"/>
                </w:tcPr>
                <w:p w14:paraId="45907A3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0.0048</w:t>
                  </w:r>
                </w:p>
              </w:tc>
              <w:tc>
                <w:tcPr>
                  <w:tcW w:w="700" w:type="pct"/>
                  <w:vMerge w:val="continue"/>
                  <w:tcBorders>
                    <w:tl2br w:val="nil"/>
                    <w:tr2bl w:val="nil"/>
                  </w:tcBorders>
                  <w:shd w:val="clear" w:color="auto" w:fill="auto"/>
                  <w:vAlign w:val="center"/>
                </w:tcPr>
                <w:p w14:paraId="2A2D79DC">
                  <w:pPr>
                    <w:pStyle w:val="17"/>
                    <w:rPr>
                      <w:rFonts w:eastAsia="宋体"/>
                    </w:rPr>
                  </w:pPr>
                </w:p>
              </w:tc>
              <w:tc>
                <w:tcPr>
                  <w:tcW w:w="705" w:type="pct"/>
                  <w:vMerge w:val="continue"/>
                  <w:tcBorders>
                    <w:tl2br w:val="nil"/>
                    <w:tr2bl w:val="nil"/>
                  </w:tcBorders>
                  <w:shd w:val="clear" w:color="auto" w:fill="auto"/>
                  <w:vAlign w:val="center"/>
                </w:tcPr>
                <w:p w14:paraId="5D293075">
                  <w:pPr>
                    <w:pStyle w:val="17"/>
                    <w:rPr>
                      <w:rFonts w:eastAsia="宋体"/>
                    </w:rPr>
                  </w:pPr>
                </w:p>
              </w:tc>
            </w:tr>
            <w:tr w14:paraId="7F57F5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7" w:type="pct"/>
                  <w:tcBorders>
                    <w:tl2br w:val="nil"/>
                    <w:tr2bl w:val="nil"/>
                  </w:tcBorders>
                  <w:shd w:val="clear" w:color="auto" w:fill="auto"/>
                  <w:vAlign w:val="center"/>
                </w:tcPr>
                <w:p w14:paraId="53F86CC6">
                  <w:pPr>
                    <w:pStyle w:val="17"/>
                    <w:ind w:firstLine="0" w:firstLineChars="0"/>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初期雨水</w:t>
                  </w:r>
                </w:p>
              </w:tc>
              <w:tc>
                <w:tcPr>
                  <w:tcW w:w="640" w:type="pct"/>
                  <w:tcBorders>
                    <w:tl2br w:val="nil"/>
                    <w:tr2bl w:val="nil"/>
                  </w:tcBorders>
                  <w:shd w:val="clear" w:color="auto" w:fill="auto"/>
                  <w:vAlign w:val="center"/>
                </w:tcPr>
                <w:p w14:paraId="7EBE4A36">
                  <w:pPr>
                    <w:pStyle w:val="17"/>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27.01</w:t>
                  </w:r>
                </w:p>
              </w:tc>
              <w:tc>
                <w:tcPr>
                  <w:tcW w:w="749" w:type="pct"/>
                  <w:tcBorders>
                    <w:tl2br w:val="nil"/>
                    <w:tr2bl w:val="nil"/>
                  </w:tcBorders>
                  <w:shd w:val="clear" w:color="auto" w:fill="auto"/>
                  <w:vAlign w:val="center"/>
                </w:tcPr>
                <w:p w14:paraId="378959DB">
                  <w:pPr>
                    <w:pStyle w:val="17"/>
                    <w:ind w:firstLine="0" w:firstLineChars="0"/>
                    <w:rPr>
                      <w:rFonts w:hint="eastAsia" w:eastAsia="宋体"/>
                      <w:color w:val="000000" w:themeColor="text1"/>
                      <w14:textFill>
                        <w14:solidFill>
                          <w14:schemeClr w14:val="tx1"/>
                        </w14:solidFill>
                      </w14:textFill>
                    </w:rPr>
                  </w:pPr>
                  <w:r>
                    <w:rPr>
                      <w:rFonts w:hint="eastAsia" w:eastAsia="宋体"/>
                      <w:color w:val="000000" w:themeColor="text1"/>
                      <w:highlight w:val="none"/>
                      <w14:textFill>
                        <w14:solidFill>
                          <w14:schemeClr w14:val="tx1"/>
                        </w14:solidFill>
                      </w14:textFill>
                    </w:rPr>
                    <w:t>SS</w:t>
                  </w:r>
                </w:p>
              </w:tc>
              <w:tc>
                <w:tcPr>
                  <w:tcW w:w="966" w:type="pct"/>
                  <w:tcBorders>
                    <w:tl2br w:val="nil"/>
                    <w:tr2bl w:val="nil"/>
                  </w:tcBorders>
                  <w:shd w:val="clear" w:color="auto" w:fill="auto"/>
                  <w:vAlign w:val="center"/>
                </w:tcPr>
                <w:p w14:paraId="22CB46C6">
                  <w:pPr>
                    <w:pStyle w:val="17"/>
                    <w:ind w:firstLine="0" w:firstLineChars="0"/>
                    <w:rPr>
                      <w:rFonts w:hint="eastAsia" w:eastAsia="宋体"/>
                      <w:color w:val="000000" w:themeColor="text1"/>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4</w:t>
                  </w:r>
                  <w:r>
                    <w:rPr>
                      <w:rFonts w:hint="eastAsia" w:eastAsia="宋体"/>
                      <w:color w:val="000000" w:themeColor="text1"/>
                      <w:highlight w:val="none"/>
                      <w14:textFill>
                        <w14:solidFill>
                          <w14:schemeClr w14:val="tx1"/>
                        </w14:solidFill>
                      </w14:textFill>
                    </w:rPr>
                    <w:t>00</w:t>
                  </w:r>
                </w:p>
              </w:tc>
              <w:tc>
                <w:tcPr>
                  <w:tcW w:w="700" w:type="pct"/>
                  <w:tcBorders>
                    <w:tl2br w:val="nil"/>
                    <w:tr2bl w:val="nil"/>
                  </w:tcBorders>
                  <w:shd w:val="clear" w:color="auto" w:fill="auto"/>
                  <w:vAlign w:val="center"/>
                </w:tcPr>
                <w:p w14:paraId="7CA448D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0.01</w:t>
                  </w:r>
                  <w:r>
                    <w:rPr>
                      <w:rFonts w:hint="eastAsia" w:cs="Times New Roman"/>
                      <w:color w:val="auto"/>
                      <w:kern w:val="0"/>
                      <w:sz w:val="21"/>
                      <w:szCs w:val="21"/>
                      <w:highlight w:val="none"/>
                      <w:lang w:val="en-US" w:eastAsia="zh-CN" w:bidi="ar-SA"/>
                    </w:rPr>
                    <w:t>08</w:t>
                  </w:r>
                </w:p>
              </w:tc>
              <w:tc>
                <w:tcPr>
                  <w:tcW w:w="700" w:type="pct"/>
                  <w:vMerge w:val="continue"/>
                  <w:tcBorders>
                    <w:tl2br w:val="nil"/>
                    <w:tr2bl w:val="nil"/>
                  </w:tcBorders>
                  <w:shd w:val="clear" w:color="auto" w:fill="auto"/>
                  <w:vAlign w:val="center"/>
                </w:tcPr>
                <w:p w14:paraId="7D115AF5">
                  <w:pPr>
                    <w:pStyle w:val="17"/>
                    <w:ind w:firstLine="0" w:firstLineChars="0"/>
                    <w:rPr>
                      <w:rFonts w:hint="eastAsia" w:eastAsia="宋体"/>
                      <w:color w:val="auto"/>
                    </w:rPr>
                  </w:pPr>
                </w:p>
              </w:tc>
              <w:tc>
                <w:tcPr>
                  <w:tcW w:w="705" w:type="pct"/>
                  <w:vMerge w:val="continue"/>
                  <w:tcBorders>
                    <w:tl2br w:val="nil"/>
                    <w:tr2bl w:val="nil"/>
                  </w:tcBorders>
                  <w:shd w:val="clear" w:color="auto" w:fill="auto"/>
                  <w:vAlign w:val="center"/>
                </w:tcPr>
                <w:p w14:paraId="5432E030">
                  <w:pPr>
                    <w:pStyle w:val="17"/>
                    <w:ind w:firstLine="0" w:firstLineChars="0"/>
                    <w:rPr>
                      <w:rFonts w:hint="eastAsia" w:eastAsia="宋体"/>
                      <w:color w:val="auto"/>
                      <w:lang w:val="en-US" w:eastAsia="zh-CN"/>
                    </w:rPr>
                  </w:pPr>
                </w:p>
              </w:tc>
            </w:tr>
            <w:tr w14:paraId="366B50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7" w:type="pct"/>
                  <w:vMerge w:val="restart"/>
                  <w:tcBorders>
                    <w:tl2br w:val="nil"/>
                    <w:tr2bl w:val="nil"/>
                  </w:tcBorders>
                  <w:shd w:val="clear" w:color="auto" w:fill="auto"/>
                  <w:vAlign w:val="center"/>
                </w:tcPr>
                <w:p w14:paraId="162B6D3D">
                  <w:pPr>
                    <w:pStyle w:val="17"/>
                    <w:ind w:firstLine="0" w:firstLineChars="0"/>
                    <w:rPr>
                      <w:rFonts w:eastAsia="宋体"/>
                    </w:rPr>
                  </w:pPr>
                  <w:r>
                    <w:rPr>
                      <w:rFonts w:hint="eastAsia" w:eastAsia="宋体"/>
                    </w:rPr>
                    <w:t>生活污水</w:t>
                  </w:r>
                </w:p>
              </w:tc>
              <w:tc>
                <w:tcPr>
                  <w:tcW w:w="640" w:type="pct"/>
                  <w:vMerge w:val="restart"/>
                  <w:tcBorders>
                    <w:tl2br w:val="nil"/>
                    <w:tr2bl w:val="nil"/>
                  </w:tcBorders>
                  <w:shd w:val="clear" w:color="auto" w:fill="auto"/>
                  <w:vAlign w:val="center"/>
                </w:tcPr>
                <w:p w14:paraId="34C20845">
                  <w:pPr>
                    <w:pStyle w:val="17"/>
                    <w:rPr>
                      <w:rFonts w:hint="default" w:eastAsia="宋体"/>
                      <w:lang w:val="en-US" w:eastAsia="zh-CN"/>
                    </w:rPr>
                  </w:pPr>
                  <w:r>
                    <w:rPr>
                      <w:rFonts w:hint="eastAsia" w:eastAsia="宋体"/>
                      <w:lang w:val="en-US" w:eastAsia="zh-CN"/>
                    </w:rPr>
                    <w:t>128.5</w:t>
                  </w:r>
                </w:p>
              </w:tc>
              <w:tc>
                <w:tcPr>
                  <w:tcW w:w="749" w:type="pct"/>
                  <w:tcBorders>
                    <w:tl2br w:val="nil"/>
                    <w:tr2bl w:val="nil"/>
                  </w:tcBorders>
                  <w:shd w:val="clear" w:color="auto" w:fill="auto"/>
                  <w:vAlign w:val="center"/>
                </w:tcPr>
                <w:p w14:paraId="172A139D">
                  <w:pPr>
                    <w:pStyle w:val="17"/>
                    <w:ind w:firstLine="0" w:firstLineChars="0"/>
                    <w:rPr>
                      <w:rFonts w:hint="eastAsia" w:eastAsia="宋体"/>
                    </w:rPr>
                  </w:pPr>
                  <w:r>
                    <w:rPr>
                      <w:rFonts w:hint="eastAsia" w:eastAsia="宋体"/>
                    </w:rPr>
                    <w:t>COD</w:t>
                  </w:r>
                </w:p>
              </w:tc>
              <w:tc>
                <w:tcPr>
                  <w:tcW w:w="966" w:type="pct"/>
                  <w:tcBorders>
                    <w:tl2br w:val="nil"/>
                    <w:tr2bl w:val="nil"/>
                  </w:tcBorders>
                  <w:shd w:val="clear" w:color="auto" w:fill="auto"/>
                  <w:vAlign w:val="center"/>
                </w:tcPr>
                <w:p w14:paraId="60115D94">
                  <w:pPr>
                    <w:pStyle w:val="17"/>
                    <w:ind w:firstLine="0" w:firstLineChars="0"/>
                    <w:rPr>
                      <w:rFonts w:hint="eastAsia" w:eastAsia="宋体"/>
                      <w:lang w:val="en-US" w:eastAsia="zh-CN"/>
                    </w:rPr>
                  </w:pPr>
                  <w:r>
                    <w:rPr>
                      <w:rFonts w:hint="eastAsia" w:eastAsia="宋体"/>
                      <w:lang w:val="en-US" w:eastAsia="zh-CN"/>
                    </w:rPr>
                    <w:t>340</w:t>
                  </w:r>
                </w:p>
              </w:tc>
              <w:tc>
                <w:tcPr>
                  <w:tcW w:w="700" w:type="pct"/>
                  <w:tcBorders>
                    <w:tl2br w:val="nil"/>
                    <w:tr2bl w:val="nil"/>
                  </w:tcBorders>
                  <w:shd w:val="clear" w:color="auto" w:fill="auto"/>
                  <w:vAlign w:val="center"/>
                </w:tcPr>
                <w:p w14:paraId="3BC5D9A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0.0437</w:t>
                  </w:r>
                </w:p>
              </w:tc>
              <w:tc>
                <w:tcPr>
                  <w:tcW w:w="700" w:type="pct"/>
                  <w:vMerge w:val="restart"/>
                  <w:tcBorders>
                    <w:tl2br w:val="nil"/>
                    <w:tr2bl w:val="nil"/>
                  </w:tcBorders>
                  <w:shd w:val="clear" w:color="auto" w:fill="auto"/>
                  <w:vAlign w:val="center"/>
                </w:tcPr>
                <w:p w14:paraId="6600BDB4">
                  <w:pPr>
                    <w:pStyle w:val="17"/>
                    <w:ind w:firstLine="0" w:firstLineChars="0"/>
                    <w:rPr>
                      <w:rFonts w:eastAsia="宋体"/>
                    </w:rPr>
                  </w:pPr>
                  <w:r>
                    <w:rPr>
                      <w:rFonts w:hint="eastAsia" w:eastAsia="宋体"/>
                      <w:color w:val="auto"/>
                    </w:rPr>
                    <w:t>钻井队便携式公共厕所</w:t>
                  </w:r>
                </w:p>
              </w:tc>
              <w:tc>
                <w:tcPr>
                  <w:tcW w:w="705" w:type="pct"/>
                  <w:vMerge w:val="restart"/>
                  <w:tcBorders>
                    <w:tl2br w:val="nil"/>
                    <w:tr2bl w:val="nil"/>
                  </w:tcBorders>
                  <w:shd w:val="clear" w:color="auto" w:fill="auto"/>
                  <w:vAlign w:val="center"/>
                </w:tcPr>
                <w:p w14:paraId="1B884380">
                  <w:pPr>
                    <w:pStyle w:val="17"/>
                    <w:ind w:firstLine="0" w:firstLineChars="0"/>
                    <w:rPr>
                      <w:rFonts w:eastAsia="宋体"/>
                    </w:rPr>
                  </w:pPr>
                  <w:r>
                    <w:rPr>
                      <w:rFonts w:hint="eastAsia" w:eastAsia="宋体"/>
                      <w:color w:val="auto"/>
                      <w:lang w:val="en-US" w:eastAsia="zh-CN"/>
                    </w:rPr>
                    <w:t>处理后循环使用不外排</w:t>
                  </w:r>
                </w:p>
              </w:tc>
            </w:tr>
            <w:tr w14:paraId="6DB87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7" w:type="pct"/>
                  <w:vMerge w:val="continue"/>
                  <w:tcBorders>
                    <w:tl2br w:val="nil"/>
                    <w:tr2bl w:val="nil"/>
                  </w:tcBorders>
                  <w:shd w:val="clear" w:color="auto" w:fill="auto"/>
                  <w:vAlign w:val="center"/>
                </w:tcPr>
                <w:p w14:paraId="582B3B14">
                  <w:pPr>
                    <w:pStyle w:val="17"/>
                    <w:rPr>
                      <w:rFonts w:eastAsia="宋体"/>
                    </w:rPr>
                  </w:pPr>
                </w:p>
              </w:tc>
              <w:tc>
                <w:tcPr>
                  <w:tcW w:w="640" w:type="pct"/>
                  <w:vMerge w:val="continue"/>
                  <w:tcBorders>
                    <w:tl2br w:val="nil"/>
                    <w:tr2bl w:val="nil"/>
                  </w:tcBorders>
                  <w:shd w:val="clear" w:color="auto" w:fill="auto"/>
                  <w:vAlign w:val="center"/>
                </w:tcPr>
                <w:p w14:paraId="34A12143">
                  <w:pPr>
                    <w:pStyle w:val="17"/>
                    <w:rPr>
                      <w:rFonts w:eastAsia="宋体"/>
                    </w:rPr>
                  </w:pPr>
                </w:p>
              </w:tc>
              <w:tc>
                <w:tcPr>
                  <w:tcW w:w="749" w:type="pct"/>
                  <w:tcBorders>
                    <w:tl2br w:val="nil"/>
                    <w:tr2bl w:val="nil"/>
                  </w:tcBorders>
                  <w:shd w:val="clear" w:color="auto" w:fill="auto"/>
                  <w:vAlign w:val="center"/>
                </w:tcPr>
                <w:p w14:paraId="6346DB24">
                  <w:pPr>
                    <w:pStyle w:val="17"/>
                    <w:ind w:firstLine="0" w:firstLineChars="0"/>
                    <w:rPr>
                      <w:rFonts w:hint="eastAsia" w:eastAsia="宋体"/>
                    </w:rPr>
                  </w:pPr>
                  <w:r>
                    <w:rPr>
                      <w:rFonts w:hint="eastAsia" w:eastAsia="宋体"/>
                    </w:rPr>
                    <w:t>SS</w:t>
                  </w:r>
                </w:p>
              </w:tc>
              <w:tc>
                <w:tcPr>
                  <w:tcW w:w="966" w:type="pct"/>
                  <w:tcBorders>
                    <w:tl2br w:val="nil"/>
                    <w:tr2bl w:val="nil"/>
                  </w:tcBorders>
                  <w:shd w:val="clear" w:color="auto" w:fill="auto"/>
                  <w:vAlign w:val="center"/>
                </w:tcPr>
                <w:p w14:paraId="7A88E832">
                  <w:pPr>
                    <w:pStyle w:val="17"/>
                    <w:ind w:firstLine="0" w:firstLineChars="0"/>
                    <w:rPr>
                      <w:rFonts w:hint="eastAsia" w:eastAsia="宋体"/>
                      <w:lang w:val="en-US" w:eastAsia="zh-CN"/>
                    </w:rPr>
                  </w:pPr>
                  <w:r>
                    <w:rPr>
                      <w:rFonts w:hint="eastAsia" w:eastAsia="宋体"/>
                      <w:lang w:val="en-US" w:eastAsia="zh-CN"/>
                    </w:rPr>
                    <w:t>300</w:t>
                  </w:r>
                </w:p>
              </w:tc>
              <w:tc>
                <w:tcPr>
                  <w:tcW w:w="700" w:type="pct"/>
                  <w:tcBorders>
                    <w:tl2br w:val="nil"/>
                    <w:tr2bl w:val="nil"/>
                  </w:tcBorders>
                  <w:shd w:val="clear" w:color="auto" w:fill="auto"/>
                  <w:vAlign w:val="center"/>
                </w:tcPr>
                <w:p w14:paraId="0BDEA93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0.0386</w:t>
                  </w:r>
                </w:p>
              </w:tc>
              <w:tc>
                <w:tcPr>
                  <w:tcW w:w="700" w:type="pct"/>
                  <w:vMerge w:val="continue"/>
                  <w:tcBorders>
                    <w:tl2br w:val="nil"/>
                    <w:tr2bl w:val="nil"/>
                  </w:tcBorders>
                  <w:shd w:val="clear" w:color="auto" w:fill="auto"/>
                  <w:vAlign w:val="center"/>
                </w:tcPr>
                <w:p w14:paraId="6DCCC1CE">
                  <w:pPr>
                    <w:pStyle w:val="17"/>
                    <w:rPr>
                      <w:rFonts w:eastAsia="宋体"/>
                    </w:rPr>
                  </w:pPr>
                </w:p>
              </w:tc>
              <w:tc>
                <w:tcPr>
                  <w:tcW w:w="705" w:type="pct"/>
                  <w:vMerge w:val="continue"/>
                  <w:tcBorders>
                    <w:tl2br w:val="nil"/>
                    <w:tr2bl w:val="nil"/>
                  </w:tcBorders>
                  <w:shd w:val="clear" w:color="auto" w:fill="auto"/>
                  <w:vAlign w:val="center"/>
                </w:tcPr>
                <w:p w14:paraId="4C903B45">
                  <w:pPr>
                    <w:pStyle w:val="17"/>
                    <w:rPr>
                      <w:rFonts w:eastAsia="宋体"/>
                    </w:rPr>
                  </w:pPr>
                </w:p>
              </w:tc>
            </w:tr>
            <w:tr w14:paraId="06DB48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7" w:type="pct"/>
                  <w:vMerge w:val="continue"/>
                  <w:tcBorders>
                    <w:tl2br w:val="nil"/>
                    <w:tr2bl w:val="nil"/>
                  </w:tcBorders>
                  <w:shd w:val="clear" w:color="auto" w:fill="auto"/>
                  <w:vAlign w:val="center"/>
                </w:tcPr>
                <w:p w14:paraId="39658324">
                  <w:pPr>
                    <w:pStyle w:val="17"/>
                    <w:rPr>
                      <w:rFonts w:eastAsia="宋体"/>
                    </w:rPr>
                  </w:pPr>
                </w:p>
              </w:tc>
              <w:tc>
                <w:tcPr>
                  <w:tcW w:w="640" w:type="pct"/>
                  <w:vMerge w:val="continue"/>
                  <w:tcBorders>
                    <w:tl2br w:val="nil"/>
                    <w:tr2bl w:val="nil"/>
                  </w:tcBorders>
                  <w:shd w:val="clear" w:color="auto" w:fill="auto"/>
                  <w:vAlign w:val="center"/>
                </w:tcPr>
                <w:p w14:paraId="4ADD741D">
                  <w:pPr>
                    <w:pStyle w:val="17"/>
                    <w:rPr>
                      <w:rFonts w:eastAsia="宋体"/>
                    </w:rPr>
                  </w:pPr>
                </w:p>
              </w:tc>
              <w:tc>
                <w:tcPr>
                  <w:tcW w:w="749" w:type="pct"/>
                  <w:tcBorders>
                    <w:tl2br w:val="nil"/>
                    <w:tr2bl w:val="nil"/>
                  </w:tcBorders>
                  <w:shd w:val="clear" w:color="auto" w:fill="auto"/>
                  <w:vAlign w:val="center"/>
                </w:tcPr>
                <w:p w14:paraId="599E767B">
                  <w:pPr>
                    <w:pStyle w:val="17"/>
                    <w:ind w:firstLine="0" w:firstLineChars="0"/>
                    <w:rPr>
                      <w:rFonts w:hint="eastAsia" w:eastAsia="宋体"/>
                    </w:rPr>
                  </w:pPr>
                  <w:r>
                    <w:rPr>
                      <w:rFonts w:hint="eastAsia" w:eastAsia="宋体"/>
                    </w:rPr>
                    <w:t>氨氮</w:t>
                  </w:r>
                </w:p>
              </w:tc>
              <w:tc>
                <w:tcPr>
                  <w:tcW w:w="966" w:type="pct"/>
                  <w:tcBorders>
                    <w:tl2br w:val="nil"/>
                    <w:tr2bl w:val="nil"/>
                  </w:tcBorders>
                  <w:shd w:val="clear" w:color="auto" w:fill="auto"/>
                  <w:vAlign w:val="center"/>
                </w:tcPr>
                <w:p w14:paraId="124A7D85">
                  <w:pPr>
                    <w:pStyle w:val="17"/>
                    <w:ind w:firstLine="0" w:firstLineChars="0"/>
                    <w:rPr>
                      <w:rFonts w:hint="eastAsia" w:eastAsia="宋体"/>
                      <w:lang w:val="en-US" w:eastAsia="zh-CN"/>
                    </w:rPr>
                  </w:pPr>
                  <w:r>
                    <w:rPr>
                      <w:rFonts w:hint="eastAsia" w:eastAsia="宋体"/>
                      <w:lang w:val="en-US" w:eastAsia="zh-CN"/>
                    </w:rPr>
                    <w:t>32.6</w:t>
                  </w:r>
                </w:p>
              </w:tc>
              <w:tc>
                <w:tcPr>
                  <w:tcW w:w="700" w:type="pct"/>
                  <w:tcBorders>
                    <w:tl2br w:val="nil"/>
                    <w:tr2bl w:val="nil"/>
                  </w:tcBorders>
                  <w:shd w:val="clear" w:color="auto" w:fill="auto"/>
                  <w:vAlign w:val="center"/>
                </w:tcPr>
                <w:p w14:paraId="40236FB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0.0042</w:t>
                  </w:r>
                </w:p>
              </w:tc>
              <w:tc>
                <w:tcPr>
                  <w:tcW w:w="700" w:type="pct"/>
                  <w:vMerge w:val="continue"/>
                  <w:tcBorders>
                    <w:tl2br w:val="nil"/>
                    <w:tr2bl w:val="nil"/>
                  </w:tcBorders>
                  <w:shd w:val="clear" w:color="auto" w:fill="auto"/>
                  <w:vAlign w:val="center"/>
                </w:tcPr>
                <w:p w14:paraId="284F3235">
                  <w:pPr>
                    <w:pStyle w:val="17"/>
                    <w:rPr>
                      <w:rFonts w:eastAsia="宋体"/>
                    </w:rPr>
                  </w:pPr>
                </w:p>
              </w:tc>
              <w:tc>
                <w:tcPr>
                  <w:tcW w:w="705" w:type="pct"/>
                  <w:vMerge w:val="continue"/>
                  <w:tcBorders>
                    <w:tl2br w:val="nil"/>
                    <w:tr2bl w:val="nil"/>
                  </w:tcBorders>
                  <w:shd w:val="clear" w:color="auto" w:fill="auto"/>
                  <w:vAlign w:val="center"/>
                </w:tcPr>
                <w:p w14:paraId="39BD87B8">
                  <w:pPr>
                    <w:pStyle w:val="17"/>
                    <w:rPr>
                      <w:rFonts w:eastAsia="宋体"/>
                    </w:rPr>
                  </w:pPr>
                </w:p>
              </w:tc>
            </w:tr>
            <w:tr w14:paraId="1A643F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7" w:type="pct"/>
                  <w:vMerge w:val="continue"/>
                  <w:tcBorders>
                    <w:tl2br w:val="nil"/>
                    <w:tr2bl w:val="nil"/>
                  </w:tcBorders>
                  <w:shd w:val="clear" w:color="auto" w:fill="auto"/>
                  <w:vAlign w:val="center"/>
                </w:tcPr>
                <w:p w14:paraId="0868C871">
                  <w:pPr>
                    <w:pStyle w:val="17"/>
                    <w:rPr>
                      <w:rFonts w:eastAsia="宋体"/>
                    </w:rPr>
                  </w:pPr>
                </w:p>
              </w:tc>
              <w:tc>
                <w:tcPr>
                  <w:tcW w:w="640" w:type="pct"/>
                  <w:vMerge w:val="continue"/>
                  <w:tcBorders>
                    <w:tl2br w:val="nil"/>
                    <w:tr2bl w:val="nil"/>
                  </w:tcBorders>
                  <w:shd w:val="clear" w:color="auto" w:fill="auto"/>
                  <w:vAlign w:val="center"/>
                </w:tcPr>
                <w:p w14:paraId="4D0AF6CF">
                  <w:pPr>
                    <w:pStyle w:val="17"/>
                    <w:rPr>
                      <w:rFonts w:eastAsia="宋体"/>
                    </w:rPr>
                  </w:pPr>
                </w:p>
              </w:tc>
              <w:tc>
                <w:tcPr>
                  <w:tcW w:w="749" w:type="pct"/>
                  <w:tcBorders>
                    <w:tl2br w:val="nil"/>
                    <w:tr2bl w:val="nil"/>
                  </w:tcBorders>
                  <w:shd w:val="clear" w:color="auto" w:fill="auto"/>
                  <w:vAlign w:val="center"/>
                </w:tcPr>
                <w:p w14:paraId="5BAD6D3E">
                  <w:pPr>
                    <w:pStyle w:val="17"/>
                    <w:ind w:firstLine="0" w:firstLineChars="0"/>
                    <w:rPr>
                      <w:rFonts w:hint="eastAsia" w:eastAsia="宋体"/>
                    </w:rPr>
                  </w:pPr>
                  <w:r>
                    <w:rPr>
                      <w:rFonts w:hint="eastAsia" w:eastAsia="宋体"/>
                    </w:rPr>
                    <w:t>总磷</w:t>
                  </w:r>
                </w:p>
              </w:tc>
              <w:tc>
                <w:tcPr>
                  <w:tcW w:w="966" w:type="pct"/>
                  <w:tcBorders>
                    <w:tl2br w:val="nil"/>
                    <w:tr2bl w:val="nil"/>
                  </w:tcBorders>
                  <w:shd w:val="clear" w:color="auto" w:fill="auto"/>
                  <w:vAlign w:val="center"/>
                </w:tcPr>
                <w:p w14:paraId="2983B5EB">
                  <w:pPr>
                    <w:pStyle w:val="17"/>
                    <w:ind w:firstLine="0" w:firstLineChars="0"/>
                    <w:rPr>
                      <w:rFonts w:hint="eastAsia" w:eastAsia="宋体"/>
                      <w:lang w:val="en-US" w:eastAsia="zh-CN"/>
                    </w:rPr>
                  </w:pPr>
                  <w:r>
                    <w:rPr>
                      <w:rFonts w:hint="eastAsia" w:eastAsia="宋体"/>
                      <w:lang w:val="en-US" w:eastAsia="zh-CN"/>
                    </w:rPr>
                    <w:t>4.27</w:t>
                  </w:r>
                </w:p>
              </w:tc>
              <w:tc>
                <w:tcPr>
                  <w:tcW w:w="700" w:type="pct"/>
                  <w:tcBorders>
                    <w:tl2br w:val="nil"/>
                    <w:tr2bl w:val="nil"/>
                  </w:tcBorders>
                  <w:shd w:val="clear" w:color="auto" w:fill="auto"/>
                  <w:vAlign w:val="center"/>
                </w:tcPr>
                <w:p w14:paraId="0401636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0.0005</w:t>
                  </w:r>
                </w:p>
              </w:tc>
              <w:tc>
                <w:tcPr>
                  <w:tcW w:w="700" w:type="pct"/>
                  <w:vMerge w:val="continue"/>
                  <w:tcBorders>
                    <w:tl2br w:val="nil"/>
                    <w:tr2bl w:val="nil"/>
                  </w:tcBorders>
                  <w:shd w:val="clear" w:color="auto" w:fill="auto"/>
                  <w:vAlign w:val="center"/>
                </w:tcPr>
                <w:p w14:paraId="4560011F">
                  <w:pPr>
                    <w:pStyle w:val="17"/>
                    <w:rPr>
                      <w:rFonts w:eastAsia="宋体"/>
                    </w:rPr>
                  </w:pPr>
                </w:p>
              </w:tc>
              <w:tc>
                <w:tcPr>
                  <w:tcW w:w="705" w:type="pct"/>
                  <w:vMerge w:val="continue"/>
                  <w:tcBorders>
                    <w:tl2br w:val="nil"/>
                    <w:tr2bl w:val="nil"/>
                  </w:tcBorders>
                  <w:shd w:val="clear" w:color="auto" w:fill="auto"/>
                  <w:vAlign w:val="center"/>
                </w:tcPr>
                <w:p w14:paraId="44C5E612">
                  <w:pPr>
                    <w:pStyle w:val="17"/>
                    <w:rPr>
                      <w:rFonts w:eastAsia="宋体"/>
                    </w:rPr>
                  </w:pPr>
                </w:p>
              </w:tc>
            </w:tr>
            <w:tr w14:paraId="5B566F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7" w:type="pct"/>
                  <w:vMerge w:val="continue"/>
                  <w:tcBorders>
                    <w:tl2br w:val="nil"/>
                    <w:tr2bl w:val="nil"/>
                  </w:tcBorders>
                  <w:shd w:val="clear" w:color="auto" w:fill="auto"/>
                  <w:vAlign w:val="center"/>
                </w:tcPr>
                <w:p w14:paraId="41099659">
                  <w:pPr>
                    <w:pStyle w:val="17"/>
                    <w:rPr>
                      <w:rFonts w:eastAsia="宋体"/>
                    </w:rPr>
                  </w:pPr>
                </w:p>
              </w:tc>
              <w:tc>
                <w:tcPr>
                  <w:tcW w:w="640" w:type="pct"/>
                  <w:vMerge w:val="continue"/>
                  <w:tcBorders>
                    <w:tl2br w:val="nil"/>
                    <w:tr2bl w:val="nil"/>
                  </w:tcBorders>
                  <w:shd w:val="clear" w:color="auto" w:fill="auto"/>
                  <w:vAlign w:val="center"/>
                </w:tcPr>
                <w:p w14:paraId="66A61B8D">
                  <w:pPr>
                    <w:pStyle w:val="17"/>
                    <w:rPr>
                      <w:rFonts w:eastAsia="宋体"/>
                    </w:rPr>
                  </w:pPr>
                </w:p>
              </w:tc>
              <w:tc>
                <w:tcPr>
                  <w:tcW w:w="749" w:type="pct"/>
                  <w:tcBorders>
                    <w:tl2br w:val="nil"/>
                    <w:tr2bl w:val="nil"/>
                  </w:tcBorders>
                  <w:shd w:val="clear" w:color="auto" w:fill="auto"/>
                  <w:vAlign w:val="center"/>
                </w:tcPr>
                <w:p w14:paraId="043B715B">
                  <w:pPr>
                    <w:pStyle w:val="17"/>
                    <w:ind w:firstLine="0" w:firstLineChars="0"/>
                    <w:rPr>
                      <w:rFonts w:hint="eastAsia" w:eastAsia="宋体"/>
                    </w:rPr>
                  </w:pPr>
                  <w:r>
                    <w:rPr>
                      <w:rFonts w:hint="eastAsia" w:eastAsia="宋体"/>
                    </w:rPr>
                    <w:t>总氮</w:t>
                  </w:r>
                </w:p>
              </w:tc>
              <w:tc>
                <w:tcPr>
                  <w:tcW w:w="966" w:type="pct"/>
                  <w:tcBorders>
                    <w:tl2br w:val="nil"/>
                    <w:tr2bl w:val="nil"/>
                  </w:tcBorders>
                  <w:shd w:val="clear" w:color="auto" w:fill="auto"/>
                  <w:vAlign w:val="center"/>
                </w:tcPr>
                <w:p w14:paraId="150A26F3">
                  <w:pPr>
                    <w:pStyle w:val="17"/>
                    <w:ind w:firstLine="0" w:firstLineChars="0"/>
                    <w:rPr>
                      <w:rFonts w:hint="eastAsia" w:eastAsia="宋体"/>
                      <w:lang w:val="en-US" w:eastAsia="zh-CN"/>
                    </w:rPr>
                  </w:pPr>
                  <w:r>
                    <w:rPr>
                      <w:rFonts w:hint="eastAsia" w:eastAsia="宋体"/>
                      <w:lang w:val="en-US" w:eastAsia="zh-CN"/>
                    </w:rPr>
                    <w:t>44.8</w:t>
                  </w:r>
                </w:p>
              </w:tc>
              <w:tc>
                <w:tcPr>
                  <w:tcW w:w="700" w:type="pct"/>
                  <w:tcBorders>
                    <w:tl2br w:val="nil"/>
                    <w:tr2bl w:val="nil"/>
                  </w:tcBorders>
                  <w:shd w:val="clear" w:color="auto" w:fill="auto"/>
                  <w:vAlign w:val="center"/>
                </w:tcPr>
                <w:p w14:paraId="5E8BE38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0.0058</w:t>
                  </w:r>
                </w:p>
              </w:tc>
              <w:tc>
                <w:tcPr>
                  <w:tcW w:w="700" w:type="pct"/>
                  <w:vMerge w:val="continue"/>
                  <w:tcBorders>
                    <w:tl2br w:val="nil"/>
                    <w:tr2bl w:val="nil"/>
                  </w:tcBorders>
                  <w:shd w:val="clear" w:color="auto" w:fill="auto"/>
                  <w:vAlign w:val="center"/>
                </w:tcPr>
                <w:p w14:paraId="1321FBE7">
                  <w:pPr>
                    <w:pStyle w:val="17"/>
                    <w:rPr>
                      <w:rFonts w:eastAsia="宋体"/>
                    </w:rPr>
                  </w:pPr>
                </w:p>
              </w:tc>
              <w:tc>
                <w:tcPr>
                  <w:tcW w:w="705" w:type="pct"/>
                  <w:vMerge w:val="continue"/>
                  <w:tcBorders>
                    <w:tl2br w:val="nil"/>
                    <w:tr2bl w:val="nil"/>
                  </w:tcBorders>
                  <w:shd w:val="clear" w:color="auto" w:fill="auto"/>
                  <w:vAlign w:val="center"/>
                </w:tcPr>
                <w:p w14:paraId="42FDEEC5">
                  <w:pPr>
                    <w:pStyle w:val="17"/>
                    <w:rPr>
                      <w:rFonts w:eastAsia="宋体"/>
                    </w:rPr>
                  </w:pPr>
                </w:p>
              </w:tc>
            </w:tr>
          </w:tbl>
          <w:p w14:paraId="0E9456B0">
            <w:pPr>
              <w:pStyle w:val="2"/>
              <w:ind w:firstLine="482" w:firstLineChars="200"/>
              <w:rPr>
                <w:rFonts w:eastAsia="宋体"/>
              </w:rPr>
            </w:pPr>
            <w:r>
              <w:rPr>
                <w:rFonts w:hint="eastAsia" w:eastAsia="宋体"/>
                <w:lang w:val="en-US" w:eastAsia="zh-CN"/>
              </w:rPr>
              <w:t>4</w:t>
            </w:r>
            <w:r>
              <w:rPr>
                <w:rFonts w:hint="eastAsia" w:eastAsia="宋体"/>
              </w:rPr>
              <w:t>、地下水环境影响</w:t>
            </w:r>
          </w:p>
          <w:p w14:paraId="1662A3CB">
            <w:pPr>
              <w:pStyle w:val="3"/>
              <w:ind w:firstLine="480"/>
              <w:rPr>
                <w:rFonts w:hint="eastAsia" w:ascii="Times New Roman" w:hAnsi="Times New Roman" w:eastAsia="宋体" w:cs="Times New Roman"/>
              </w:rPr>
            </w:pPr>
            <w:r>
              <w:rPr>
                <w:rFonts w:eastAsia="宋体"/>
              </w:rPr>
              <w:t>根据《环境影响评价技术导则 地下水环境》（HJ610-2016）附录A，本项目属于“C地质探查 24、矿产资源地质勘查（包括勘探活动）”属于</w:t>
            </w:r>
            <w:r>
              <w:rPr>
                <w:rFonts w:hint="default" w:ascii="Times New Roman" w:hAnsi="Times New Roman" w:eastAsia="宋体" w:cs="Times New Roman"/>
              </w:rPr>
              <w:t>Ⅳ</w:t>
            </w:r>
            <w:r>
              <w:rPr>
                <w:rFonts w:eastAsia="宋体"/>
              </w:rPr>
              <w:t>类项目。</w:t>
            </w:r>
            <w:r>
              <w:rPr>
                <w:rFonts w:hint="eastAsia" w:ascii="Times New Roman" w:hAnsi="Times New Roman" w:eastAsia="宋体" w:cs="Times New Roman"/>
                <w:lang w:val="en-US" w:eastAsia="zh-CN"/>
              </w:rPr>
              <w:t>仅作简单分析</w:t>
            </w:r>
            <w:r>
              <w:rPr>
                <w:rFonts w:hint="eastAsia" w:ascii="Times New Roman" w:hAnsi="Times New Roman" w:eastAsia="宋体" w:cs="Times New Roman"/>
              </w:rPr>
              <w:t>。</w:t>
            </w:r>
          </w:p>
          <w:p w14:paraId="47271F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（1）钻井泥浆</w:t>
            </w:r>
          </w:p>
          <w:p w14:paraId="1B26FF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正常情况下，钻井过程中钻井液与地层之间有井筒井壁阻隔，完井后又用水泥将地层与钻井液隔离开，因此，一般情况下钻井液不会进入地层造成浅层地下水污染；由于各地层岩性、孔隙度不同，对于孔隙度大的地层，在钻井过程中可能发生钻井液漏失现象，若漏失地层与含水层之间存在较多的断裂或裂隙，漏失的钻井液就有可能顺着岩层断裂、裂隙进入地下水，造成地下水污染。</w:t>
            </w:r>
          </w:p>
          <w:p w14:paraId="3AF7925C">
            <w:pPr>
              <w:pStyle w:val="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根据钻井工程设计方案，从钻井井身结构和区域水文地质条件可知，钻井导管下深至100m左右可以有效封隔浅部含水层。此外，导管、表层套管外水泥固井且水泥返高至地面，生产套管封固到油层以上200m，形成套管+水泥的多层隔离层从而有效保护地下水含水层。导管钢级J55，壁厚9.65mm；表层套管钢级N80，壁厚11.05mm；生产套管钢级TP125V，壁厚12.34mm，套管不易磨损破坏；固井水泥采用G级，水泥浆平均密度约1.85g/cm3，固井水泥耐压强度高，不易出现裂缝等。</w:t>
            </w:r>
          </w:p>
          <w:p w14:paraId="2747031C">
            <w:pPr>
              <w:pStyle w:val="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地下水资源丰富的地区，在钻井期间，原则上使用清水钻井，避免加入的泥浆体系污染地下水。本项目探井下导管（0-100m）钻井阶段利用清水泥浆迅速钻井，在套管的保护下能有效地保护浅层地下水；钻井结束后通过固井作业封隔地层与套管之间的环形空间，也可降低污染物进入地层的风险；在钻井过程对泥浆进行实时监测，一旦有漏失发生，立即采用堵漏措施，做到有效防止钻井期间钻井液泄漏污染地下水。</w:t>
            </w:r>
          </w:p>
          <w:p w14:paraId="274B6DAC">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钻井废水</w:t>
            </w:r>
          </w:p>
          <w:p w14:paraId="3C010835">
            <w:pPr>
              <w:pStyle w:val="3"/>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钻井工程地下水污染源包括钻井废水、洗井废水、压裂废水和生活污水等。钻井废水和不可回用的洗井废水、压裂废水由井场水罐车拉运至就近的沙埝联合站经处理达到《碎屑岩油藏注水水质指标技术要求及分析方法》（SY/T5329-2022）相关要求后用于注水开发；生活污水通过</w:t>
            </w:r>
            <w:r>
              <w:rPr>
                <w:rFonts w:hint="eastAsia" w:eastAsia="宋体"/>
                <w:color w:val="auto"/>
              </w:rPr>
              <w:t>在井场设置钻井队便携式公共厕所，对施工期间产生的生活污水进行收集</w:t>
            </w:r>
            <w:r>
              <w:rPr>
                <w:rFonts w:hint="eastAsia" w:eastAsia="宋体"/>
                <w:color w:val="auto"/>
                <w:lang w:val="en-US" w:eastAsia="zh-CN"/>
              </w:rPr>
              <w:t>处理</w:t>
            </w:r>
            <w:r>
              <w:rPr>
                <w:rFonts w:hint="eastAsia" w:ascii="Times New Roman" w:hAnsi="Times New Roman" w:eastAsia="宋体" w:cs="Times New Roman"/>
                <w:kern w:val="0"/>
                <w:sz w:val="24"/>
                <w:szCs w:val="24"/>
                <w:lang w:val="en-US" w:eastAsia="zh-CN" w:bidi="ar-SA"/>
              </w:rPr>
              <w:t>，不直接外排区域环境中。正常工况下，各类污染源均得到有效控制，不会对地下水水质产生较大影响。</w:t>
            </w:r>
          </w:p>
          <w:p w14:paraId="1AF183F7">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柴油罐</w:t>
            </w:r>
          </w:p>
          <w:p w14:paraId="00D13919">
            <w:pPr>
              <w:pStyle w:val="3"/>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柴油储罐下部法兰渗漏处渗漏，柴油泄漏进入罐区围堰中，不会污染土壤、影响地下水水质。储罐区设置围堰，围堰内应设置排水地漏，分类收集围堰内的排水，围堰地面采用防腐防渗的材料铺砌，防渗布铺设面积不得小于柴油罐外边30cm，可采用高密度聚乙烯（HDPE）膜，厚度0.75mm，四周设置20cm高的围堰。围堰选用玻璃钢材质，具有强度高、耐腐蚀、电绝缘、稳定性强、抗老化、可重复利用等要求，围堰高度不低于20cm。</w:t>
            </w:r>
          </w:p>
          <w:p w14:paraId="4806898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综上所述，在水泥固井及套管保护、采取防渗及围堰等措施的基础上，本项目勘探过程对地下水环境的影响较小。此外，建设单位在项目区块进行石油勘探、开发多年，根据相关的历史资料证明，在项目区域进行石油勘探开发过未发生环境污染事故，未造成地下水水质污染。</w:t>
            </w:r>
          </w:p>
          <w:p w14:paraId="22DD194F">
            <w:pPr>
              <w:pStyle w:val="2"/>
              <w:ind w:firstLine="482" w:firstLineChars="200"/>
              <w:rPr>
                <w:rFonts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5</w:t>
            </w:r>
            <w:r>
              <w:rPr>
                <w:rFonts w:hint="eastAsia" w:eastAsia="宋体"/>
                <w:color w:val="000000" w:themeColor="text1"/>
                <w14:textFill>
                  <w14:solidFill>
                    <w14:schemeClr w14:val="tx1"/>
                  </w14:solidFill>
                </w14:textFill>
              </w:rPr>
              <w:t>、噪声环境影响</w:t>
            </w:r>
          </w:p>
          <w:p w14:paraId="435B3042">
            <w:pPr>
              <w:pStyle w:val="3"/>
              <w:ind w:firstLine="480"/>
              <w:rPr>
                <w:rFonts w:eastAsia="宋体"/>
              </w:rPr>
            </w:pPr>
            <w:r>
              <w:rPr>
                <w:rFonts w:hint="eastAsia" w:eastAsia="宋体"/>
              </w:rPr>
              <w:t>（1）声</w:t>
            </w:r>
            <w:r>
              <w:rPr>
                <w:rFonts w:hint="eastAsia" w:eastAsia="宋体"/>
                <w:lang w:val="en-US" w:eastAsia="zh-CN"/>
              </w:rPr>
              <w:t>源</w:t>
            </w:r>
            <w:r>
              <w:rPr>
                <w:rFonts w:hint="eastAsia" w:eastAsia="宋体"/>
              </w:rPr>
              <w:t>源强</w:t>
            </w:r>
          </w:p>
          <w:p w14:paraId="6E8A7AD3">
            <w:pPr>
              <w:pStyle w:val="3"/>
              <w:ind w:firstLine="480"/>
              <w:rPr>
                <w:rFonts w:eastAsia="宋体"/>
              </w:rPr>
            </w:pPr>
            <w:r>
              <w:rPr>
                <w:rFonts w:eastAsia="宋体"/>
              </w:rPr>
              <w:t>本项目</w:t>
            </w:r>
            <w:r>
              <w:rPr>
                <w:rFonts w:hint="eastAsia" w:eastAsia="宋体"/>
              </w:rPr>
              <w:t>声</w:t>
            </w:r>
            <w:r>
              <w:rPr>
                <w:rFonts w:hint="eastAsia" w:eastAsia="宋体"/>
                <w:lang w:val="en-US" w:eastAsia="zh-CN"/>
              </w:rPr>
              <w:t>源为室外声源，</w:t>
            </w:r>
            <w:r>
              <w:rPr>
                <w:rFonts w:eastAsia="宋体"/>
              </w:rPr>
              <w:t>主要</w:t>
            </w:r>
            <w:r>
              <w:rPr>
                <w:rFonts w:hint="eastAsia" w:eastAsia="宋体"/>
              </w:rPr>
              <w:t>为钻机、泥浆泵、振动筛、除沙器等机械转动所产生的的噪声，</w:t>
            </w:r>
            <w:r>
              <w:rPr>
                <w:rFonts w:eastAsia="宋体"/>
              </w:rPr>
              <w:t>各声源</w:t>
            </w:r>
            <w:r>
              <w:rPr>
                <w:rFonts w:hint="eastAsia" w:eastAsia="宋体"/>
                <w:lang w:val="en-US" w:eastAsia="zh-CN"/>
              </w:rPr>
              <w:t>源</w:t>
            </w:r>
            <w:r>
              <w:rPr>
                <w:rFonts w:eastAsia="宋体"/>
              </w:rPr>
              <w:t>强约80～90dB（A）</w:t>
            </w:r>
            <w:r>
              <w:rPr>
                <w:rFonts w:hint="eastAsia" w:eastAsia="宋体"/>
              </w:rPr>
              <w:t>。由于钻井过程为2</w:t>
            </w:r>
            <w:r>
              <w:rPr>
                <w:rFonts w:eastAsia="宋体"/>
              </w:rPr>
              <w:t>4</w:t>
            </w:r>
            <w:r>
              <w:rPr>
                <w:rFonts w:hint="eastAsia" w:eastAsia="宋体"/>
              </w:rPr>
              <w:t>小时连续运行，对当地声环境影响大的主要为钻井过程中的泥浆泵、钻机等设备以及停电时柴油发电机组运行产生的连续性噪声。井场</w:t>
            </w:r>
            <w:r>
              <w:rPr>
                <w:rFonts w:eastAsia="宋体"/>
              </w:rPr>
              <w:t>基础施工期推土机</w:t>
            </w:r>
            <w:r>
              <w:rPr>
                <w:rFonts w:hint="eastAsia" w:eastAsia="宋体"/>
              </w:rPr>
              <w:t>、</w:t>
            </w:r>
            <w:r>
              <w:rPr>
                <w:rFonts w:eastAsia="宋体"/>
              </w:rPr>
              <w:t>挖掘机</w:t>
            </w:r>
            <w:r>
              <w:rPr>
                <w:rFonts w:hint="eastAsia" w:eastAsia="宋体"/>
              </w:rPr>
              <w:t>等</w:t>
            </w:r>
            <w:r>
              <w:rPr>
                <w:rFonts w:eastAsia="宋体"/>
              </w:rPr>
              <w:t>施工机械</w:t>
            </w:r>
            <w:r>
              <w:rPr>
                <w:rFonts w:hint="eastAsia" w:eastAsia="宋体"/>
              </w:rPr>
              <w:t>为间歇噪声。根据类比调查，本项目机械噪声源强见</w:t>
            </w:r>
            <w:r>
              <w:rPr>
                <w:rFonts w:eastAsia="宋体"/>
              </w:rPr>
              <w:t>表</w:t>
            </w:r>
            <w:r>
              <w:rPr>
                <w:rFonts w:hint="eastAsia" w:eastAsia="宋体"/>
              </w:rPr>
              <w:t>4-3</w:t>
            </w:r>
            <w:r>
              <w:rPr>
                <w:rFonts w:eastAsia="宋体"/>
              </w:rPr>
              <w:t>。</w:t>
            </w:r>
          </w:p>
          <w:p w14:paraId="04F91BB9">
            <w:pPr>
              <w:pStyle w:val="16"/>
              <w:rPr>
                <w:rFonts w:eastAsia="宋体"/>
              </w:rPr>
            </w:pPr>
            <w:r>
              <w:rPr>
                <w:rFonts w:eastAsia="宋体"/>
              </w:rPr>
              <w:t>表</w:t>
            </w:r>
            <w:r>
              <w:rPr>
                <w:rFonts w:hint="eastAsia" w:eastAsia="宋体"/>
              </w:rPr>
              <w:t>4-3  勘探期</w:t>
            </w:r>
            <w:r>
              <w:rPr>
                <w:rFonts w:hint="eastAsia" w:eastAsia="宋体"/>
                <w:lang w:val="en-US" w:eastAsia="zh-CN"/>
              </w:rPr>
              <w:t>室外噪声源强调查清单</w:t>
            </w:r>
            <w:r>
              <w:rPr>
                <w:rFonts w:hint="eastAsia" w:eastAsia="宋体"/>
              </w:rPr>
              <w:t>表</w:t>
            </w:r>
          </w:p>
          <w:tbl>
            <w:tblPr>
              <w:tblStyle w:val="1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6"/>
              <w:gridCol w:w="939"/>
              <w:gridCol w:w="1159"/>
              <w:gridCol w:w="524"/>
              <w:gridCol w:w="561"/>
              <w:gridCol w:w="513"/>
              <w:gridCol w:w="1257"/>
              <w:gridCol w:w="1085"/>
              <w:gridCol w:w="1097"/>
            </w:tblGrid>
            <w:tr w14:paraId="0BAB6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67" w:type="pct"/>
                  <w:vMerge w:val="restart"/>
                  <w:noWrap/>
                  <w:vAlign w:val="center"/>
                </w:tcPr>
                <w:p w14:paraId="6AD6DEFA">
                  <w:pPr>
                    <w:pStyle w:val="17"/>
                    <w:rPr>
                      <w:rFonts w:hint="eastAsia" w:eastAsia="宋体"/>
                      <w:b/>
                      <w:bCs/>
                      <w:lang w:val="en-US" w:eastAsia="zh-CN"/>
                    </w:rPr>
                  </w:pPr>
                  <w:r>
                    <w:rPr>
                      <w:rFonts w:hint="eastAsia" w:eastAsia="宋体"/>
                      <w:b/>
                      <w:bCs/>
                      <w:lang w:val="en-US" w:eastAsia="zh-CN"/>
                    </w:rPr>
                    <w:t>序号</w:t>
                  </w:r>
                </w:p>
              </w:tc>
              <w:tc>
                <w:tcPr>
                  <w:tcW w:w="609" w:type="pct"/>
                  <w:vMerge w:val="restart"/>
                  <w:noWrap/>
                  <w:vAlign w:val="center"/>
                </w:tcPr>
                <w:p w14:paraId="50A982AE">
                  <w:pPr>
                    <w:pStyle w:val="17"/>
                    <w:ind w:firstLine="0" w:firstLineChars="0"/>
                    <w:rPr>
                      <w:rFonts w:hint="eastAsia" w:eastAsia="宋体"/>
                      <w:b/>
                      <w:bCs/>
                    </w:rPr>
                  </w:pPr>
                  <w:r>
                    <w:rPr>
                      <w:rFonts w:hint="eastAsia" w:eastAsia="宋体"/>
                      <w:b/>
                      <w:bCs/>
                      <w:lang w:val="en-US" w:eastAsia="zh-CN"/>
                    </w:rPr>
                    <w:t>声源</w:t>
                  </w:r>
                  <w:r>
                    <w:rPr>
                      <w:rFonts w:hint="eastAsia" w:eastAsia="宋体"/>
                      <w:b/>
                      <w:bCs/>
                    </w:rPr>
                    <w:t>名称</w:t>
                  </w:r>
                </w:p>
              </w:tc>
              <w:tc>
                <w:tcPr>
                  <w:tcW w:w="752" w:type="pct"/>
                  <w:vMerge w:val="restart"/>
                  <w:noWrap/>
                  <w:vAlign w:val="center"/>
                </w:tcPr>
                <w:p w14:paraId="4AEF53A2">
                  <w:pPr>
                    <w:pStyle w:val="17"/>
                    <w:rPr>
                      <w:rFonts w:hint="default" w:eastAsia="宋体"/>
                      <w:b/>
                      <w:bCs/>
                      <w:lang w:val="en-US" w:eastAsia="zh-CN"/>
                    </w:rPr>
                  </w:pPr>
                  <w:r>
                    <w:rPr>
                      <w:rFonts w:hint="eastAsia" w:eastAsia="宋体"/>
                      <w:b/>
                      <w:bCs/>
                      <w:lang w:val="en-US" w:eastAsia="zh-CN"/>
                    </w:rPr>
                    <w:t>型号</w:t>
                  </w:r>
                </w:p>
              </w:tc>
              <w:tc>
                <w:tcPr>
                  <w:tcW w:w="1037" w:type="pct"/>
                  <w:gridSpan w:val="3"/>
                  <w:noWrap/>
                  <w:vAlign w:val="center"/>
                </w:tcPr>
                <w:p w14:paraId="37B2E6EF">
                  <w:pPr>
                    <w:pStyle w:val="17"/>
                    <w:rPr>
                      <w:rFonts w:hint="default" w:eastAsia="宋体"/>
                      <w:b/>
                      <w:bCs/>
                      <w:lang w:val="en-US" w:eastAsia="zh-CN"/>
                    </w:rPr>
                  </w:pPr>
                  <w:r>
                    <w:rPr>
                      <w:rFonts w:hint="eastAsia" w:eastAsia="宋体"/>
                      <w:b/>
                      <w:bCs/>
                      <w:lang w:val="en-US" w:eastAsia="zh-CN"/>
                    </w:rPr>
                    <w:t>空间相对位置/m</w:t>
                  </w:r>
                </w:p>
              </w:tc>
              <w:tc>
                <w:tcPr>
                  <w:tcW w:w="815" w:type="pct"/>
                  <w:vMerge w:val="restart"/>
                  <w:vAlign w:val="center"/>
                </w:tcPr>
                <w:p w14:paraId="29125004">
                  <w:pPr>
                    <w:pStyle w:val="17"/>
                    <w:rPr>
                      <w:rFonts w:hint="default" w:eastAsia="宋体"/>
                      <w:b/>
                      <w:bCs/>
                      <w:lang w:val="en-US" w:eastAsia="zh-CN"/>
                    </w:rPr>
                  </w:pPr>
                  <w:r>
                    <w:rPr>
                      <w:rFonts w:hint="eastAsia" w:eastAsia="宋体"/>
                      <w:b/>
                      <w:bCs/>
                      <w:lang w:val="en-US" w:eastAsia="zh-CN"/>
                    </w:rPr>
                    <w:t>声源源强（声功率级/</w:t>
                  </w:r>
                  <w:r>
                    <w:rPr>
                      <w:rFonts w:eastAsia="宋体"/>
                      <w:b/>
                      <w:bCs/>
                    </w:rPr>
                    <w:t>dB</w:t>
                  </w:r>
                  <w:r>
                    <w:rPr>
                      <w:rFonts w:hint="eastAsia" w:eastAsia="宋体"/>
                      <w:b/>
                      <w:bCs/>
                    </w:rPr>
                    <w:t>（</w:t>
                  </w:r>
                  <w:r>
                    <w:rPr>
                      <w:rFonts w:eastAsia="宋体"/>
                      <w:b/>
                      <w:bCs/>
                    </w:rPr>
                    <w:t>A</w:t>
                  </w:r>
                  <w:r>
                    <w:rPr>
                      <w:rFonts w:hint="eastAsia" w:eastAsia="宋体"/>
                      <w:b/>
                      <w:bCs/>
                    </w:rPr>
                    <w:t>）</w:t>
                  </w:r>
                  <w:r>
                    <w:rPr>
                      <w:rFonts w:hint="eastAsia" w:eastAsia="宋体"/>
                      <w:b/>
                      <w:bCs/>
                      <w:lang w:val="en-US" w:eastAsia="zh-CN"/>
                    </w:rPr>
                    <w:t>）</w:t>
                  </w:r>
                </w:p>
              </w:tc>
              <w:tc>
                <w:tcPr>
                  <w:tcW w:w="704" w:type="pct"/>
                  <w:vMerge w:val="restart"/>
                  <w:vAlign w:val="center"/>
                </w:tcPr>
                <w:p w14:paraId="21417532">
                  <w:pPr>
                    <w:pStyle w:val="17"/>
                    <w:rPr>
                      <w:rFonts w:hint="default" w:eastAsia="宋体"/>
                      <w:b/>
                      <w:bCs/>
                      <w:lang w:val="en-US" w:eastAsia="zh-CN"/>
                    </w:rPr>
                  </w:pPr>
                  <w:r>
                    <w:rPr>
                      <w:rFonts w:hint="eastAsia" w:eastAsia="宋体"/>
                      <w:b/>
                      <w:bCs/>
                      <w:lang w:val="en-US" w:eastAsia="zh-CN"/>
                    </w:rPr>
                    <w:t>声源控制措施</w:t>
                  </w:r>
                </w:p>
              </w:tc>
              <w:tc>
                <w:tcPr>
                  <w:tcW w:w="711" w:type="pct"/>
                  <w:vMerge w:val="restart"/>
                  <w:vAlign w:val="center"/>
                </w:tcPr>
                <w:p w14:paraId="1C7AA24C">
                  <w:pPr>
                    <w:pStyle w:val="17"/>
                    <w:rPr>
                      <w:rFonts w:hint="default" w:eastAsia="宋体"/>
                      <w:b/>
                      <w:bCs/>
                      <w:lang w:val="en-US" w:eastAsia="zh-CN"/>
                    </w:rPr>
                  </w:pPr>
                  <w:r>
                    <w:rPr>
                      <w:rFonts w:hint="eastAsia" w:eastAsia="宋体"/>
                      <w:b/>
                      <w:bCs/>
                      <w:lang w:val="en-US" w:eastAsia="zh-CN"/>
                    </w:rPr>
                    <w:t>运行时段</w:t>
                  </w:r>
                </w:p>
              </w:tc>
            </w:tr>
            <w:tr w14:paraId="0F2ABD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67" w:type="pct"/>
                  <w:vMerge w:val="continue"/>
                  <w:noWrap/>
                  <w:vAlign w:val="center"/>
                </w:tcPr>
                <w:p w14:paraId="2002E90B">
                  <w:pPr>
                    <w:pStyle w:val="17"/>
                  </w:pPr>
                </w:p>
              </w:tc>
              <w:tc>
                <w:tcPr>
                  <w:tcW w:w="609" w:type="pct"/>
                  <w:vMerge w:val="continue"/>
                  <w:noWrap/>
                  <w:vAlign w:val="center"/>
                </w:tcPr>
                <w:p w14:paraId="7EA40918">
                  <w:pPr>
                    <w:pStyle w:val="17"/>
                  </w:pPr>
                </w:p>
              </w:tc>
              <w:tc>
                <w:tcPr>
                  <w:tcW w:w="752" w:type="pct"/>
                  <w:vMerge w:val="continue"/>
                  <w:noWrap/>
                  <w:vAlign w:val="center"/>
                </w:tcPr>
                <w:p w14:paraId="0CD2357E">
                  <w:pPr>
                    <w:pStyle w:val="17"/>
                  </w:pPr>
                </w:p>
              </w:tc>
              <w:tc>
                <w:tcPr>
                  <w:tcW w:w="340" w:type="pct"/>
                  <w:noWrap/>
                  <w:vAlign w:val="center"/>
                </w:tcPr>
                <w:p w14:paraId="7326BAFC">
                  <w:pPr>
                    <w:pStyle w:val="17"/>
                    <w:rPr>
                      <w:rFonts w:hint="default" w:eastAsia="宋体"/>
                      <w:b/>
                      <w:bCs/>
                      <w:lang w:val="en-US" w:eastAsia="zh-CN"/>
                    </w:rPr>
                  </w:pPr>
                  <w:r>
                    <w:rPr>
                      <w:rFonts w:hint="eastAsia" w:eastAsia="宋体"/>
                      <w:b/>
                      <w:bCs/>
                      <w:lang w:val="en-US" w:eastAsia="zh-CN"/>
                    </w:rPr>
                    <w:t>X</w:t>
                  </w:r>
                </w:p>
              </w:tc>
              <w:tc>
                <w:tcPr>
                  <w:tcW w:w="364" w:type="pct"/>
                  <w:noWrap/>
                  <w:vAlign w:val="center"/>
                </w:tcPr>
                <w:p w14:paraId="4E0E2056">
                  <w:pPr>
                    <w:pStyle w:val="17"/>
                    <w:rPr>
                      <w:rFonts w:hint="default" w:eastAsia="宋体"/>
                      <w:b/>
                      <w:bCs/>
                      <w:lang w:val="en-US" w:eastAsia="zh-CN"/>
                    </w:rPr>
                  </w:pPr>
                  <w:r>
                    <w:rPr>
                      <w:rFonts w:hint="eastAsia" w:eastAsia="宋体"/>
                      <w:b/>
                      <w:bCs/>
                      <w:lang w:val="en-US" w:eastAsia="zh-CN"/>
                    </w:rPr>
                    <w:t>Y</w:t>
                  </w:r>
                </w:p>
              </w:tc>
              <w:tc>
                <w:tcPr>
                  <w:tcW w:w="332" w:type="pct"/>
                  <w:noWrap/>
                  <w:vAlign w:val="center"/>
                </w:tcPr>
                <w:p w14:paraId="38692145">
                  <w:pPr>
                    <w:pStyle w:val="17"/>
                    <w:rPr>
                      <w:rFonts w:hint="default" w:eastAsia="宋体"/>
                      <w:b/>
                      <w:bCs/>
                      <w:lang w:val="en-US" w:eastAsia="zh-CN"/>
                    </w:rPr>
                  </w:pPr>
                  <w:r>
                    <w:rPr>
                      <w:rFonts w:hint="eastAsia" w:eastAsia="宋体"/>
                      <w:b/>
                      <w:bCs/>
                      <w:lang w:val="en-US" w:eastAsia="zh-CN"/>
                    </w:rPr>
                    <w:t>Z</w:t>
                  </w:r>
                </w:p>
              </w:tc>
              <w:tc>
                <w:tcPr>
                  <w:tcW w:w="815" w:type="pct"/>
                  <w:vMerge w:val="continue"/>
                  <w:vAlign w:val="center"/>
                </w:tcPr>
                <w:p w14:paraId="538689B9">
                  <w:pPr>
                    <w:pStyle w:val="17"/>
                    <w:rPr>
                      <w:rFonts w:hint="eastAsia" w:eastAsia="宋体"/>
                      <w:b/>
                      <w:bCs/>
                      <w:lang w:val="en-US" w:eastAsia="zh-CN"/>
                    </w:rPr>
                  </w:pPr>
                </w:p>
              </w:tc>
              <w:tc>
                <w:tcPr>
                  <w:tcW w:w="704" w:type="pct"/>
                  <w:vMerge w:val="continue"/>
                  <w:vAlign w:val="center"/>
                </w:tcPr>
                <w:p w14:paraId="7BD1C717">
                  <w:pPr>
                    <w:pStyle w:val="17"/>
                    <w:rPr>
                      <w:rFonts w:hint="eastAsia" w:eastAsia="宋体"/>
                      <w:b/>
                      <w:bCs/>
                      <w:lang w:val="en-US" w:eastAsia="zh-CN"/>
                    </w:rPr>
                  </w:pPr>
                </w:p>
              </w:tc>
              <w:tc>
                <w:tcPr>
                  <w:tcW w:w="711" w:type="pct"/>
                  <w:vMerge w:val="continue"/>
                  <w:vAlign w:val="center"/>
                </w:tcPr>
                <w:p w14:paraId="06F033A2">
                  <w:pPr>
                    <w:pStyle w:val="17"/>
                    <w:rPr>
                      <w:rFonts w:hint="eastAsia" w:eastAsia="宋体"/>
                      <w:b/>
                      <w:bCs/>
                      <w:lang w:val="en-US" w:eastAsia="zh-CN"/>
                    </w:rPr>
                  </w:pPr>
                </w:p>
              </w:tc>
            </w:tr>
            <w:tr w14:paraId="7B989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7" w:type="pct"/>
                  <w:vAlign w:val="center"/>
                </w:tcPr>
                <w:p w14:paraId="2EECAD13">
                  <w:pPr>
                    <w:pStyle w:val="17"/>
                    <w:rPr>
                      <w:rFonts w:hint="eastAsia" w:eastAsia="宋体"/>
                      <w:lang w:val="en-US" w:eastAsia="zh-CN"/>
                    </w:rPr>
                  </w:pPr>
                  <w:r>
                    <w:rPr>
                      <w:rFonts w:hint="eastAsia" w:eastAsia="宋体"/>
                      <w:lang w:val="en-US" w:eastAsia="zh-CN"/>
                    </w:rPr>
                    <w:t>1</w:t>
                  </w:r>
                </w:p>
              </w:tc>
              <w:tc>
                <w:tcPr>
                  <w:tcW w:w="609" w:type="pct"/>
                  <w:vAlign w:val="center"/>
                </w:tcPr>
                <w:p w14:paraId="51BAE9FF">
                  <w:pPr>
                    <w:pStyle w:val="17"/>
                    <w:ind w:firstLine="0" w:firstLineChars="0"/>
                    <w:rPr>
                      <w:rFonts w:eastAsia="宋体"/>
                    </w:rPr>
                  </w:pPr>
                  <w:r>
                    <w:rPr>
                      <w:rFonts w:eastAsia="宋体"/>
                    </w:rPr>
                    <w:t>钻机</w:t>
                  </w:r>
                </w:p>
              </w:tc>
              <w:tc>
                <w:tcPr>
                  <w:tcW w:w="752" w:type="pct"/>
                  <w:noWrap/>
                  <w:vAlign w:val="center"/>
                </w:tcPr>
                <w:p w14:paraId="6AE9C8CC">
                  <w:pPr>
                    <w:pStyle w:val="17"/>
                    <w:rPr>
                      <w:rFonts w:eastAsia="宋体"/>
                    </w:rPr>
                  </w:pPr>
                  <w:r>
                    <w:rPr>
                      <w:rFonts w:eastAsia="宋体"/>
                    </w:rPr>
                    <w:t>ZP-375</w:t>
                  </w:r>
                </w:p>
              </w:tc>
              <w:tc>
                <w:tcPr>
                  <w:tcW w:w="340" w:type="pct"/>
                  <w:noWrap/>
                  <w:vAlign w:val="center"/>
                </w:tcPr>
                <w:p w14:paraId="4472A436">
                  <w:pPr>
                    <w:pStyle w:val="17"/>
                    <w:rPr>
                      <w:rFonts w:hint="eastAsia" w:eastAsia="宋体"/>
                      <w:lang w:val="en-US" w:eastAsia="zh-CN"/>
                    </w:rPr>
                  </w:pPr>
                  <w:r>
                    <w:rPr>
                      <w:rFonts w:hint="eastAsia" w:eastAsia="宋体"/>
                      <w:lang w:val="en-US" w:eastAsia="zh-CN"/>
                    </w:rPr>
                    <w:t>0</w:t>
                  </w:r>
                </w:p>
              </w:tc>
              <w:tc>
                <w:tcPr>
                  <w:tcW w:w="364" w:type="pct"/>
                  <w:noWrap/>
                  <w:vAlign w:val="center"/>
                </w:tcPr>
                <w:p w14:paraId="654B2679">
                  <w:pPr>
                    <w:pStyle w:val="17"/>
                    <w:rPr>
                      <w:rFonts w:hint="default" w:eastAsia="宋体"/>
                      <w:lang w:val="en-US" w:eastAsia="zh-CN"/>
                    </w:rPr>
                  </w:pPr>
                  <w:r>
                    <w:rPr>
                      <w:rFonts w:hint="eastAsia" w:eastAsia="宋体"/>
                      <w:lang w:val="en-US" w:eastAsia="zh-CN"/>
                    </w:rPr>
                    <w:t>-15</w:t>
                  </w:r>
                </w:p>
              </w:tc>
              <w:tc>
                <w:tcPr>
                  <w:tcW w:w="332" w:type="pct"/>
                  <w:noWrap/>
                  <w:vAlign w:val="center"/>
                </w:tcPr>
                <w:p w14:paraId="1A5AA7DD">
                  <w:pPr>
                    <w:pStyle w:val="17"/>
                    <w:rPr>
                      <w:rFonts w:hint="default" w:eastAsia="宋体"/>
                      <w:lang w:val="en-US" w:eastAsia="zh-CN"/>
                    </w:rPr>
                  </w:pPr>
                  <w:r>
                    <w:rPr>
                      <w:rFonts w:hint="eastAsia" w:eastAsia="宋体"/>
                      <w:lang w:val="en-US" w:eastAsia="zh-CN"/>
                    </w:rPr>
                    <w:t>2</w:t>
                  </w:r>
                </w:p>
              </w:tc>
              <w:tc>
                <w:tcPr>
                  <w:tcW w:w="815" w:type="pct"/>
                  <w:vAlign w:val="center"/>
                </w:tcPr>
                <w:p w14:paraId="4D4F51F1">
                  <w:pPr>
                    <w:pStyle w:val="17"/>
                    <w:ind w:firstLine="0" w:firstLineChars="0"/>
                    <w:rPr>
                      <w:rFonts w:eastAsia="宋体"/>
                    </w:rPr>
                  </w:pPr>
                  <w:r>
                    <w:rPr>
                      <w:rFonts w:hint="eastAsia" w:eastAsia="宋体"/>
                    </w:rPr>
                    <w:t>85</w:t>
                  </w:r>
                </w:p>
              </w:tc>
              <w:tc>
                <w:tcPr>
                  <w:tcW w:w="704" w:type="pct"/>
                  <w:vAlign w:val="center"/>
                </w:tcPr>
                <w:p w14:paraId="0384BE6A">
                  <w:pPr>
                    <w:pStyle w:val="17"/>
                    <w:ind w:firstLine="0" w:firstLineChars="0"/>
                    <w:rPr>
                      <w:rFonts w:eastAsia="宋体"/>
                    </w:rPr>
                  </w:pPr>
                  <w:r>
                    <w:rPr>
                      <w:rFonts w:hint="eastAsia" w:eastAsia="宋体"/>
                    </w:rPr>
                    <w:t>消声</w:t>
                  </w:r>
                </w:p>
              </w:tc>
              <w:tc>
                <w:tcPr>
                  <w:tcW w:w="711" w:type="pct"/>
                  <w:vAlign w:val="center"/>
                </w:tcPr>
                <w:p w14:paraId="480D2008">
                  <w:pPr>
                    <w:pStyle w:val="17"/>
                    <w:rPr>
                      <w:rFonts w:hint="default" w:eastAsia="宋体"/>
                      <w:lang w:val="en-US" w:eastAsia="zh-CN"/>
                    </w:rPr>
                  </w:pPr>
                  <w:r>
                    <w:rPr>
                      <w:rFonts w:hint="eastAsia" w:eastAsia="宋体"/>
                      <w:lang w:val="en-US" w:eastAsia="zh-CN"/>
                    </w:rPr>
                    <w:t>24h连续</w:t>
                  </w:r>
                </w:p>
              </w:tc>
            </w:tr>
            <w:tr w14:paraId="0691A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7" w:type="pct"/>
                  <w:vAlign w:val="center"/>
                </w:tcPr>
                <w:p w14:paraId="74AD9F40">
                  <w:pPr>
                    <w:pStyle w:val="17"/>
                    <w:rPr>
                      <w:rFonts w:hint="eastAsia" w:eastAsia="宋体"/>
                      <w:lang w:val="en-US" w:eastAsia="zh-CN"/>
                    </w:rPr>
                  </w:pPr>
                  <w:r>
                    <w:rPr>
                      <w:rFonts w:hint="eastAsia" w:eastAsia="宋体"/>
                      <w:lang w:val="en-US" w:eastAsia="zh-CN"/>
                    </w:rPr>
                    <w:t>2</w:t>
                  </w:r>
                </w:p>
              </w:tc>
              <w:tc>
                <w:tcPr>
                  <w:tcW w:w="609" w:type="pct"/>
                  <w:vAlign w:val="center"/>
                </w:tcPr>
                <w:p w14:paraId="7C44A833">
                  <w:pPr>
                    <w:pStyle w:val="17"/>
                    <w:ind w:firstLine="0" w:firstLineChars="0"/>
                    <w:rPr>
                      <w:rFonts w:hint="eastAsia" w:eastAsia="宋体"/>
                    </w:rPr>
                  </w:pPr>
                  <w:r>
                    <w:rPr>
                      <w:rFonts w:hint="eastAsia" w:eastAsia="宋体"/>
                    </w:rPr>
                    <w:t>钻井泵</w:t>
                  </w:r>
                </w:p>
              </w:tc>
              <w:tc>
                <w:tcPr>
                  <w:tcW w:w="752" w:type="pct"/>
                  <w:noWrap/>
                  <w:vAlign w:val="center"/>
                </w:tcPr>
                <w:p w14:paraId="18DAA13D">
                  <w:pPr>
                    <w:pStyle w:val="17"/>
                    <w:rPr>
                      <w:rFonts w:eastAsia="宋体"/>
                    </w:rPr>
                  </w:pPr>
                  <w:r>
                    <w:rPr>
                      <w:rFonts w:eastAsia="宋体"/>
                    </w:rPr>
                    <w:t>F-1600HL</w:t>
                  </w:r>
                </w:p>
              </w:tc>
              <w:tc>
                <w:tcPr>
                  <w:tcW w:w="340" w:type="pct"/>
                  <w:noWrap/>
                  <w:vAlign w:val="center"/>
                </w:tcPr>
                <w:p w14:paraId="41BEDFC4">
                  <w:pPr>
                    <w:pStyle w:val="17"/>
                    <w:rPr>
                      <w:rFonts w:hint="eastAsia" w:eastAsia="宋体"/>
                      <w:lang w:val="en-US" w:eastAsia="zh-CN"/>
                    </w:rPr>
                  </w:pPr>
                  <w:r>
                    <w:rPr>
                      <w:rFonts w:hint="eastAsia" w:eastAsia="宋体"/>
                      <w:lang w:val="en-US" w:eastAsia="zh-CN"/>
                    </w:rPr>
                    <w:t>0</w:t>
                  </w:r>
                </w:p>
              </w:tc>
              <w:tc>
                <w:tcPr>
                  <w:tcW w:w="364" w:type="pct"/>
                  <w:noWrap/>
                  <w:vAlign w:val="center"/>
                </w:tcPr>
                <w:p w14:paraId="137C2044">
                  <w:pPr>
                    <w:pStyle w:val="17"/>
                    <w:rPr>
                      <w:rFonts w:hint="default" w:eastAsia="宋体"/>
                      <w:lang w:val="en-US" w:eastAsia="zh-CN"/>
                    </w:rPr>
                  </w:pPr>
                  <w:r>
                    <w:rPr>
                      <w:rFonts w:hint="eastAsia" w:eastAsia="宋体"/>
                      <w:lang w:val="en-US" w:eastAsia="zh-CN"/>
                    </w:rPr>
                    <w:t>40</w:t>
                  </w:r>
                </w:p>
              </w:tc>
              <w:tc>
                <w:tcPr>
                  <w:tcW w:w="332" w:type="pct"/>
                  <w:noWrap/>
                  <w:vAlign w:val="center"/>
                </w:tcPr>
                <w:p w14:paraId="76E6900A">
                  <w:pPr>
                    <w:pStyle w:val="17"/>
                    <w:rPr>
                      <w:rFonts w:hint="default" w:eastAsia="宋体"/>
                      <w:lang w:val="en-US" w:eastAsia="zh-CN"/>
                    </w:rPr>
                  </w:pPr>
                  <w:r>
                    <w:rPr>
                      <w:rFonts w:hint="eastAsia" w:eastAsia="宋体"/>
                      <w:lang w:val="en-US" w:eastAsia="zh-CN"/>
                    </w:rPr>
                    <w:t>0.5</w:t>
                  </w:r>
                </w:p>
              </w:tc>
              <w:tc>
                <w:tcPr>
                  <w:tcW w:w="815" w:type="pct"/>
                  <w:vAlign w:val="center"/>
                </w:tcPr>
                <w:p w14:paraId="325F4161">
                  <w:pPr>
                    <w:pStyle w:val="17"/>
                    <w:ind w:firstLine="0" w:firstLineChars="0"/>
                    <w:rPr>
                      <w:rFonts w:eastAsia="宋体"/>
                    </w:rPr>
                  </w:pPr>
                  <w:r>
                    <w:rPr>
                      <w:rFonts w:hint="eastAsia" w:eastAsia="宋体"/>
                    </w:rPr>
                    <w:t>9</w:t>
                  </w:r>
                  <w:r>
                    <w:rPr>
                      <w:rFonts w:eastAsia="宋体"/>
                    </w:rPr>
                    <w:t>0</w:t>
                  </w:r>
                </w:p>
              </w:tc>
              <w:tc>
                <w:tcPr>
                  <w:tcW w:w="704" w:type="pct"/>
                  <w:vAlign w:val="center"/>
                </w:tcPr>
                <w:p w14:paraId="4E12618F">
                  <w:pPr>
                    <w:pStyle w:val="17"/>
                    <w:ind w:firstLine="0" w:firstLineChars="0"/>
                    <w:rPr>
                      <w:rFonts w:eastAsia="宋体"/>
                    </w:rPr>
                  </w:pPr>
                  <w:r>
                    <w:rPr>
                      <w:rFonts w:hint="eastAsia" w:eastAsia="宋体"/>
                    </w:rPr>
                    <w:t>消声</w:t>
                  </w:r>
                </w:p>
              </w:tc>
              <w:tc>
                <w:tcPr>
                  <w:tcW w:w="711" w:type="pct"/>
                  <w:vAlign w:val="center"/>
                </w:tcPr>
                <w:p w14:paraId="291CBA22">
                  <w:pPr>
                    <w:pStyle w:val="17"/>
                    <w:rPr>
                      <w:rFonts w:eastAsia="宋体"/>
                    </w:rPr>
                  </w:pPr>
                  <w:r>
                    <w:rPr>
                      <w:rFonts w:hint="eastAsia" w:eastAsia="宋体"/>
                      <w:lang w:val="en-US" w:eastAsia="zh-CN"/>
                    </w:rPr>
                    <w:t>24h</w:t>
                  </w:r>
                  <w:r>
                    <w:rPr>
                      <w:rFonts w:hint="eastAsia" w:eastAsia="宋体"/>
                    </w:rPr>
                    <w:t>连续</w:t>
                  </w:r>
                </w:p>
              </w:tc>
            </w:tr>
            <w:tr w14:paraId="26B39D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7" w:type="pct"/>
                  <w:vAlign w:val="center"/>
                </w:tcPr>
                <w:p w14:paraId="484423E8">
                  <w:pPr>
                    <w:pStyle w:val="17"/>
                    <w:rPr>
                      <w:rFonts w:hint="eastAsia" w:eastAsia="宋体"/>
                      <w:lang w:val="en-US" w:eastAsia="zh-CN"/>
                    </w:rPr>
                  </w:pPr>
                  <w:r>
                    <w:rPr>
                      <w:rFonts w:hint="eastAsia" w:eastAsia="宋体"/>
                      <w:lang w:val="en-US" w:eastAsia="zh-CN"/>
                    </w:rPr>
                    <w:t>3</w:t>
                  </w:r>
                </w:p>
              </w:tc>
              <w:tc>
                <w:tcPr>
                  <w:tcW w:w="609" w:type="pct"/>
                  <w:vAlign w:val="center"/>
                </w:tcPr>
                <w:p w14:paraId="5F047895">
                  <w:pPr>
                    <w:pStyle w:val="17"/>
                    <w:ind w:firstLine="0" w:firstLineChars="0"/>
                    <w:rPr>
                      <w:rFonts w:eastAsia="宋体"/>
                    </w:rPr>
                  </w:pPr>
                  <w:r>
                    <w:rPr>
                      <w:rFonts w:eastAsia="宋体"/>
                    </w:rPr>
                    <w:t>振动筛</w:t>
                  </w:r>
                </w:p>
              </w:tc>
              <w:tc>
                <w:tcPr>
                  <w:tcW w:w="752" w:type="pct"/>
                  <w:noWrap/>
                  <w:vAlign w:val="center"/>
                </w:tcPr>
                <w:p w14:paraId="179DD603">
                  <w:pPr>
                    <w:pStyle w:val="17"/>
                    <w:rPr>
                      <w:rFonts w:eastAsia="宋体"/>
                    </w:rPr>
                  </w:pPr>
                  <w:r>
                    <w:rPr>
                      <w:rFonts w:eastAsia="宋体"/>
                    </w:rPr>
                    <w:t>/</w:t>
                  </w:r>
                </w:p>
              </w:tc>
              <w:tc>
                <w:tcPr>
                  <w:tcW w:w="340" w:type="pct"/>
                  <w:noWrap/>
                  <w:vAlign w:val="center"/>
                </w:tcPr>
                <w:p w14:paraId="2436FB91">
                  <w:pPr>
                    <w:pStyle w:val="17"/>
                    <w:rPr>
                      <w:rFonts w:hint="default" w:eastAsia="宋体"/>
                      <w:lang w:val="en-US" w:eastAsia="zh-CN"/>
                    </w:rPr>
                  </w:pPr>
                  <w:r>
                    <w:rPr>
                      <w:rFonts w:hint="eastAsia" w:eastAsia="宋体"/>
                      <w:lang w:val="en-US" w:eastAsia="zh-CN"/>
                    </w:rPr>
                    <w:t>18</w:t>
                  </w:r>
                </w:p>
              </w:tc>
              <w:tc>
                <w:tcPr>
                  <w:tcW w:w="364" w:type="pct"/>
                  <w:noWrap/>
                  <w:vAlign w:val="center"/>
                </w:tcPr>
                <w:p w14:paraId="32FA90FF">
                  <w:pPr>
                    <w:pStyle w:val="17"/>
                    <w:rPr>
                      <w:rFonts w:hint="default" w:eastAsia="宋体"/>
                      <w:lang w:val="en-US" w:eastAsia="zh-CN"/>
                    </w:rPr>
                  </w:pPr>
                  <w:r>
                    <w:rPr>
                      <w:rFonts w:hint="eastAsia" w:eastAsia="宋体"/>
                      <w:lang w:val="en-US" w:eastAsia="zh-CN"/>
                    </w:rPr>
                    <w:t>40</w:t>
                  </w:r>
                </w:p>
              </w:tc>
              <w:tc>
                <w:tcPr>
                  <w:tcW w:w="332" w:type="pct"/>
                  <w:noWrap/>
                  <w:vAlign w:val="center"/>
                </w:tcPr>
                <w:p w14:paraId="24CCE6D2">
                  <w:pPr>
                    <w:pStyle w:val="17"/>
                    <w:rPr>
                      <w:rFonts w:hint="default" w:eastAsia="宋体"/>
                      <w:lang w:val="en-US" w:eastAsia="zh-CN"/>
                    </w:rPr>
                  </w:pPr>
                  <w:r>
                    <w:rPr>
                      <w:rFonts w:hint="eastAsia" w:eastAsia="宋体"/>
                      <w:lang w:val="en-US" w:eastAsia="zh-CN"/>
                    </w:rPr>
                    <w:t>2.5</w:t>
                  </w:r>
                </w:p>
              </w:tc>
              <w:tc>
                <w:tcPr>
                  <w:tcW w:w="815" w:type="pct"/>
                  <w:vAlign w:val="center"/>
                </w:tcPr>
                <w:p w14:paraId="2C13C6B5">
                  <w:pPr>
                    <w:pStyle w:val="17"/>
                    <w:ind w:firstLine="0" w:firstLineChars="0"/>
                    <w:rPr>
                      <w:rFonts w:eastAsia="宋体"/>
                    </w:rPr>
                  </w:pPr>
                  <w:r>
                    <w:rPr>
                      <w:rFonts w:hint="eastAsia" w:eastAsia="宋体"/>
                    </w:rPr>
                    <w:t>9</w:t>
                  </w:r>
                  <w:r>
                    <w:rPr>
                      <w:rFonts w:eastAsia="宋体"/>
                    </w:rPr>
                    <w:t>0</w:t>
                  </w:r>
                </w:p>
              </w:tc>
              <w:tc>
                <w:tcPr>
                  <w:tcW w:w="704" w:type="pct"/>
                  <w:vAlign w:val="center"/>
                </w:tcPr>
                <w:p w14:paraId="08B09A73">
                  <w:pPr>
                    <w:pStyle w:val="17"/>
                    <w:ind w:firstLine="0" w:firstLineChars="0"/>
                    <w:rPr>
                      <w:rFonts w:eastAsia="宋体"/>
                    </w:rPr>
                  </w:pPr>
                  <w:r>
                    <w:rPr>
                      <w:rFonts w:hint="eastAsia" w:eastAsia="宋体"/>
                    </w:rPr>
                    <w:t>消声</w:t>
                  </w:r>
                </w:p>
              </w:tc>
              <w:tc>
                <w:tcPr>
                  <w:tcW w:w="711" w:type="pct"/>
                  <w:vAlign w:val="center"/>
                </w:tcPr>
                <w:p w14:paraId="72C55000">
                  <w:pPr>
                    <w:pStyle w:val="17"/>
                    <w:rPr>
                      <w:rFonts w:eastAsia="宋体"/>
                    </w:rPr>
                  </w:pPr>
                  <w:r>
                    <w:rPr>
                      <w:rFonts w:hint="eastAsia" w:eastAsia="宋体"/>
                      <w:lang w:val="en-US" w:eastAsia="zh-CN"/>
                    </w:rPr>
                    <w:t>24h</w:t>
                  </w:r>
                  <w:r>
                    <w:rPr>
                      <w:rFonts w:hint="eastAsia" w:eastAsia="宋体"/>
                    </w:rPr>
                    <w:t>连续</w:t>
                  </w:r>
                </w:p>
              </w:tc>
            </w:tr>
            <w:tr w14:paraId="2CF48A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7" w:type="pct"/>
                  <w:vAlign w:val="center"/>
                </w:tcPr>
                <w:p w14:paraId="4F5BDBD9">
                  <w:pPr>
                    <w:pStyle w:val="17"/>
                    <w:rPr>
                      <w:rFonts w:hint="eastAsia" w:eastAsia="宋体"/>
                      <w:lang w:val="en-US" w:eastAsia="zh-CN"/>
                    </w:rPr>
                  </w:pPr>
                  <w:r>
                    <w:rPr>
                      <w:rFonts w:hint="eastAsia" w:eastAsia="宋体"/>
                      <w:lang w:val="en-US" w:eastAsia="zh-CN"/>
                    </w:rPr>
                    <w:t>4</w:t>
                  </w:r>
                </w:p>
              </w:tc>
              <w:tc>
                <w:tcPr>
                  <w:tcW w:w="609" w:type="pct"/>
                  <w:vAlign w:val="center"/>
                </w:tcPr>
                <w:p w14:paraId="6E667D05">
                  <w:pPr>
                    <w:pStyle w:val="17"/>
                    <w:ind w:firstLine="0" w:firstLineChars="0"/>
                    <w:rPr>
                      <w:rFonts w:hint="eastAsia" w:eastAsia="宋体"/>
                    </w:rPr>
                  </w:pPr>
                  <w:r>
                    <w:rPr>
                      <w:rFonts w:hint="eastAsia" w:eastAsia="宋体"/>
                    </w:rPr>
                    <w:t>除砂器</w:t>
                  </w:r>
                </w:p>
              </w:tc>
              <w:tc>
                <w:tcPr>
                  <w:tcW w:w="752" w:type="pct"/>
                  <w:noWrap/>
                  <w:vAlign w:val="center"/>
                </w:tcPr>
                <w:p w14:paraId="06CF98A7">
                  <w:pPr>
                    <w:pStyle w:val="17"/>
                    <w:rPr>
                      <w:rFonts w:eastAsia="宋体"/>
                    </w:rPr>
                  </w:pPr>
                  <w:r>
                    <w:rPr>
                      <w:rFonts w:eastAsia="宋体"/>
                    </w:rPr>
                    <w:t>/</w:t>
                  </w:r>
                </w:p>
              </w:tc>
              <w:tc>
                <w:tcPr>
                  <w:tcW w:w="340" w:type="pct"/>
                  <w:noWrap/>
                  <w:vAlign w:val="center"/>
                </w:tcPr>
                <w:p w14:paraId="70BE8980">
                  <w:pPr>
                    <w:pStyle w:val="17"/>
                    <w:rPr>
                      <w:rFonts w:hint="default" w:eastAsia="宋体"/>
                      <w:lang w:val="en-US" w:eastAsia="zh-CN"/>
                    </w:rPr>
                  </w:pPr>
                  <w:r>
                    <w:rPr>
                      <w:rFonts w:hint="eastAsia" w:eastAsia="宋体"/>
                      <w:lang w:val="en-US" w:eastAsia="zh-CN"/>
                    </w:rPr>
                    <w:t>18</w:t>
                  </w:r>
                </w:p>
              </w:tc>
              <w:tc>
                <w:tcPr>
                  <w:tcW w:w="364" w:type="pct"/>
                  <w:noWrap/>
                  <w:vAlign w:val="center"/>
                </w:tcPr>
                <w:p w14:paraId="644AA69B">
                  <w:pPr>
                    <w:pStyle w:val="17"/>
                    <w:rPr>
                      <w:rFonts w:hint="default" w:eastAsia="宋体"/>
                      <w:lang w:val="en-US" w:eastAsia="zh-CN"/>
                    </w:rPr>
                  </w:pPr>
                  <w:r>
                    <w:rPr>
                      <w:rFonts w:hint="eastAsia" w:eastAsia="宋体"/>
                      <w:lang w:val="en-US" w:eastAsia="zh-CN"/>
                    </w:rPr>
                    <w:t>36</w:t>
                  </w:r>
                </w:p>
              </w:tc>
              <w:tc>
                <w:tcPr>
                  <w:tcW w:w="332" w:type="pct"/>
                  <w:noWrap/>
                  <w:vAlign w:val="center"/>
                </w:tcPr>
                <w:p w14:paraId="2E1F10A0">
                  <w:pPr>
                    <w:pStyle w:val="17"/>
                    <w:rPr>
                      <w:rFonts w:hint="default" w:eastAsia="宋体"/>
                      <w:lang w:val="en-US" w:eastAsia="zh-CN"/>
                    </w:rPr>
                  </w:pPr>
                  <w:r>
                    <w:rPr>
                      <w:rFonts w:hint="eastAsia" w:eastAsia="宋体"/>
                      <w:lang w:val="en-US" w:eastAsia="zh-CN"/>
                    </w:rPr>
                    <w:t>3</w:t>
                  </w:r>
                </w:p>
              </w:tc>
              <w:tc>
                <w:tcPr>
                  <w:tcW w:w="815" w:type="pct"/>
                  <w:vAlign w:val="center"/>
                </w:tcPr>
                <w:p w14:paraId="53E8DCFE">
                  <w:pPr>
                    <w:pStyle w:val="17"/>
                    <w:ind w:firstLine="0" w:firstLineChars="0"/>
                    <w:rPr>
                      <w:rFonts w:eastAsia="宋体"/>
                    </w:rPr>
                  </w:pPr>
                  <w:r>
                    <w:rPr>
                      <w:rFonts w:hint="eastAsia" w:eastAsia="宋体"/>
                    </w:rPr>
                    <w:t>9</w:t>
                  </w:r>
                  <w:r>
                    <w:rPr>
                      <w:rFonts w:eastAsia="宋体"/>
                    </w:rPr>
                    <w:t>0</w:t>
                  </w:r>
                </w:p>
              </w:tc>
              <w:tc>
                <w:tcPr>
                  <w:tcW w:w="704" w:type="pct"/>
                  <w:vAlign w:val="center"/>
                </w:tcPr>
                <w:p w14:paraId="7420B1BC">
                  <w:pPr>
                    <w:pStyle w:val="17"/>
                    <w:ind w:firstLine="0" w:firstLineChars="0"/>
                    <w:rPr>
                      <w:rFonts w:eastAsia="宋体"/>
                    </w:rPr>
                  </w:pPr>
                  <w:r>
                    <w:rPr>
                      <w:rFonts w:hint="eastAsia" w:eastAsia="宋体"/>
                    </w:rPr>
                    <w:t>消声</w:t>
                  </w:r>
                </w:p>
              </w:tc>
              <w:tc>
                <w:tcPr>
                  <w:tcW w:w="711" w:type="pct"/>
                  <w:vAlign w:val="center"/>
                </w:tcPr>
                <w:p w14:paraId="0C2B0663">
                  <w:pPr>
                    <w:pStyle w:val="17"/>
                    <w:rPr>
                      <w:rFonts w:eastAsia="宋体"/>
                    </w:rPr>
                  </w:pPr>
                  <w:r>
                    <w:rPr>
                      <w:rFonts w:hint="eastAsia" w:eastAsia="宋体"/>
                      <w:lang w:val="en-US" w:eastAsia="zh-CN"/>
                    </w:rPr>
                    <w:t>24h</w:t>
                  </w:r>
                  <w:r>
                    <w:rPr>
                      <w:rFonts w:hint="eastAsia" w:eastAsia="宋体"/>
                    </w:rPr>
                    <w:t>连续</w:t>
                  </w:r>
                </w:p>
              </w:tc>
            </w:tr>
            <w:tr w14:paraId="6249C0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7" w:type="pct"/>
                  <w:vAlign w:val="center"/>
                </w:tcPr>
                <w:p w14:paraId="5E5A48DB">
                  <w:pPr>
                    <w:pStyle w:val="17"/>
                    <w:rPr>
                      <w:rFonts w:hint="eastAsia" w:eastAsia="宋体"/>
                      <w:lang w:val="en-US" w:eastAsia="zh-CN"/>
                    </w:rPr>
                  </w:pPr>
                  <w:r>
                    <w:rPr>
                      <w:rFonts w:hint="eastAsia" w:eastAsia="宋体"/>
                      <w:lang w:val="en-US" w:eastAsia="zh-CN"/>
                    </w:rPr>
                    <w:t>5</w:t>
                  </w:r>
                </w:p>
              </w:tc>
              <w:tc>
                <w:tcPr>
                  <w:tcW w:w="609" w:type="pct"/>
                  <w:vAlign w:val="center"/>
                </w:tcPr>
                <w:p w14:paraId="6A23B5CE">
                  <w:pPr>
                    <w:pStyle w:val="17"/>
                    <w:ind w:firstLine="0" w:firstLineChars="0"/>
                    <w:rPr>
                      <w:rFonts w:hint="eastAsia" w:eastAsia="宋体"/>
                    </w:rPr>
                  </w:pPr>
                  <w:r>
                    <w:rPr>
                      <w:rFonts w:hint="eastAsia" w:eastAsia="宋体"/>
                    </w:rPr>
                    <w:t>离心器</w:t>
                  </w:r>
                </w:p>
              </w:tc>
              <w:tc>
                <w:tcPr>
                  <w:tcW w:w="752" w:type="pct"/>
                  <w:noWrap/>
                  <w:vAlign w:val="center"/>
                </w:tcPr>
                <w:p w14:paraId="5778E0CF">
                  <w:pPr>
                    <w:pStyle w:val="17"/>
                    <w:rPr>
                      <w:rFonts w:eastAsia="宋体"/>
                    </w:rPr>
                  </w:pPr>
                  <w:r>
                    <w:rPr>
                      <w:rFonts w:eastAsia="宋体"/>
                    </w:rPr>
                    <w:t>/</w:t>
                  </w:r>
                </w:p>
              </w:tc>
              <w:tc>
                <w:tcPr>
                  <w:tcW w:w="340" w:type="pct"/>
                  <w:noWrap/>
                  <w:vAlign w:val="center"/>
                </w:tcPr>
                <w:p w14:paraId="4C32C711">
                  <w:pPr>
                    <w:pStyle w:val="17"/>
                    <w:rPr>
                      <w:rFonts w:hint="default" w:eastAsia="宋体"/>
                      <w:lang w:val="en-US" w:eastAsia="zh-CN"/>
                    </w:rPr>
                  </w:pPr>
                  <w:r>
                    <w:rPr>
                      <w:rFonts w:hint="eastAsia" w:eastAsia="宋体"/>
                      <w:lang w:val="en-US" w:eastAsia="zh-CN"/>
                    </w:rPr>
                    <w:t>15</w:t>
                  </w:r>
                </w:p>
              </w:tc>
              <w:tc>
                <w:tcPr>
                  <w:tcW w:w="364" w:type="pct"/>
                  <w:noWrap/>
                  <w:vAlign w:val="center"/>
                </w:tcPr>
                <w:p w14:paraId="147209EF">
                  <w:pPr>
                    <w:pStyle w:val="17"/>
                    <w:rPr>
                      <w:rFonts w:hint="default" w:eastAsia="宋体"/>
                      <w:lang w:val="en-US" w:eastAsia="zh-CN"/>
                    </w:rPr>
                  </w:pPr>
                  <w:r>
                    <w:rPr>
                      <w:rFonts w:hint="eastAsia" w:eastAsia="宋体"/>
                      <w:lang w:val="en-US" w:eastAsia="zh-CN"/>
                    </w:rPr>
                    <w:t>38</w:t>
                  </w:r>
                </w:p>
              </w:tc>
              <w:tc>
                <w:tcPr>
                  <w:tcW w:w="332" w:type="pct"/>
                  <w:noWrap/>
                  <w:vAlign w:val="center"/>
                </w:tcPr>
                <w:p w14:paraId="614A31E8">
                  <w:pPr>
                    <w:pStyle w:val="17"/>
                    <w:rPr>
                      <w:rFonts w:hint="default" w:eastAsia="宋体"/>
                      <w:lang w:val="en-US" w:eastAsia="zh-CN"/>
                    </w:rPr>
                  </w:pPr>
                  <w:r>
                    <w:rPr>
                      <w:rFonts w:hint="eastAsia" w:eastAsia="宋体"/>
                      <w:lang w:val="en-US" w:eastAsia="zh-CN"/>
                    </w:rPr>
                    <w:t>1</w:t>
                  </w:r>
                </w:p>
              </w:tc>
              <w:tc>
                <w:tcPr>
                  <w:tcW w:w="815" w:type="pct"/>
                  <w:vAlign w:val="center"/>
                </w:tcPr>
                <w:p w14:paraId="07D4CF12">
                  <w:pPr>
                    <w:pStyle w:val="17"/>
                    <w:ind w:firstLine="0" w:firstLineChars="0"/>
                    <w:rPr>
                      <w:rFonts w:eastAsia="宋体"/>
                    </w:rPr>
                  </w:pPr>
                  <w:r>
                    <w:rPr>
                      <w:rFonts w:hint="eastAsia" w:eastAsia="宋体"/>
                    </w:rPr>
                    <w:t>8</w:t>
                  </w:r>
                  <w:r>
                    <w:rPr>
                      <w:rFonts w:eastAsia="宋体"/>
                    </w:rPr>
                    <w:t>0</w:t>
                  </w:r>
                </w:p>
              </w:tc>
              <w:tc>
                <w:tcPr>
                  <w:tcW w:w="704" w:type="pct"/>
                  <w:vAlign w:val="center"/>
                </w:tcPr>
                <w:p w14:paraId="49676B03">
                  <w:pPr>
                    <w:pStyle w:val="17"/>
                    <w:ind w:firstLine="0" w:firstLineChars="0"/>
                    <w:rPr>
                      <w:rFonts w:eastAsia="宋体"/>
                    </w:rPr>
                  </w:pPr>
                  <w:r>
                    <w:rPr>
                      <w:rFonts w:hint="eastAsia" w:eastAsia="宋体"/>
                    </w:rPr>
                    <w:t>消声</w:t>
                  </w:r>
                </w:p>
              </w:tc>
              <w:tc>
                <w:tcPr>
                  <w:tcW w:w="711" w:type="pct"/>
                  <w:vAlign w:val="center"/>
                </w:tcPr>
                <w:p w14:paraId="4A853F56">
                  <w:pPr>
                    <w:pStyle w:val="17"/>
                    <w:rPr>
                      <w:rFonts w:eastAsia="宋体"/>
                    </w:rPr>
                  </w:pPr>
                  <w:r>
                    <w:rPr>
                      <w:rFonts w:hint="eastAsia" w:eastAsia="宋体"/>
                      <w:lang w:val="en-US" w:eastAsia="zh-CN"/>
                    </w:rPr>
                    <w:t>24h</w:t>
                  </w:r>
                  <w:r>
                    <w:rPr>
                      <w:rFonts w:hint="eastAsia" w:eastAsia="宋体"/>
                    </w:rPr>
                    <w:t>连续</w:t>
                  </w:r>
                </w:p>
              </w:tc>
            </w:tr>
            <w:tr w14:paraId="668C27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7" w:type="pct"/>
                  <w:vAlign w:val="center"/>
                </w:tcPr>
                <w:p w14:paraId="7CCD4168">
                  <w:pPr>
                    <w:pStyle w:val="17"/>
                    <w:rPr>
                      <w:rFonts w:hint="eastAsia" w:eastAsia="宋体"/>
                      <w:lang w:val="en-US" w:eastAsia="zh-CN"/>
                    </w:rPr>
                  </w:pPr>
                  <w:r>
                    <w:rPr>
                      <w:rFonts w:hint="eastAsia" w:eastAsia="宋体"/>
                      <w:lang w:val="en-US" w:eastAsia="zh-CN"/>
                    </w:rPr>
                    <w:t>6</w:t>
                  </w:r>
                </w:p>
              </w:tc>
              <w:tc>
                <w:tcPr>
                  <w:tcW w:w="609" w:type="pct"/>
                  <w:vAlign w:val="center"/>
                </w:tcPr>
                <w:p w14:paraId="096A0E2F">
                  <w:pPr>
                    <w:pStyle w:val="17"/>
                    <w:ind w:firstLine="0" w:firstLineChars="0"/>
                    <w:rPr>
                      <w:rFonts w:hint="eastAsia" w:eastAsia="宋体"/>
                    </w:rPr>
                  </w:pPr>
                  <w:r>
                    <w:rPr>
                      <w:rFonts w:hint="eastAsia" w:eastAsia="宋体"/>
                    </w:rPr>
                    <w:t>除气器</w:t>
                  </w:r>
                </w:p>
              </w:tc>
              <w:tc>
                <w:tcPr>
                  <w:tcW w:w="752" w:type="pct"/>
                  <w:noWrap/>
                  <w:vAlign w:val="center"/>
                </w:tcPr>
                <w:p w14:paraId="0C3746E5">
                  <w:pPr>
                    <w:pStyle w:val="17"/>
                    <w:rPr>
                      <w:rFonts w:eastAsia="宋体"/>
                    </w:rPr>
                  </w:pPr>
                  <w:r>
                    <w:rPr>
                      <w:rFonts w:eastAsia="宋体"/>
                    </w:rPr>
                    <w:t>2CQ360-360</w:t>
                  </w:r>
                </w:p>
              </w:tc>
              <w:tc>
                <w:tcPr>
                  <w:tcW w:w="340" w:type="pct"/>
                  <w:noWrap/>
                  <w:vAlign w:val="center"/>
                </w:tcPr>
                <w:p w14:paraId="7DB18EF9">
                  <w:pPr>
                    <w:pStyle w:val="17"/>
                    <w:rPr>
                      <w:rFonts w:hint="default" w:eastAsia="宋体"/>
                      <w:lang w:val="en-US" w:eastAsia="zh-CN"/>
                    </w:rPr>
                  </w:pPr>
                  <w:r>
                    <w:rPr>
                      <w:rFonts w:hint="eastAsia" w:eastAsia="宋体"/>
                      <w:lang w:val="en-US" w:eastAsia="zh-CN"/>
                    </w:rPr>
                    <w:t>16</w:t>
                  </w:r>
                </w:p>
              </w:tc>
              <w:tc>
                <w:tcPr>
                  <w:tcW w:w="364" w:type="pct"/>
                  <w:noWrap/>
                  <w:vAlign w:val="center"/>
                </w:tcPr>
                <w:p w14:paraId="38FABC9E">
                  <w:pPr>
                    <w:pStyle w:val="17"/>
                    <w:rPr>
                      <w:rFonts w:hint="default" w:eastAsia="宋体"/>
                      <w:lang w:val="en-US" w:eastAsia="zh-CN"/>
                    </w:rPr>
                  </w:pPr>
                  <w:r>
                    <w:rPr>
                      <w:rFonts w:hint="eastAsia" w:eastAsia="宋体"/>
                      <w:lang w:val="en-US" w:eastAsia="zh-CN"/>
                    </w:rPr>
                    <w:t>35</w:t>
                  </w:r>
                </w:p>
              </w:tc>
              <w:tc>
                <w:tcPr>
                  <w:tcW w:w="332" w:type="pct"/>
                  <w:noWrap/>
                  <w:vAlign w:val="center"/>
                </w:tcPr>
                <w:p w14:paraId="687E9BAB">
                  <w:pPr>
                    <w:pStyle w:val="17"/>
                    <w:rPr>
                      <w:rFonts w:hint="default" w:eastAsia="宋体"/>
                      <w:lang w:val="en-US" w:eastAsia="zh-CN"/>
                    </w:rPr>
                  </w:pPr>
                  <w:r>
                    <w:rPr>
                      <w:rFonts w:hint="eastAsia" w:eastAsia="宋体"/>
                      <w:lang w:val="en-US" w:eastAsia="zh-CN"/>
                    </w:rPr>
                    <w:t>1</w:t>
                  </w:r>
                </w:p>
              </w:tc>
              <w:tc>
                <w:tcPr>
                  <w:tcW w:w="815" w:type="pct"/>
                  <w:vAlign w:val="center"/>
                </w:tcPr>
                <w:p w14:paraId="78C6A3E5">
                  <w:pPr>
                    <w:pStyle w:val="17"/>
                    <w:ind w:firstLine="0" w:firstLineChars="0"/>
                    <w:rPr>
                      <w:rFonts w:eastAsia="宋体"/>
                    </w:rPr>
                  </w:pPr>
                  <w:r>
                    <w:rPr>
                      <w:rFonts w:hint="eastAsia" w:eastAsia="宋体"/>
                    </w:rPr>
                    <w:t>8</w:t>
                  </w:r>
                  <w:r>
                    <w:rPr>
                      <w:rFonts w:eastAsia="宋体"/>
                    </w:rPr>
                    <w:t>0</w:t>
                  </w:r>
                </w:p>
              </w:tc>
              <w:tc>
                <w:tcPr>
                  <w:tcW w:w="704" w:type="pct"/>
                  <w:vAlign w:val="center"/>
                </w:tcPr>
                <w:p w14:paraId="3B9405E1">
                  <w:pPr>
                    <w:pStyle w:val="17"/>
                    <w:ind w:firstLine="0" w:firstLineChars="0"/>
                    <w:rPr>
                      <w:rFonts w:eastAsia="宋体"/>
                    </w:rPr>
                  </w:pPr>
                  <w:r>
                    <w:rPr>
                      <w:rFonts w:hint="eastAsia" w:eastAsia="宋体"/>
                    </w:rPr>
                    <w:t>消声</w:t>
                  </w:r>
                </w:p>
              </w:tc>
              <w:tc>
                <w:tcPr>
                  <w:tcW w:w="711" w:type="pct"/>
                  <w:vAlign w:val="center"/>
                </w:tcPr>
                <w:p w14:paraId="21C9BBC9">
                  <w:pPr>
                    <w:pStyle w:val="17"/>
                    <w:rPr>
                      <w:rFonts w:eastAsia="宋体"/>
                    </w:rPr>
                  </w:pPr>
                  <w:r>
                    <w:rPr>
                      <w:rFonts w:hint="eastAsia" w:eastAsia="宋体"/>
                      <w:lang w:val="en-US" w:eastAsia="zh-CN"/>
                    </w:rPr>
                    <w:t>24h</w:t>
                  </w:r>
                  <w:r>
                    <w:rPr>
                      <w:rFonts w:hint="eastAsia" w:eastAsia="宋体"/>
                    </w:rPr>
                    <w:t>连续</w:t>
                  </w:r>
                </w:p>
              </w:tc>
            </w:tr>
            <w:tr w14:paraId="1FF029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7" w:type="pct"/>
                  <w:vAlign w:val="center"/>
                </w:tcPr>
                <w:p w14:paraId="2BD5579D">
                  <w:pPr>
                    <w:pStyle w:val="17"/>
                    <w:rPr>
                      <w:rFonts w:hint="eastAsia" w:eastAsia="宋体"/>
                      <w:lang w:val="en-US" w:eastAsia="zh-CN"/>
                    </w:rPr>
                  </w:pPr>
                  <w:r>
                    <w:rPr>
                      <w:rFonts w:hint="eastAsia" w:eastAsia="宋体"/>
                      <w:lang w:val="en-US" w:eastAsia="zh-CN"/>
                    </w:rPr>
                    <w:t>7</w:t>
                  </w:r>
                </w:p>
              </w:tc>
              <w:tc>
                <w:tcPr>
                  <w:tcW w:w="609" w:type="pct"/>
                  <w:vAlign w:val="center"/>
                </w:tcPr>
                <w:p w14:paraId="319544CE">
                  <w:pPr>
                    <w:pStyle w:val="17"/>
                    <w:ind w:firstLine="0" w:firstLineChars="0"/>
                    <w:rPr>
                      <w:rFonts w:eastAsia="宋体"/>
                    </w:rPr>
                  </w:pPr>
                  <w:r>
                    <w:rPr>
                      <w:rFonts w:eastAsia="宋体"/>
                    </w:rPr>
                    <w:t>泥浆泵</w:t>
                  </w:r>
                </w:p>
              </w:tc>
              <w:tc>
                <w:tcPr>
                  <w:tcW w:w="752" w:type="pct"/>
                  <w:noWrap/>
                  <w:vAlign w:val="center"/>
                </w:tcPr>
                <w:p w14:paraId="6689BD8A">
                  <w:pPr>
                    <w:pStyle w:val="17"/>
                    <w:rPr>
                      <w:rFonts w:eastAsia="宋体"/>
                    </w:rPr>
                  </w:pPr>
                  <w:r>
                    <w:rPr>
                      <w:rFonts w:eastAsia="宋体"/>
                    </w:rPr>
                    <w:t>F-1600</w:t>
                  </w:r>
                </w:p>
              </w:tc>
              <w:tc>
                <w:tcPr>
                  <w:tcW w:w="340" w:type="pct"/>
                  <w:noWrap/>
                  <w:vAlign w:val="center"/>
                </w:tcPr>
                <w:p w14:paraId="2DD69E2A">
                  <w:pPr>
                    <w:pStyle w:val="17"/>
                    <w:rPr>
                      <w:rFonts w:hint="default" w:eastAsia="宋体"/>
                      <w:lang w:val="en-US" w:eastAsia="zh-CN"/>
                    </w:rPr>
                  </w:pPr>
                  <w:r>
                    <w:rPr>
                      <w:rFonts w:hint="eastAsia" w:eastAsia="宋体"/>
                      <w:lang w:val="en-US" w:eastAsia="zh-CN"/>
                    </w:rPr>
                    <w:t>18</w:t>
                  </w:r>
                </w:p>
              </w:tc>
              <w:tc>
                <w:tcPr>
                  <w:tcW w:w="364" w:type="pct"/>
                  <w:noWrap/>
                  <w:vAlign w:val="center"/>
                </w:tcPr>
                <w:p w14:paraId="01E6E05C">
                  <w:pPr>
                    <w:pStyle w:val="17"/>
                    <w:rPr>
                      <w:rFonts w:hint="default" w:eastAsia="宋体"/>
                      <w:lang w:val="en-US" w:eastAsia="zh-CN"/>
                    </w:rPr>
                  </w:pPr>
                  <w:r>
                    <w:rPr>
                      <w:rFonts w:hint="eastAsia" w:eastAsia="宋体"/>
                      <w:lang w:val="en-US" w:eastAsia="zh-CN"/>
                    </w:rPr>
                    <w:t>30</w:t>
                  </w:r>
                </w:p>
              </w:tc>
              <w:tc>
                <w:tcPr>
                  <w:tcW w:w="332" w:type="pct"/>
                  <w:noWrap/>
                  <w:vAlign w:val="center"/>
                </w:tcPr>
                <w:p w14:paraId="465846CD">
                  <w:pPr>
                    <w:pStyle w:val="17"/>
                    <w:rPr>
                      <w:rFonts w:hint="default" w:eastAsia="宋体"/>
                      <w:lang w:val="en-US" w:eastAsia="zh-CN"/>
                    </w:rPr>
                  </w:pPr>
                  <w:r>
                    <w:rPr>
                      <w:rFonts w:hint="eastAsia" w:eastAsia="宋体"/>
                      <w:lang w:val="en-US" w:eastAsia="zh-CN"/>
                    </w:rPr>
                    <w:t>0.5</w:t>
                  </w:r>
                </w:p>
              </w:tc>
              <w:tc>
                <w:tcPr>
                  <w:tcW w:w="815" w:type="pct"/>
                  <w:vAlign w:val="center"/>
                </w:tcPr>
                <w:p w14:paraId="6B1B151E">
                  <w:pPr>
                    <w:pStyle w:val="17"/>
                    <w:ind w:firstLine="0" w:firstLineChars="0"/>
                    <w:rPr>
                      <w:rFonts w:eastAsia="宋体"/>
                    </w:rPr>
                  </w:pPr>
                  <w:r>
                    <w:rPr>
                      <w:rFonts w:hint="eastAsia" w:eastAsia="宋体"/>
                    </w:rPr>
                    <w:t>9</w:t>
                  </w:r>
                  <w:r>
                    <w:rPr>
                      <w:rFonts w:eastAsia="宋体"/>
                    </w:rPr>
                    <w:t>0</w:t>
                  </w:r>
                </w:p>
              </w:tc>
              <w:tc>
                <w:tcPr>
                  <w:tcW w:w="704" w:type="pct"/>
                  <w:vAlign w:val="center"/>
                </w:tcPr>
                <w:p w14:paraId="0847C6B9">
                  <w:pPr>
                    <w:pStyle w:val="17"/>
                    <w:ind w:firstLine="0" w:firstLineChars="0"/>
                    <w:rPr>
                      <w:rFonts w:eastAsia="宋体"/>
                    </w:rPr>
                  </w:pPr>
                  <w:r>
                    <w:rPr>
                      <w:rFonts w:hint="eastAsia" w:eastAsia="宋体"/>
                    </w:rPr>
                    <w:t>消声</w:t>
                  </w:r>
                </w:p>
              </w:tc>
              <w:tc>
                <w:tcPr>
                  <w:tcW w:w="711" w:type="pct"/>
                  <w:vAlign w:val="center"/>
                </w:tcPr>
                <w:p w14:paraId="3582BDDD">
                  <w:pPr>
                    <w:pStyle w:val="17"/>
                    <w:rPr>
                      <w:rFonts w:eastAsia="宋体"/>
                    </w:rPr>
                  </w:pPr>
                  <w:r>
                    <w:rPr>
                      <w:rFonts w:hint="eastAsia" w:eastAsia="宋体"/>
                      <w:lang w:val="en-US" w:eastAsia="zh-CN"/>
                    </w:rPr>
                    <w:t>24h</w:t>
                  </w:r>
                  <w:r>
                    <w:rPr>
                      <w:rFonts w:hint="eastAsia" w:eastAsia="宋体"/>
                    </w:rPr>
                    <w:t>连续</w:t>
                  </w:r>
                </w:p>
              </w:tc>
            </w:tr>
            <w:tr w14:paraId="4C9B07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7" w:type="pct"/>
                  <w:vAlign w:val="center"/>
                </w:tcPr>
                <w:p w14:paraId="501304F0">
                  <w:pPr>
                    <w:pStyle w:val="17"/>
                    <w:rPr>
                      <w:rFonts w:hint="eastAsia" w:eastAsia="宋体"/>
                      <w:lang w:val="en-US" w:eastAsia="zh-CN"/>
                    </w:rPr>
                  </w:pPr>
                  <w:r>
                    <w:rPr>
                      <w:rFonts w:hint="eastAsia" w:eastAsia="宋体"/>
                      <w:lang w:val="en-US" w:eastAsia="zh-CN"/>
                    </w:rPr>
                    <w:t>8</w:t>
                  </w:r>
                </w:p>
              </w:tc>
              <w:tc>
                <w:tcPr>
                  <w:tcW w:w="609" w:type="pct"/>
                  <w:vAlign w:val="center"/>
                </w:tcPr>
                <w:p w14:paraId="7B22CE15">
                  <w:pPr>
                    <w:pStyle w:val="17"/>
                    <w:rPr>
                      <w:rFonts w:hint="eastAsia" w:eastAsia="宋体"/>
                    </w:rPr>
                  </w:pPr>
                  <w:r>
                    <w:rPr>
                      <w:rFonts w:hint="eastAsia" w:eastAsia="宋体"/>
                    </w:rPr>
                    <w:t>柴油发电机</w:t>
                  </w:r>
                </w:p>
              </w:tc>
              <w:tc>
                <w:tcPr>
                  <w:tcW w:w="752" w:type="pct"/>
                  <w:noWrap/>
                  <w:vAlign w:val="center"/>
                </w:tcPr>
                <w:p w14:paraId="30A9C407">
                  <w:pPr>
                    <w:pStyle w:val="17"/>
                    <w:rPr>
                      <w:rFonts w:eastAsia="宋体"/>
                    </w:rPr>
                  </w:pPr>
                  <w:r>
                    <w:rPr>
                      <w:rFonts w:eastAsia="宋体"/>
                    </w:rPr>
                    <w:t>/</w:t>
                  </w:r>
                </w:p>
              </w:tc>
              <w:tc>
                <w:tcPr>
                  <w:tcW w:w="340" w:type="pct"/>
                  <w:noWrap/>
                  <w:vAlign w:val="center"/>
                </w:tcPr>
                <w:p w14:paraId="3A933BFB">
                  <w:pPr>
                    <w:pStyle w:val="17"/>
                    <w:rPr>
                      <w:rFonts w:hint="default" w:eastAsia="宋体"/>
                      <w:lang w:val="en-US" w:eastAsia="zh-CN"/>
                    </w:rPr>
                  </w:pPr>
                  <w:r>
                    <w:rPr>
                      <w:rFonts w:hint="eastAsia" w:eastAsia="宋体"/>
                      <w:lang w:val="en-US" w:eastAsia="zh-CN"/>
                    </w:rPr>
                    <w:t>-35</w:t>
                  </w:r>
                </w:p>
              </w:tc>
              <w:tc>
                <w:tcPr>
                  <w:tcW w:w="364" w:type="pct"/>
                  <w:noWrap/>
                  <w:vAlign w:val="center"/>
                </w:tcPr>
                <w:p w14:paraId="3812DF9E">
                  <w:pPr>
                    <w:pStyle w:val="17"/>
                    <w:rPr>
                      <w:rFonts w:hint="default" w:eastAsia="宋体"/>
                      <w:lang w:val="en-US" w:eastAsia="zh-CN"/>
                    </w:rPr>
                  </w:pPr>
                  <w:r>
                    <w:rPr>
                      <w:rFonts w:hint="eastAsia" w:eastAsia="宋体"/>
                      <w:lang w:val="en-US" w:eastAsia="zh-CN"/>
                    </w:rPr>
                    <w:t>35</w:t>
                  </w:r>
                </w:p>
              </w:tc>
              <w:tc>
                <w:tcPr>
                  <w:tcW w:w="332" w:type="pct"/>
                  <w:noWrap/>
                  <w:vAlign w:val="center"/>
                </w:tcPr>
                <w:p w14:paraId="5C9298B0">
                  <w:pPr>
                    <w:pStyle w:val="17"/>
                    <w:rPr>
                      <w:rFonts w:hint="default" w:eastAsia="宋体"/>
                      <w:lang w:val="en-US" w:eastAsia="zh-CN"/>
                    </w:rPr>
                  </w:pPr>
                  <w:r>
                    <w:rPr>
                      <w:rFonts w:hint="eastAsia" w:eastAsia="宋体"/>
                      <w:lang w:val="en-US" w:eastAsia="zh-CN"/>
                    </w:rPr>
                    <w:t>0.5</w:t>
                  </w:r>
                </w:p>
              </w:tc>
              <w:tc>
                <w:tcPr>
                  <w:tcW w:w="815" w:type="pct"/>
                  <w:vAlign w:val="center"/>
                </w:tcPr>
                <w:p w14:paraId="6F1E794E">
                  <w:pPr>
                    <w:pStyle w:val="17"/>
                    <w:ind w:firstLine="0" w:firstLineChars="0"/>
                    <w:rPr>
                      <w:rFonts w:eastAsia="宋体"/>
                    </w:rPr>
                  </w:pPr>
                  <w:r>
                    <w:rPr>
                      <w:rFonts w:eastAsia="宋体"/>
                    </w:rPr>
                    <w:t>100</w:t>
                  </w:r>
                </w:p>
              </w:tc>
              <w:tc>
                <w:tcPr>
                  <w:tcW w:w="704" w:type="pct"/>
                  <w:vAlign w:val="center"/>
                </w:tcPr>
                <w:p w14:paraId="0B95B328">
                  <w:pPr>
                    <w:pStyle w:val="17"/>
                    <w:ind w:firstLine="0" w:firstLineChars="0"/>
                    <w:rPr>
                      <w:rFonts w:eastAsia="宋体"/>
                    </w:rPr>
                  </w:pPr>
                  <w:r>
                    <w:rPr>
                      <w:rFonts w:hint="eastAsia" w:eastAsia="宋体"/>
                    </w:rPr>
                    <w:t>远离</w:t>
                  </w:r>
                  <w:r>
                    <w:rPr>
                      <w:rFonts w:eastAsia="宋体"/>
                    </w:rPr>
                    <w:t>敏感点</w:t>
                  </w:r>
                  <w:r>
                    <w:rPr>
                      <w:rFonts w:hint="eastAsia" w:eastAsia="宋体"/>
                      <w:lang w:eastAsia="zh-CN"/>
                    </w:rPr>
                    <w:t>、</w:t>
                  </w:r>
                  <w:r>
                    <w:rPr>
                      <w:rFonts w:hint="eastAsia" w:eastAsia="宋体"/>
                      <w:lang w:val="en-US" w:eastAsia="zh-CN"/>
                    </w:rPr>
                    <w:t>选用</w:t>
                  </w:r>
                  <w:r>
                    <w:rPr>
                      <w:rFonts w:hint="eastAsia" w:eastAsia="宋体"/>
                    </w:rPr>
                    <w:t>低噪声设备</w:t>
                  </w:r>
                  <w:r>
                    <w:rPr>
                      <w:rFonts w:hint="eastAsia" w:eastAsia="宋体"/>
                      <w:lang w:eastAsia="zh-CN"/>
                    </w:rPr>
                    <w:t>、</w:t>
                  </w:r>
                  <w:r>
                    <w:rPr>
                      <w:rFonts w:hint="eastAsia" w:eastAsia="宋体"/>
                    </w:rPr>
                    <w:t>消</w:t>
                  </w:r>
                  <w:r>
                    <w:rPr>
                      <w:rFonts w:hint="eastAsia" w:eastAsia="宋体"/>
                      <w:lang w:val="en-US" w:eastAsia="zh-CN"/>
                    </w:rPr>
                    <w:t>声、</w:t>
                  </w:r>
                  <w:r>
                    <w:rPr>
                      <w:rFonts w:eastAsia="宋体"/>
                    </w:rPr>
                    <w:t>隔声</w:t>
                  </w:r>
                </w:p>
              </w:tc>
              <w:tc>
                <w:tcPr>
                  <w:tcW w:w="711" w:type="pct"/>
                  <w:vAlign w:val="center"/>
                </w:tcPr>
                <w:p w14:paraId="526FF535">
                  <w:pPr>
                    <w:pStyle w:val="17"/>
                    <w:rPr>
                      <w:rFonts w:hint="eastAsia" w:eastAsia="宋体"/>
                      <w:lang w:val="en-US" w:eastAsia="zh-CN"/>
                    </w:rPr>
                  </w:pPr>
                  <w:r>
                    <w:rPr>
                      <w:rFonts w:hint="eastAsia" w:eastAsia="宋体"/>
                      <w:lang w:val="en-US" w:eastAsia="zh-CN"/>
                    </w:rPr>
                    <w:t>停电时</w:t>
                  </w:r>
                </w:p>
              </w:tc>
            </w:tr>
            <w:tr w14:paraId="51E390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7" w:type="pct"/>
                  <w:vAlign w:val="center"/>
                </w:tcPr>
                <w:p w14:paraId="3868937B">
                  <w:pPr>
                    <w:pStyle w:val="17"/>
                    <w:rPr>
                      <w:rFonts w:hint="default" w:eastAsia="宋体"/>
                      <w:lang w:val="en-US" w:eastAsia="zh-CN"/>
                    </w:rPr>
                  </w:pPr>
                  <w:r>
                    <w:rPr>
                      <w:rFonts w:hint="eastAsia" w:eastAsia="宋体"/>
                      <w:lang w:val="en-US" w:eastAsia="zh-CN"/>
                    </w:rPr>
                    <w:t>9</w:t>
                  </w:r>
                </w:p>
              </w:tc>
              <w:tc>
                <w:tcPr>
                  <w:tcW w:w="609" w:type="pct"/>
                  <w:vAlign w:val="center"/>
                </w:tcPr>
                <w:p w14:paraId="273F6A27">
                  <w:pPr>
                    <w:pStyle w:val="17"/>
                    <w:rPr>
                      <w:rFonts w:hint="default" w:eastAsia="宋体"/>
                      <w:lang w:val="en-US" w:eastAsia="zh-CN"/>
                    </w:rPr>
                  </w:pPr>
                  <w:r>
                    <w:rPr>
                      <w:rFonts w:hint="eastAsia" w:eastAsia="宋体"/>
                      <w:lang w:val="en-US" w:eastAsia="zh-CN"/>
                    </w:rPr>
                    <w:t>修井机</w:t>
                  </w:r>
                </w:p>
              </w:tc>
              <w:tc>
                <w:tcPr>
                  <w:tcW w:w="752" w:type="pct"/>
                  <w:noWrap/>
                  <w:vAlign w:val="center"/>
                </w:tcPr>
                <w:p w14:paraId="34AE0D7F">
                  <w:pPr>
                    <w:pStyle w:val="17"/>
                    <w:rPr>
                      <w:rFonts w:eastAsia="宋体"/>
                    </w:rPr>
                  </w:pPr>
                  <w:r>
                    <w:rPr>
                      <w:rFonts w:eastAsia="宋体"/>
                    </w:rPr>
                    <w:t>XJ350</w:t>
                  </w:r>
                </w:p>
              </w:tc>
              <w:tc>
                <w:tcPr>
                  <w:tcW w:w="340" w:type="pct"/>
                  <w:noWrap/>
                  <w:vAlign w:val="center"/>
                </w:tcPr>
                <w:p w14:paraId="43A0AA6F">
                  <w:pPr>
                    <w:pStyle w:val="17"/>
                    <w:rPr>
                      <w:rFonts w:hint="default" w:eastAsia="宋体"/>
                      <w:lang w:val="en-US" w:eastAsia="zh-CN"/>
                    </w:rPr>
                  </w:pPr>
                  <w:r>
                    <w:rPr>
                      <w:rFonts w:hint="eastAsia" w:eastAsia="宋体"/>
                      <w:lang w:val="en-US" w:eastAsia="zh-CN"/>
                    </w:rPr>
                    <w:t>-10</w:t>
                  </w:r>
                </w:p>
              </w:tc>
              <w:tc>
                <w:tcPr>
                  <w:tcW w:w="364" w:type="pct"/>
                  <w:noWrap/>
                  <w:vAlign w:val="center"/>
                </w:tcPr>
                <w:p w14:paraId="5A141659">
                  <w:pPr>
                    <w:pStyle w:val="17"/>
                    <w:rPr>
                      <w:rFonts w:hint="default" w:eastAsia="宋体"/>
                      <w:lang w:val="en-US" w:eastAsia="zh-CN"/>
                    </w:rPr>
                  </w:pPr>
                  <w:r>
                    <w:rPr>
                      <w:rFonts w:hint="eastAsia" w:eastAsia="宋体"/>
                      <w:lang w:val="en-US" w:eastAsia="zh-CN"/>
                    </w:rPr>
                    <w:t>40</w:t>
                  </w:r>
                </w:p>
              </w:tc>
              <w:tc>
                <w:tcPr>
                  <w:tcW w:w="332" w:type="pct"/>
                  <w:noWrap/>
                  <w:vAlign w:val="center"/>
                </w:tcPr>
                <w:p w14:paraId="1C8EB130">
                  <w:pPr>
                    <w:pStyle w:val="17"/>
                    <w:rPr>
                      <w:rFonts w:hint="default" w:eastAsia="宋体"/>
                      <w:lang w:val="en-US" w:eastAsia="zh-CN"/>
                    </w:rPr>
                  </w:pPr>
                  <w:r>
                    <w:rPr>
                      <w:rFonts w:hint="eastAsia" w:eastAsia="宋体"/>
                      <w:lang w:val="en-US" w:eastAsia="zh-CN"/>
                    </w:rPr>
                    <w:t>1.5</w:t>
                  </w:r>
                </w:p>
              </w:tc>
              <w:tc>
                <w:tcPr>
                  <w:tcW w:w="815" w:type="pct"/>
                  <w:vAlign w:val="center"/>
                </w:tcPr>
                <w:p w14:paraId="7A5460D6">
                  <w:pPr>
                    <w:pStyle w:val="17"/>
                    <w:ind w:firstLine="0" w:firstLineChars="0"/>
                    <w:rPr>
                      <w:rFonts w:hint="default" w:eastAsia="宋体"/>
                      <w:lang w:val="en-US" w:eastAsia="zh-CN"/>
                    </w:rPr>
                  </w:pPr>
                  <w:r>
                    <w:rPr>
                      <w:rFonts w:hint="eastAsia" w:eastAsia="宋体"/>
                      <w:lang w:val="en-US" w:eastAsia="zh-CN"/>
                    </w:rPr>
                    <w:t>90</w:t>
                  </w:r>
                </w:p>
              </w:tc>
              <w:tc>
                <w:tcPr>
                  <w:tcW w:w="704" w:type="pct"/>
                  <w:vAlign w:val="center"/>
                </w:tcPr>
                <w:p w14:paraId="4CF5183C">
                  <w:pPr>
                    <w:pStyle w:val="17"/>
                    <w:ind w:firstLine="0" w:firstLineChars="0"/>
                    <w:rPr>
                      <w:rFonts w:hint="eastAsia" w:eastAsia="宋体"/>
                      <w:lang w:eastAsia="zh-CN"/>
                    </w:rPr>
                  </w:pPr>
                  <w:r>
                    <w:rPr>
                      <w:rFonts w:hint="eastAsia" w:eastAsia="宋体"/>
                      <w:lang w:val="en-US" w:eastAsia="zh-CN"/>
                    </w:rPr>
                    <w:t>选用</w:t>
                  </w:r>
                  <w:r>
                    <w:rPr>
                      <w:rFonts w:hint="eastAsia" w:eastAsia="宋体"/>
                    </w:rPr>
                    <w:t>低噪声设备</w:t>
                  </w:r>
                  <w:r>
                    <w:rPr>
                      <w:rFonts w:hint="eastAsia" w:eastAsia="宋体"/>
                      <w:lang w:eastAsia="zh-CN"/>
                    </w:rPr>
                    <w:t>、</w:t>
                  </w:r>
                  <w:r>
                    <w:rPr>
                      <w:rFonts w:eastAsia="宋体"/>
                    </w:rPr>
                    <w:t>隔声</w:t>
                  </w:r>
                </w:p>
              </w:tc>
              <w:tc>
                <w:tcPr>
                  <w:tcW w:w="711" w:type="pct"/>
                  <w:vAlign w:val="center"/>
                </w:tcPr>
                <w:p w14:paraId="629FF7C7">
                  <w:pPr>
                    <w:pStyle w:val="17"/>
                    <w:rPr>
                      <w:rFonts w:hint="eastAsia" w:eastAsia="宋体"/>
                      <w:lang w:val="en-US" w:eastAsia="zh-CN"/>
                    </w:rPr>
                  </w:pPr>
                  <w:r>
                    <w:rPr>
                      <w:rFonts w:hint="eastAsia" w:eastAsia="宋体"/>
                      <w:lang w:val="en-US" w:eastAsia="zh-CN"/>
                    </w:rPr>
                    <w:t>不定时</w:t>
                  </w:r>
                </w:p>
              </w:tc>
            </w:tr>
            <w:tr w14:paraId="15EC65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7" w:type="pct"/>
                  <w:vAlign w:val="center"/>
                </w:tcPr>
                <w:p w14:paraId="6CE48597">
                  <w:pPr>
                    <w:pStyle w:val="17"/>
                    <w:rPr>
                      <w:rFonts w:hint="default" w:eastAsia="宋体"/>
                      <w:lang w:val="en-US" w:eastAsia="zh-CN"/>
                    </w:rPr>
                  </w:pPr>
                  <w:r>
                    <w:rPr>
                      <w:rFonts w:hint="eastAsia" w:eastAsia="宋体"/>
                      <w:lang w:val="en-US" w:eastAsia="zh-CN"/>
                    </w:rPr>
                    <w:t>10</w:t>
                  </w:r>
                </w:p>
              </w:tc>
              <w:tc>
                <w:tcPr>
                  <w:tcW w:w="609" w:type="pct"/>
                  <w:vAlign w:val="center"/>
                </w:tcPr>
                <w:p w14:paraId="3846DBCD">
                  <w:pPr>
                    <w:pStyle w:val="17"/>
                    <w:rPr>
                      <w:rFonts w:hint="default" w:eastAsia="宋体"/>
                      <w:lang w:val="en-US" w:eastAsia="zh-CN"/>
                    </w:rPr>
                  </w:pPr>
                  <w:r>
                    <w:rPr>
                      <w:rFonts w:hint="eastAsia" w:eastAsia="宋体"/>
                      <w:lang w:val="en-US" w:eastAsia="zh-CN"/>
                    </w:rPr>
                    <w:t>混砂车</w:t>
                  </w:r>
                </w:p>
              </w:tc>
              <w:tc>
                <w:tcPr>
                  <w:tcW w:w="752" w:type="pct"/>
                  <w:noWrap/>
                  <w:vAlign w:val="center"/>
                </w:tcPr>
                <w:p w14:paraId="323D2241">
                  <w:pPr>
                    <w:pStyle w:val="17"/>
                    <w:rPr>
                      <w:rFonts w:eastAsia="宋体"/>
                    </w:rPr>
                  </w:pPr>
                  <w:r>
                    <w:rPr>
                      <w:rFonts w:eastAsia="宋体"/>
                    </w:rPr>
                    <w:t>HSC360</w:t>
                  </w:r>
                </w:p>
              </w:tc>
              <w:tc>
                <w:tcPr>
                  <w:tcW w:w="340" w:type="pct"/>
                  <w:noWrap/>
                  <w:vAlign w:val="center"/>
                </w:tcPr>
                <w:p w14:paraId="2E505C38">
                  <w:pPr>
                    <w:pStyle w:val="17"/>
                    <w:rPr>
                      <w:rFonts w:hint="default" w:eastAsia="宋体"/>
                      <w:lang w:val="en-US" w:eastAsia="zh-CN"/>
                    </w:rPr>
                  </w:pPr>
                  <w:r>
                    <w:rPr>
                      <w:rFonts w:hint="eastAsia" w:eastAsia="宋体"/>
                      <w:lang w:val="en-US" w:eastAsia="zh-CN"/>
                    </w:rPr>
                    <w:t>10</w:t>
                  </w:r>
                </w:p>
              </w:tc>
              <w:tc>
                <w:tcPr>
                  <w:tcW w:w="364" w:type="pct"/>
                  <w:noWrap/>
                  <w:vAlign w:val="center"/>
                </w:tcPr>
                <w:p w14:paraId="2B461ADF">
                  <w:pPr>
                    <w:pStyle w:val="17"/>
                    <w:rPr>
                      <w:rFonts w:hint="default" w:eastAsia="宋体"/>
                      <w:lang w:val="en-US" w:eastAsia="zh-CN"/>
                    </w:rPr>
                  </w:pPr>
                  <w:r>
                    <w:rPr>
                      <w:rFonts w:hint="eastAsia" w:eastAsia="宋体"/>
                      <w:lang w:val="en-US" w:eastAsia="zh-CN"/>
                    </w:rPr>
                    <w:t>15</w:t>
                  </w:r>
                </w:p>
              </w:tc>
              <w:tc>
                <w:tcPr>
                  <w:tcW w:w="332" w:type="pct"/>
                  <w:noWrap/>
                  <w:vAlign w:val="center"/>
                </w:tcPr>
                <w:p w14:paraId="109E7192">
                  <w:pPr>
                    <w:pStyle w:val="17"/>
                    <w:rPr>
                      <w:rFonts w:hint="default" w:eastAsia="宋体"/>
                      <w:lang w:val="en-US" w:eastAsia="zh-CN"/>
                    </w:rPr>
                  </w:pPr>
                  <w:r>
                    <w:rPr>
                      <w:rFonts w:hint="eastAsia" w:eastAsia="宋体"/>
                      <w:lang w:val="en-US" w:eastAsia="zh-CN"/>
                    </w:rPr>
                    <w:t>1.5</w:t>
                  </w:r>
                </w:p>
              </w:tc>
              <w:tc>
                <w:tcPr>
                  <w:tcW w:w="815" w:type="pct"/>
                  <w:vAlign w:val="center"/>
                </w:tcPr>
                <w:p w14:paraId="3AA75731">
                  <w:pPr>
                    <w:pStyle w:val="17"/>
                    <w:ind w:firstLine="0" w:firstLineChars="0"/>
                    <w:rPr>
                      <w:rFonts w:hint="default" w:eastAsia="宋体"/>
                      <w:lang w:val="en-US" w:eastAsia="zh-CN"/>
                    </w:rPr>
                  </w:pPr>
                  <w:r>
                    <w:rPr>
                      <w:rFonts w:hint="eastAsia" w:eastAsia="宋体"/>
                      <w:lang w:val="en-US" w:eastAsia="zh-CN"/>
                    </w:rPr>
                    <w:t>90</w:t>
                  </w:r>
                </w:p>
              </w:tc>
              <w:tc>
                <w:tcPr>
                  <w:tcW w:w="704" w:type="pct"/>
                  <w:vAlign w:val="center"/>
                </w:tcPr>
                <w:p w14:paraId="569BBC5F">
                  <w:pPr>
                    <w:pStyle w:val="17"/>
                    <w:ind w:firstLine="0" w:firstLineChars="0"/>
                    <w:rPr>
                      <w:rFonts w:hint="eastAsia" w:eastAsia="宋体"/>
                      <w:lang w:val="en-US" w:eastAsia="zh-CN"/>
                    </w:rPr>
                  </w:pPr>
                  <w:r>
                    <w:rPr>
                      <w:rFonts w:hint="eastAsia" w:eastAsia="宋体"/>
                      <w:lang w:val="en-US" w:eastAsia="zh-CN"/>
                    </w:rPr>
                    <w:t>选用</w:t>
                  </w:r>
                  <w:r>
                    <w:rPr>
                      <w:rFonts w:hint="eastAsia" w:eastAsia="宋体"/>
                    </w:rPr>
                    <w:t>低噪声设备</w:t>
                  </w:r>
                </w:p>
              </w:tc>
              <w:tc>
                <w:tcPr>
                  <w:tcW w:w="711" w:type="pct"/>
                  <w:vAlign w:val="center"/>
                </w:tcPr>
                <w:p w14:paraId="679E2B54">
                  <w:pPr>
                    <w:pStyle w:val="17"/>
                    <w:rPr>
                      <w:rFonts w:hint="eastAsia" w:eastAsia="宋体"/>
                      <w:lang w:val="en-US" w:eastAsia="zh-CN"/>
                    </w:rPr>
                  </w:pPr>
                  <w:r>
                    <w:rPr>
                      <w:rFonts w:hint="eastAsia" w:eastAsia="宋体"/>
                      <w:lang w:val="en-US" w:eastAsia="zh-CN"/>
                    </w:rPr>
                    <w:t>不定时</w:t>
                  </w:r>
                </w:p>
              </w:tc>
            </w:tr>
            <w:tr w14:paraId="28297F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7" w:type="pct"/>
                  <w:vAlign w:val="center"/>
                </w:tcPr>
                <w:p w14:paraId="69CD9C3A">
                  <w:pPr>
                    <w:pStyle w:val="17"/>
                    <w:rPr>
                      <w:rFonts w:hint="default" w:eastAsia="宋体"/>
                      <w:lang w:val="en-US" w:eastAsia="zh-CN"/>
                    </w:rPr>
                  </w:pPr>
                  <w:r>
                    <w:rPr>
                      <w:rFonts w:hint="eastAsia" w:eastAsia="宋体"/>
                      <w:lang w:val="en-US" w:eastAsia="zh-CN"/>
                    </w:rPr>
                    <w:t>11</w:t>
                  </w:r>
                </w:p>
              </w:tc>
              <w:tc>
                <w:tcPr>
                  <w:tcW w:w="609" w:type="pct"/>
                  <w:vAlign w:val="center"/>
                </w:tcPr>
                <w:p w14:paraId="53941C18">
                  <w:pPr>
                    <w:pStyle w:val="17"/>
                    <w:rPr>
                      <w:rFonts w:hint="eastAsia" w:eastAsia="宋体"/>
                      <w:lang w:val="en-US" w:eastAsia="zh-CN"/>
                    </w:rPr>
                  </w:pPr>
                  <w:r>
                    <w:rPr>
                      <w:rFonts w:eastAsia="宋体"/>
                    </w:rPr>
                    <w:t>管汇车</w:t>
                  </w:r>
                </w:p>
              </w:tc>
              <w:tc>
                <w:tcPr>
                  <w:tcW w:w="752" w:type="pct"/>
                  <w:noWrap/>
                  <w:vAlign w:val="center"/>
                </w:tcPr>
                <w:p w14:paraId="1E4B711F">
                  <w:pPr>
                    <w:pStyle w:val="17"/>
                    <w:rPr>
                      <w:rFonts w:eastAsia="宋体"/>
                    </w:rPr>
                  </w:pPr>
                  <w:r>
                    <w:rPr>
                      <w:rFonts w:eastAsia="宋体"/>
                    </w:rPr>
                    <w:t>GHC105</w:t>
                  </w:r>
                </w:p>
              </w:tc>
              <w:tc>
                <w:tcPr>
                  <w:tcW w:w="340" w:type="pct"/>
                  <w:noWrap/>
                  <w:vAlign w:val="center"/>
                </w:tcPr>
                <w:p w14:paraId="46FBA3C1">
                  <w:pPr>
                    <w:pStyle w:val="17"/>
                    <w:rPr>
                      <w:rFonts w:hint="default" w:eastAsia="宋体"/>
                      <w:lang w:val="en-US" w:eastAsia="zh-CN"/>
                    </w:rPr>
                  </w:pPr>
                  <w:r>
                    <w:rPr>
                      <w:rFonts w:hint="eastAsia" w:eastAsia="宋体"/>
                      <w:lang w:val="en-US" w:eastAsia="zh-CN"/>
                    </w:rPr>
                    <w:t>10</w:t>
                  </w:r>
                </w:p>
              </w:tc>
              <w:tc>
                <w:tcPr>
                  <w:tcW w:w="364" w:type="pct"/>
                  <w:noWrap/>
                  <w:vAlign w:val="center"/>
                </w:tcPr>
                <w:p w14:paraId="05E895F3">
                  <w:pPr>
                    <w:pStyle w:val="17"/>
                    <w:rPr>
                      <w:rFonts w:hint="default" w:eastAsia="宋体"/>
                      <w:lang w:val="en-US" w:eastAsia="zh-CN"/>
                    </w:rPr>
                  </w:pPr>
                  <w:r>
                    <w:rPr>
                      <w:rFonts w:hint="eastAsia" w:eastAsia="宋体"/>
                      <w:lang w:val="en-US" w:eastAsia="zh-CN"/>
                    </w:rPr>
                    <w:t>-15</w:t>
                  </w:r>
                </w:p>
              </w:tc>
              <w:tc>
                <w:tcPr>
                  <w:tcW w:w="332" w:type="pct"/>
                  <w:noWrap/>
                  <w:vAlign w:val="center"/>
                </w:tcPr>
                <w:p w14:paraId="499B06B7">
                  <w:pPr>
                    <w:pStyle w:val="17"/>
                    <w:rPr>
                      <w:rFonts w:hint="default" w:eastAsia="宋体"/>
                      <w:lang w:val="en-US" w:eastAsia="zh-CN"/>
                    </w:rPr>
                  </w:pPr>
                  <w:r>
                    <w:rPr>
                      <w:rFonts w:hint="eastAsia" w:eastAsia="宋体"/>
                      <w:lang w:val="en-US" w:eastAsia="zh-CN"/>
                    </w:rPr>
                    <w:t>1.5</w:t>
                  </w:r>
                </w:p>
              </w:tc>
              <w:tc>
                <w:tcPr>
                  <w:tcW w:w="815" w:type="pct"/>
                  <w:vAlign w:val="center"/>
                </w:tcPr>
                <w:p w14:paraId="3171D4C3">
                  <w:pPr>
                    <w:pStyle w:val="17"/>
                    <w:ind w:firstLine="0" w:firstLineChars="0"/>
                    <w:rPr>
                      <w:rFonts w:hint="default" w:eastAsia="宋体"/>
                      <w:lang w:val="en-US" w:eastAsia="zh-CN"/>
                    </w:rPr>
                  </w:pPr>
                  <w:r>
                    <w:rPr>
                      <w:rFonts w:hint="eastAsia" w:eastAsia="宋体"/>
                      <w:lang w:val="en-US" w:eastAsia="zh-CN"/>
                    </w:rPr>
                    <w:t>90</w:t>
                  </w:r>
                </w:p>
              </w:tc>
              <w:tc>
                <w:tcPr>
                  <w:tcW w:w="704" w:type="pct"/>
                  <w:vAlign w:val="center"/>
                </w:tcPr>
                <w:p w14:paraId="6D60BD4A">
                  <w:pPr>
                    <w:pStyle w:val="17"/>
                    <w:ind w:firstLine="0" w:firstLineChars="0"/>
                    <w:rPr>
                      <w:rFonts w:hint="eastAsia" w:eastAsia="宋体"/>
                      <w:lang w:val="en-US" w:eastAsia="zh-CN"/>
                    </w:rPr>
                  </w:pPr>
                  <w:r>
                    <w:rPr>
                      <w:rFonts w:hint="eastAsia" w:eastAsia="宋体"/>
                      <w:lang w:val="en-US" w:eastAsia="zh-CN"/>
                    </w:rPr>
                    <w:t>选用低噪声车辆</w:t>
                  </w:r>
                </w:p>
              </w:tc>
              <w:tc>
                <w:tcPr>
                  <w:tcW w:w="711" w:type="pct"/>
                  <w:vAlign w:val="center"/>
                </w:tcPr>
                <w:p w14:paraId="30D0BE04">
                  <w:pPr>
                    <w:pStyle w:val="17"/>
                    <w:rPr>
                      <w:rFonts w:hint="eastAsia" w:eastAsia="宋体"/>
                      <w:lang w:val="en-US" w:eastAsia="zh-CN"/>
                    </w:rPr>
                  </w:pPr>
                  <w:r>
                    <w:rPr>
                      <w:rFonts w:hint="eastAsia" w:eastAsia="宋体"/>
                      <w:lang w:val="en-US" w:eastAsia="zh-CN"/>
                    </w:rPr>
                    <w:t>不定时</w:t>
                  </w:r>
                </w:p>
              </w:tc>
            </w:tr>
            <w:tr w14:paraId="715C9C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7" w:type="pct"/>
                  <w:vAlign w:val="center"/>
                </w:tcPr>
                <w:p w14:paraId="4352DC26">
                  <w:pPr>
                    <w:pStyle w:val="17"/>
                    <w:rPr>
                      <w:rFonts w:hint="default" w:eastAsia="宋体"/>
                      <w:lang w:val="en-US" w:eastAsia="zh-CN"/>
                    </w:rPr>
                  </w:pPr>
                  <w:r>
                    <w:rPr>
                      <w:rFonts w:hint="eastAsia" w:eastAsia="宋体"/>
                      <w:lang w:val="en-US" w:eastAsia="zh-CN"/>
                    </w:rPr>
                    <w:t>12</w:t>
                  </w:r>
                </w:p>
              </w:tc>
              <w:tc>
                <w:tcPr>
                  <w:tcW w:w="609" w:type="pct"/>
                  <w:vAlign w:val="center"/>
                </w:tcPr>
                <w:p w14:paraId="239D7023">
                  <w:pPr>
                    <w:pStyle w:val="17"/>
                    <w:rPr>
                      <w:rFonts w:eastAsia="宋体"/>
                    </w:rPr>
                  </w:pPr>
                  <w:r>
                    <w:rPr>
                      <w:rFonts w:eastAsia="宋体"/>
                    </w:rPr>
                    <w:t>水泥车</w:t>
                  </w:r>
                </w:p>
              </w:tc>
              <w:tc>
                <w:tcPr>
                  <w:tcW w:w="752" w:type="pct"/>
                  <w:noWrap/>
                  <w:vAlign w:val="center"/>
                </w:tcPr>
                <w:p w14:paraId="5ADA06C7">
                  <w:pPr>
                    <w:pStyle w:val="17"/>
                    <w:rPr>
                      <w:rFonts w:eastAsia="宋体"/>
                    </w:rPr>
                  </w:pPr>
                  <w:r>
                    <w:rPr>
                      <w:rFonts w:eastAsia="宋体"/>
                    </w:rPr>
                    <w:t>YLC70-450</w:t>
                  </w:r>
                </w:p>
              </w:tc>
              <w:tc>
                <w:tcPr>
                  <w:tcW w:w="340" w:type="pct"/>
                  <w:noWrap/>
                  <w:vAlign w:val="center"/>
                </w:tcPr>
                <w:p w14:paraId="754AEA50">
                  <w:pPr>
                    <w:pStyle w:val="17"/>
                    <w:rPr>
                      <w:rFonts w:hint="default" w:eastAsia="宋体"/>
                      <w:lang w:val="en-US" w:eastAsia="zh-CN"/>
                    </w:rPr>
                  </w:pPr>
                  <w:r>
                    <w:rPr>
                      <w:rFonts w:hint="eastAsia" w:eastAsia="宋体"/>
                      <w:lang w:val="en-US" w:eastAsia="zh-CN"/>
                    </w:rPr>
                    <w:t>-10</w:t>
                  </w:r>
                </w:p>
              </w:tc>
              <w:tc>
                <w:tcPr>
                  <w:tcW w:w="364" w:type="pct"/>
                  <w:noWrap/>
                  <w:vAlign w:val="center"/>
                </w:tcPr>
                <w:p w14:paraId="3DEB62E1">
                  <w:pPr>
                    <w:pStyle w:val="17"/>
                    <w:rPr>
                      <w:rFonts w:hint="default" w:eastAsia="宋体"/>
                      <w:lang w:val="en-US" w:eastAsia="zh-CN"/>
                    </w:rPr>
                  </w:pPr>
                  <w:r>
                    <w:rPr>
                      <w:rFonts w:hint="eastAsia" w:eastAsia="宋体"/>
                      <w:lang w:val="en-US" w:eastAsia="zh-CN"/>
                    </w:rPr>
                    <w:t>15</w:t>
                  </w:r>
                </w:p>
              </w:tc>
              <w:tc>
                <w:tcPr>
                  <w:tcW w:w="332" w:type="pct"/>
                  <w:noWrap/>
                  <w:vAlign w:val="center"/>
                </w:tcPr>
                <w:p w14:paraId="2B15A6BE">
                  <w:pPr>
                    <w:pStyle w:val="17"/>
                    <w:rPr>
                      <w:rFonts w:hint="default" w:eastAsia="宋体"/>
                      <w:lang w:val="en-US" w:eastAsia="zh-CN"/>
                    </w:rPr>
                  </w:pPr>
                  <w:r>
                    <w:rPr>
                      <w:rFonts w:hint="eastAsia" w:eastAsia="宋体"/>
                      <w:lang w:val="en-US" w:eastAsia="zh-CN"/>
                    </w:rPr>
                    <w:t>1.5</w:t>
                  </w:r>
                </w:p>
              </w:tc>
              <w:tc>
                <w:tcPr>
                  <w:tcW w:w="1236" w:type="dxa"/>
                  <w:vAlign w:val="center"/>
                </w:tcPr>
                <w:p w14:paraId="5ADBCF17">
                  <w:pPr>
                    <w:pStyle w:val="17"/>
                    <w:ind w:firstLine="0" w:firstLineChars="0"/>
                    <w:rPr>
                      <w:rFonts w:hint="eastAsia" w:eastAsia="宋体"/>
                      <w:lang w:val="en-US" w:eastAsia="zh-CN"/>
                    </w:rPr>
                  </w:pPr>
                  <w:r>
                    <w:rPr>
                      <w:rFonts w:hint="eastAsia" w:eastAsia="宋体"/>
                      <w:lang w:val="en-US" w:eastAsia="zh-CN"/>
                    </w:rPr>
                    <w:t>90</w:t>
                  </w:r>
                </w:p>
              </w:tc>
              <w:tc>
                <w:tcPr>
                  <w:tcW w:w="1068" w:type="dxa"/>
                  <w:vAlign w:val="center"/>
                </w:tcPr>
                <w:p w14:paraId="72F63FD5">
                  <w:pPr>
                    <w:pStyle w:val="17"/>
                    <w:ind w:firstLine="0" w:firstLineChars="0"/>
                    <w:rPr>
                      <w:rFonts w:hint="eastAsia" w:eastAsia="宋体"/>
                      <w:lang w:val="en-US" w:eastAsia="zh-CN"/>
                    </w:rPr>
                  </w:pPr>
                  <w:r>
                    <w:rPr>
                      <w:rFonts w:hint="eastAsia" w:eastAsia="宋体"/>
                      <w:lang w:val="en-US" w:eastAsia="zh-CN"/>
                    </w:rPr>
                    <w:t>选用低噪声车辆</w:t>
                  </w:r>
                </w:p>
              </w:tc>
              <w:tc>
                <w:tcPr>
                  <w:tcW w:w="1078" w:type="dxa"/>
                  <w:vAlign w:val="center"/>
                </w:tcPr>
                <w:p w14:paraId="6842E92B">
                  <w:pPr>
                    <w:pStyle w:val="17"/>
                    <w:ind w:firstLine="0" w:firstLineChars="0"/>
                    <w:rPr>
                      <w:rFonts w:hint="eastAsia" w:eastAsia="宋体"/>
                      <w:lang w:val="en-US" w:eastAsia="zh-CN"/>
                    </w:rPr>
                  </w:pPr>
                  <w:r>
                    <w:rPr>
                      <w:rFonts w:hint="eastAsia" w:eastAsia="宋体"/>
                      <w:lang w:val="en-US" w:eastAsia="zh-CN"/>
                    </w:rPr>
                    <w:t>不定时</w:t>
                  </w:r>
                </w:p>
              </w:tc>
            </w:tr>
            <w:tr w14:paraId="3146A7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pct"/>
                  <w:vAlign w:val="center"/>
                </w:tcPr>
                <w:p w14:paraId="3D9AE913">
                  <w:pPr>
                    <w:pStyle w:val="17"/>
                    <w:rPr>
                      <w:rFonts w:hint="default" w:eastAsia="宋体"/>
                      <w:lang w:val="en-US" w:eastAsia="zh-CN"/>
                    </w:rPr>
                  </w:pPr>
                  <w:r>
                    <w:rPr>
                      <w:rFonts w:hint="eastAsia" w:eastAsia="宋体"/>
                      <w:lang w:val="en-US" w:eastAsia="zh-CN"/>
                    </w:rPr>
                    <w:t>13</w:t>
                  </w:r>
                </w:p>
              </w:tc>
              <w:tc>
                <w:tcPr>
                  <w:tcW w:w="609" w:type="pct"/>
                  <w:vAlign w:val="center"/>
                </w:tcPr>
                <w:p w14:paraId="2BD2DBA6">
                  <w:pPr>
                    <w:pStyle w:val="17"/>
                    <w:ind w:firstLine="0" w:firstLineChars="0"/>
                    <w:rPr>
                      <w:rFonts w:eastAsia="宋体"/>
                    </w:rPr>
                  </w:pPr>
                  <w:r>
                    <w:rPr>
                      <w:rFonts w:eastAsia="宋体"/>
                    </w:rPr>
                    <w:t>推土机</w:t>
                  </w:r>
                </w:p>
              </w:tc>
              <w:tc>
                <w:tcPr>
                  <w:tcW w:w="752" w:type="pct"/>
                  <w:noWrap/>
                  <w:vAlign w:val="center"/>
                </w:tcPr>
                <w:p w14:paraId="362E5875">
                  <w:pPr>
                    <w:pStyle w:val="17"/>
                    <w:rPr>
                      <w:rFonts w:eastAsia="宋体"/>
                    </w:rPr>
                  </w:pPr>
                  <w:r>
                    <w:rPr>
                      <w:rFonts w:eastAsia="宋体"/>
                    </w:rPr>
                    <w:t>/</w:t>
                  </w:r>
                </w:p>
              </w:tc>
              <w:tc>
                <w:tcPr>
                  <w:tcW w:w="1037" w:type="pct"/>
                  <w:gridSpan w:val="3"/>
                  <w:noWrap/>
                  <w:vAlign w:val="center"/>
                </w:tcPr>
                <w:p w14:paraId="7737684F">
                  <w:pPr>
                    <w:pStyle w:val="17"/>
                    <w:rPr>
                      <w:rFonts w:hint="default" w:eastAsia="宋体"/>
                      <w:lang w:val="en-US" w:eastAsia="zh-CN"/>
                    </w:rPr>
                  </w:pPr>
                  <w:r>
                    <w:rPr>
                      <w:rFonts w:hint="eastAsia" w:eastAsia="宋体"/>
                      <w:lang w:val="en-US" w:eastAsia="zh-CN"/>
                    </w:rPr>
                    <w:t>全场机动</w:t>
                  </w:r>
                </w:p>
              </w:tc>
              <w:tc>
                <w:tcPr>
                  <w:tcW w:w="815" w:type="pct"/>
                  <w:vAlign w:val="center"/>
                </w:tcPr>
                <w:p w14:paraId="7DF6CBA2">
                  <w:pPr>
                    <w:pStyle w:val="17"/>
                    <w:ind w:firstLine="0" w:firstLineChars="0"/>
                    <w:rPr>
                      <w:rFonts w:eastAsia="宋体"/>
                    </w:rPr>
                  </w:pPr>
                  <w:r>
                    <w:rPr>
                      <w:rFonts w:eastAsia="宋体"/>
                    </w:rPr>
                    <w:t>90~105</w:t>
                  </w:r>
                </w:p>
              </w:tc>
              <w:tc>
                <w:tcPr>
                  <w:tcW w:w="704" w:type="pct"/>
                  <w:vAlign w:val="center"/>
                </w:tcPr>
                <w:p w14:paraId="25AA3A95">
                  <w:pPr>
                    <w:pStyle w:val="17"/>
                    <w:ind w:firstLine="0" w:firstLineChars="0"/>
                    <w:rPr>
                      <w:rFonts w:hint="default" w:eastAsia="宋体"/>
                      <w:lang w:val="en-US" w:eastAsia="zh-CN"/>
                    </w:rPr>
                  </w:pPr>
                  <w:r>
                    <w:rPr>
                      <w:rFonts w:hint="eastAsia" w:eastAsia="宋体"/>
                      <w:lang w:val="en-US" w:eastAsia="zh-CN"/>
                    </w:rPr>
                    <w:t>选用低噪声车辆</w:t>
                  </w:r>
                </w:p>
              </w:tc>
              <w:tc>
                <w:tcPr>
                  <w:tcW w:w="711" w:type="pct"/>
                  <w:vAlign w:val="center"/>
                </w:tcPr>
                <w:p w14:paraId="4EDCDE78">
                  <w:pPr>
                    <w:pStyle w:val="17"/>
                    <w:rPr>
                      <w:rFonts w:hint="default" w:eastAsia="宋体"/>
                      <w:lang w:val="en-US" w:eastAsia="zh-CN"/>
                    </w:rPr>
                  </w:pPr>
                  <w:r>
                    <w:rPr>
                      <w:rFonts w:hint="eastAsia" w:eastAsia="宋体"/>
                      <w:lang w:val="en-US" w:eastAsia="zh-CN"/>
                    </w:rPr>
                    <w:t>不定时</w:t>
                  </w:r>
                </w:p>
              </w:tc>
            </w:tr>
            <w:tr w14:paraId="64D928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7" w:type="pct"/>
                  <w:vAlign w:val="center"/>
                </w:tcPr>
                <w:p w14:paraId="3DB56843">
                  <w:pPr>
                    <w:pStyle w:val="17"/>
                    <w:rPr>
                      <w:rFonts w:hint="default" w:eastAsia="宋体"/>
                      <w:lang w:val="en-US" w:eastAsia="zh-CN"/>
                    </w:rPr>
                  </w:pPr>
                  <w:r>
                    <w:rPr>
                      <w:rFonts w:hint="eastAsia" w:eastAsia="宋体"/>
                      <w:lang w:val="en-US" w:eastAsia="zh-CN"/>
                    </w:rPr>
                    <w:t>14</w:t>
                  </w:r>
                </w:p>
              </w:tc>
              <w:tc>
                <w:tcPr>
                  <w:tcW w:w="609" w:type="pct"/>
                  <w:vAlign w:val="center"/>
                </w:tcPr>
                <w:p w14:paraId="76565F65">
                  <w:pPr>
                    <w:pStyle w:val="17"/>
                    <w:ind w:firstLine="0" w:firstLineChars="0"/>
                    <w:rPr>
                      <w:rFonts w:eastAsia="宋体"/>
                    </w:rPr>
                  </w:pPr>
                  <w:r>
                    <w:rPr>
                      <w:rFonts w:eastAsia="宋体"/>
                    </w:rPr>
                    <w:t>挖掘机</w:t>
                  </w:r>
                </w:p>
              </w:tc>
              <w:tc>
                <w:tcPr>
                  <w:tcW w:w="752" w:type="pct"/>
                  <w:noWrap/>
                  <w:vAlign w:val="center"/>
                </w:tcPr>
                <w:p w14:paraId="7175C33D">
                  <w:pPr>
                    <w:pStyle w:val="17"/>
                    <w:rPr>
                      <w:rFonts w:eastAsia="宋体"/>
                    </w:rPr>
                  </w:pPr>
                  <w:r>
                    <w:rPr>
                      <w:rFonts w:eastAsia="宋体"/>
                    </w:rPr>
                    <w:t>/</w:t>
                  </w:r>
                </w:p>
              </w:tc>
              <w:tc>
                <w:tcPr>
                  <w:tcW w:w="1037" w:type="pct"/>
                  <w:gridSpan w:val="3"/>
                  <w:noWrap/>
                  <w:vAlign w:val="center"/>
                </w:tcPr>
                <w:p w14:paraId="32322579">
                  <w:pPr>
                    <w:pStyle w:val="17"/>
                    <w:rPr>
                      <w:rFonts w:eastAsia="宋体"/>
                    </w:rPr>
                  </w:pPr>
                  <w:r>
                    <w:rPr>
                      <w:rFonts w:hint="eastAsia" w:eastAsia="宋体"/>
                      <w:lang w:val="en-US" w:eastAsia="zh-CN"/>
                    </w:rPr>
                    <w:t>全场机动</w:t>
                  </w:r>
                </w:p>
              </w:tc>
              <w:tc>
                <w:tcPr>
                  <w:tcW w:w="815" w:type="pct"/>
                  <w:vAlign w:val="center"/>
                </w:tcPr>
                <w:p w14:paraId="60D09524">
                  <w:pPr>
                    <w:pStyle w:val="17"/>
                    <w:ind w:firstLine="0" w:firstLineChars="0"/>
                    <w:rPr>
                      <w:rFonts w:eastAsia="宋体"/>
                    </w:rPr>
                  </w:pPr>
                  <w:r>
                    <w:rPr>
                      <w:rFonts w:eastAsia="宋体"/>
                    </w:rPr>
                    <w:t>80~95</w:t>
                  </w:r>
                </w:p>
              </w:tc>
              <w:tc>
                <w:tcPr>
                  <w:tcW w:w="704" w:type="pct"/>
                  <w:vAlign w:val="center"/>
                </w:tcPr>
                <w:p w14:paraId="26ACD4EC">
                  <w:pPr>
                    <w:pStyle w:val="17"/>
                    <w:ind w:firstLine="0" w:firstLineChars="0"/>
                    <w:rPr>
                      <w:rFonts w:eastAsia="宋体"/>
                    </w:rPr>
                  </w:pPr>
                  <w:r>
                    <w:rPr>
                      <w:rFonts w:hint="eastAsia" w:eastAsia="宋体"/>
                      <w:lang w:val="en-US" w:eastAsia="zh-CN"/>
                    </w:rPr>
                    <w:t>选用低噪声车辆</w:t>
                  </w:r>
                </w:p>
              </w:tc>
              <w:tc>
                <w:tcPr>
                  <w:tcW w:w="711" w:type="pct"/>
                  <w:vAlign w:val="center"/>
                </w:tcPr>
                <w:p w14:paraId="5DCF0D22">
                  <w:pPr>
                    <w:pStyle w:val="17"/>
                    <w:jc w:val="center"/>
                    <w:rPr>
                      <w:rFonts w:eastAsia="宋体"/>
                    </w:rPr>
                  </w:pPr>
                  <w:r>
                    <w:rPr>
                      <w:rFonts w:hint="eastAsia" w:eastAsia="宋体"/>
                      <w:lang w:val="en-US" w:eastAsia="zh-CN"/>
                    </w:rPr>
                    <w:t>不定时</w:t>
                  </w:r>
                </w:p>
              </w:tc>
            </w:tr>
          </w:tbl>
          <w:p w14:paraId="20222B79">
            <w:pPr>
              <w:pStyle w:val="3"/>
              <w:ind w:firstLine="480"/>
              <w:rPr>
                <w:rFonts w:hint="default" w:eastAsia="宋体"/>
                <w:b/>
                <w:bCs/>
                <w:sz w:val="21"/>
                <w:szCs w:val="21"/>
                <w:lang w:val="en-US" w:eastAsia="zh-CN"/>
              </w:rPr>
            </w:pPr>
            <w:r>
              <w:rPr>
                <w:rFonts w:hint="eastAsia" w:eastAsia="宋体"/>
                <w:b/>
                <w:bCs/>
                <w:sz w:val="21"/>
                <w:szCs w:val="21"/>
                <w:lang w:val="en-US" w:eastAsia="zh-CN"/>
              </w:rPr>
              <w:t>注：以井场中心点为坐标原点。</w:t>
            </w:r>
          </w:p>
          <w:p w14:paraId="5D63B25F">
            <w:pPr>
              <w:pStyle w:val="3"/>
              <w:ind w:left="0" w:leftChars="0" w:firstLine="480" w:firstLineChars="200"/>
              <w:rPr>
                <w:rFonts w:eastAsia="宋体"/>
              </w:rPr>
            </w:pPr>
            <w:r>
              <w:rPr>
                <w:rFonts w:hint="eastAsia" w:eastAsia="宋体"/>
              </w:rPr>
              <w:t>勘探过程中井下作业主要工艺过程包括通井、射孔、压裂、下泵、试</w:t>
            </w:r>
            <w:r>
              <w:rPr>
                <w:rFonts w:hint="eastAsia" w:eastAsia="宋体"/>
                <w:lang w:val="en-US" w:eastAsia="zh-CN"/>
              </w:rPr>
              <w:t>采</w:t>
            </w:r>
            <w:r>
              <w:rPr>
                <w:rFonts w:hint="eastAsia" w:eastAsia="宋体"/>
              </w:rPr>
              <w:t>，井下作业为间歇作业，作业中使用的大噪声设备主要有通井时使用的通井机，压裂时使用的压裂车。压裂作业噪声源为不固定场点的大型开放性间接噪声源，噪声主要来自增压机作业造成。参考相关文献数据及同类项目环评，压裂泵车噪声值为</w:t>
            </w:r>
            <w:r>
              <w:rPr>
                <w:rFonts w:hint="eastAsia" w:eastAsia="宋体"/>
                <w:lang w:val="en-US" w:eastAsia="zh-CN"/>
              </w:rPr>
              <w:t>85</w:t>
            </w:r>
            <w:r>
              <w:rPr>
                <w:rFonts w:hint="eastAsia" w:eastAsia="宋体"/>
              </w:rPr>
              <w:t>~</w:t>
            </w:r>
            <w:r>
              <w:rPr>
                <w:rFonts w:eastAsia="宋体"/>
              </w:rPr>
              <w:t>1</w:t>
            </w:r>
            <w:r>
              <w:rPr>
                <w:rFonts w:hint="eastAsia" w:eastAsia="宋体"/>
                <w:lang w:val="en-US" w:eastAsia="zh-CN"/>
              </w:rPr>
              <w:t>0</w:t>
            </w:r>
            <w:r>
              <w:rPr>
                <w:rFonts w:eastAsia="宋体"/>
              </w:rPr>
              <w:t>0</w:t>
            </w:r>
            <w:r>
              <w:rPr>
                <w:rFonts w:hint="eastAsia" w:eastAsia="宋体"/>
              </w:rPr>
              <w:t>dB（A），本项目取较高值</w:t>
            </w:r>
            <w:r>
              <w:rPr>
                <w:rFonts w:eastAsia="宋体"/>
              </w:rPr>
              <w:t>1</w:t>
            </w:r>
            <w:r>
              <w:rPr>
                <w:rFonts w:hint="eastAsia" w:eastAsia="宋体"/>
                <w:lang w:val="en-US" w:eastAsia="zh-CN"/>
              </w:rPr>
              <w:t>0</w:t>
            </w:r>
            <w:r>
              <w:rPr>
                <w:rFonts w:eastAsia="宋体"/>
              </w:rPr>
              <w:t>0</w:t>
            </w:r>
            <w:r>
              <w:rPr>
                <w:rFonts w:hint="eastAsia" w:eastAsia="宋体"/>
              </w:rPr>
              <w:t>d</w:t>
            </w:r>
            <w:r>
              <w:rPr>
                <w:rFonts w:eastAsia="宋体"/>
              </w:rPr>
              <w:t>B</w:t>
            </w:r>
            <w:r>
              <w:rPr>
                <w:rFonts w:hint="eastAsia" w:eastAsia="宋体"/>
              </w:rPr>
              <w:t>（A）。源强详见表4-4。</w:t>
            </w:r>
          </w:p>
          <w:p w14:paraId="50148E5C">
            <w:pPr>
              <w:pStyle w:val="16"/>
              <w:rPr>
                <w:rFonts w:eastAsia="宋体"/>
              </w:rPr>
            </w:pPr>
            <w:r>
              <w:rPr>
                <w:rFonts w:hint="eastAsia" w:eastAsia="宋体"/>
              </w:rPr>
              <w:t>表4-4  井下作业噪声源强</w:t>
            </w:r>
            <w:r>
              <w:rPr>
                <w:rFonts w:hint="eastAsia" w:eastAsia="宋体"/>
                <w:lang w:val="en-US" w:eastAsia="zh-CN"/>
              </w:rPr>
              <w:t>调查清单</w:t>
            </w:r>
            <w:r>
              <w:rPr>
                <w:rFonts w:hint="eastAsia" w:eastAsia="宋体"/>
              </w:rPr>
              <w:t>表</w:t>
            </w:r>
          </w:p>
          <w:tbl>
            <w:tblPr>
              <w:tblStyle w:val="1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11"/>
              <w:gridCol w:w="939"/>
              <w:gridCol w:w="516"/>
              <w:gridCol w:w="569"/>
              <w:gridCol w:w="513"/>
              <w:gridCol w:w="1549"/>
              <w:gridCol w:w="984"/>
              <w:gridCol w:w="1212"/>
            </w:tblGrid>
            <w:tr w14:paraId="20B44B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61" w:type="pct"/>
                  <w:vMerge w:val="restart"/>
                  <w:noWrap/>
                  <w:vAlign w:val="center"/>
                </w:tcPr>
                <w:p w14:paraId="691FC975">
                  <w:pPr>
                    <w:pStyle w:val="17"/>
                    <w:rPr>
                      <w:rFonts w:hint="default" w:eastAsia="宋体"/>
                      <w:b/>
                      <w:bCs/>
                      <w:lang w:val="en-US" w:eastAsia="zh-CN"/>
                    </w:rPr>
                  </w:pPr>
                  <w:r>
                    <w:rPr>
                      <w:rFonts w:hint="eastAsia" w:eastAsia="宋体"/>
                      <w:b/>
                      <w:bCs/>
                      <w:lang w:val="en-US" w:eastAsia="zh-CN"/>
                    </w:rPr>
                    <w:t>序号</w:t>
                  </w:r>
                </w:p>
              </w:tc>
              <w:tc>
                <w:tcPr>
                  <w:tcW w:w="461" w:type="pct"/>
                  <w:vMerge w:val="restart"/>
                  <w:noWrap/>
                  <w:vAlign w:val="center"/>
                </w:tcPr>
                <w:p w14:paraId="0A8D4E4B">
                  <w:pPr>
                    <w:pStyle w:val="17"/>
                    <w:ind w:firstLine="0" w:firstLineChars="0"/>
                    <w:rPr>
                      <w:rFonts w:hint="eastAsia" w:eastAsia="宋体"/>
                      <w:b/>
                      <w:bCs/>
                    </w:rPr>
                  </w:pPr>
                  <w:r>
                    <w:rPr>
                      <w:rFonts w:hint="eastAsia" w:eastAsia="宋体"/>
                      <w:b/>
                      <w:bCs/>
                    </w:rPr>
                    <w:t>设备名称</w:t>
                  </w:r>
                </w:p>
              </w:tc>
              <w:tc>
                <w:tcPr>
                  <w:tcW w:w="609" w:type="pct"/>
                  <w:vMerge w:val="restart"/>
                  <w:noWrap/>
                  <w:vAlign w:val="center"/>
                </w:tcPr>
                <w:p w14:paraId="62955F2D">
                  <w:pPr>
                    <w:pStyle w:val="17"/>
                    <w:rPr>
                      <w:rFonts w:eastAsia="宋体"/>
                      <w:b/>
                      <w:bCs/>
                    </w:rPr>
                  </w:pPr>
                  <w:r>
                    <w:rPr>
                      <w:rFonts w:hint="eastAsia" w:eastAsia="宋体"/>
                      <w:b/>
                      <w:bCs/>
                      <w:lang w:val="en-US" w:eastAsia="zh-CN"/>
                    </w:rPr>
                    <w:t>型号</w:t>
                  </w:r>
                </w:p>
              </w:tc>
              <w:tc>
                <w:tcPr>
                  <w:tcW w:w="1037" w:type="pct"/>
                  <w:gridSpan w:val="3"/>
                  <w:noWrap/>
                  <w:vAlign w:val="center"/>
                </w:tcPr>
                <w:p w14:paraId="34705AAA">
                  <w:pPr>
                    <w:pStyle w:val="17"/>
                    <w:ind w:firstLine="0" w:firstLineChars="0"/>
                    <w:rPr>
                      <w:rFonts w:eastAsia="宋体"/>
                      <w:b/>
                      <w:bCs/>
                    </w:rPr>
                  </w:pPr>
                  <w:r>
                    <w:rPr>
                      <w:rFonts w:hint="eastAsia" w:eastAsia="宋体"/>
                      <w:b/>
                      <w:bCs/>
                      <w:lang w:val="en-US" w:eastAsia="zh-CN"/>
                    </w:rPr>
                    <w:t>空间相对位置/m</w:t>
                  </w:r>
                </w:p>
              </w:tc>
              <w:tc>
                <w:tcPr>
                  <w:tcW w:w="1005" w:type="pct"/>
                  <w:vMerge w:val="restart"/>
                  <w:vAlign w:val="center"/>
                </w:tcPr>
                <w:p w14:paraId="0005F62D">
                  <w:pPr>
                    <w:pStyle w:val="17"/>
                    <w:ind w:firstLine="0" w:firstLineChars="0"/>
                    <w:rPr>
                      <w:rFonts w:eastAsia="宋体"/>
                      <w:b/>
                      <w:bCs/>
                    </w:rPr>
                  </w:pPr>
                  <w:r>
                    <w:rPr>
                      <w:rFonts w:hint="eastAsia" w:eastAsia="宋体"/>
                      <w:b/>
                      <w:bCs/>
                      <w:lang w:val="en-US" w:eastAsia="zh-CN"/>
                    </w:rPr>
                    <w:t>声源源强（声功率级/</w:t>
                  </w:r>
                  <w:r>
                    <w:rPr>
                      <w:rFonts w:eastAsia="宋体"/>
                      <w:b/>
                      <w:bCs/>
                    </w:rPr>
                    <w:t>dB</w:t>
                  </w:r>
                  <w:r>
                    <w:rPr>
                      <w:rFonts w:hint="eastAsia" w:eastAsia="宋体"/>
                      <w:b/>
                      <w:bCs/>
                    </w:rPr>
                    <w:t>（</w:t>
                  </w:r>
                  <w:r>
                    <w:rPr>
                      <w:rFonts w:eastAsia="宋体"/>
                      <w:b/>
                      <w:bCs/>
                    </w:rPr>
                    <w:t>A</w:t>
                  </w:r>
                  <w:r>
                    <w:rPr>
                      <w:rFonts w:hint="eastAsia" w:eastAsia="宋体"/>
                      <w:b/>
                      <w:bCs/>
                    </w:rPr>
                    <w:t>）</w:t>
                  </w:r>
                  <w:r>
                    <w:rPr>
                      <w:rFonts w:hint="eastAsia" w:eastAsia="宋体"/>
                      <w:b/>
                      <w:bCs/>
                      <w:lang w:val="en-US" w:eastAsia="zh-CN"/>
                    </w:rPr>
                    <w:t>）</w:t>
                  </w:r>
                </w:p>
              </w:tc>
              <w:tc>
                <w:tcPr>
                  <w:tcW w:w="638" w:type="pct"/>
                  <w:vMerge w:val="restart"/>
                  <w:vAlign w:val="center"/>
                </w:tcPr>
                <w:p w14:paraId="615F1DA2">
                  <w:pPr>
                    <w:pStyle w:val="17"/>
                    <w:ind w:firstLine="0" w:firstLineChars="0"/>
                    <w:rPr>
                      <w:rFonts w:eastAsia="宋体"/>
                      <w:b/>
                      <w:bCs/>
                    </w:rPr>
                  </w:pPr>
                  <w:r>
                    <w:rPr>
                      <w:rFonts w:hint="eastAsia" w:eastAsia="宋体"/>
                      <w:b/>
                      <w:bCs/>
                      <w:lang w:val="en-US" w:eastAsia="zh-CN"/>
                    </w:rPr>
                    <w:t>声源控制措施</w:t>
                  </w:r>
                </w:p>
              </w:tc>
              <w:tc>
                <w:tcPr>
                  <w:tcW w:w="786" w:type="pct"/>
                  <w:vMerge w:val="restart"/>
                  <w:vAlign w:val="center"/>
                </w:tcPr>
                <w:p w14:paraId="217AB114">
                  <w:pPr>
                    <w:pStyle w:val="17"/>
                    <w:ind w:firstLine="0" w:firstLineChars="0"/>
                    <w:rPr>
                      <w:rFonts w:eastAsia="宋体"/>
                      <w:b/>
                      <w:bCs/>
                    </w:rPr>
                  </w:pPr>
                  <w:r>
                    <w:rPr>
                      <w:rFonts w:hint="eastAsia" w:eastAsia="宋体"/>
                      <w:b/>
                      <w:bCs/>
                      <w:lang w:val="en-US" w:eastAsia="zh-CN"/>
                    </w:rPr>
                    <w:t>运行时段</w:t>
                  </w:r>
                </w:p>
              </w:tc>
            </w:tr>
            <w:tr w14:paraId="395F0C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61" w:type="pct"/>
                  <w:vMerge w:val="continue"/>
                  <w:noWrap/>
                  <w:vAlign w:val="center"/>
                </w:tcPr>
                <w:p w14:paraId="2799BE41">
                  <w:pPr>
                    <w:pStyle w:val="17"/>
                  </w:pPr>
                </w:p>
              </w:tc>
              <w:tc>
                <w:tcPr>
                  <w:tcW w:w="461" w:type="pct"/>
                  <w:vMerge w:val="continue"/>
                  <w:noWrap/>
                  <w:vAlign w:val="center"/>
                </w:tcPr>
                <w:p w14:paraId="1DB64975">
                  <w:pPr>
                    <w:pStyle w:val="17"/>
                  </w:pPr>
                </w:p>
              </w:tc>
              <w:tc>
                <w:tcPr>
                  <w:tcW w:w="609" w:type="pct"/>
                  <w:vMerge w:val="continue"/>
                  <w:noWrap/>
                  <w:vAlign w:val="center"/>
                </w:tcPr>
                <w:p w14:paraId="5D4A12B3">
                  <w:pPr>
                    <w:pStyle w:val="17"/>
                  </w:pPr>
                </w:p>
              </w:tc>
              <w:tc>
                <w:tcPr>
                  <w:tcW w:w="335" w:type="pct"/>
                  <w:noWrap/>
                  <w:vAlign w:val="center"/>
                </w:tcPr>
                <w:p w14:paraId="0981ABA7">
                  <w:pPr>
                    <w:pStyle w:val="17"/>
                    <w:ind w:firstLine="0" w:firstLineChars="0"/>
                    <w:rPr>
                      <w:rFonts w:eastAsia="宋体"/>
                      <w:b/>
                      <w:bCs/>
                    </w:rPr>
                  </w:pPr>
                  <w:r>
                    <w:rPr>
                      <w:rFonts w:hint="eastAsia" w:eastAsia="宋体"/>
                      <w:b/>
                      <w:bCs/>
                      <w:lang w:val="en-US" w:eastAsia="zh-CN"/>
                    </w:rPr>
                    <w:t>X</w:t>
                  </w:r>
                </w:p>
              </w:tc>
              <w:tc>
                <w:tcPr>
                  <w:tcW w:w="369" w:type="pct"/>
                  <w:noWrap/>
                  <w:vAlign w:val="center"/>
                </w:tcPr>
                <w:p w14:paraId="7BFA4226">
                  <w:pPr>
                    <w:pStyle w:val="17"/>
                    <w:ind w:firstLine="0" w:firstLineChars="0"/>
                    <w:rPr>
                      <w:rFonts w:eastAsia="宋体"/>
                      <w:b/>
                      <w:bCs/>
                    </w:rPr>
                  </w:pPr>
                  <w:r>
                    <w:rPr>
                      <w:rFonts w:hint="eastAsia" w:eastAsia="宋体"/>
                      <w:b/>
                      <w:bCs/>
                      <w:lang w:val="en-US" w:eastAsia="zh-CN"/>
                    </w:rPr>
                    <w:t>Y</w:t>
                  </w:r>
                </w:p>
              </w:tc>
              <w:tc>
                <w:tcPr>
                  <w:tcW w:w="332" w:type="pct"/>
                  <w:noWrap/>
                  <w:vAlign w:val="center"/>
                </w:tcPr>
                <w:p w14:paraId="0E91971A">
                  <w:pPr>
                    <w:pStyle w:val="17"/>
                    <w:ind w:firstLine="0" w:firstLineChars="0"/>
                    <w:rPr>
                      <w:rFonts w:eastAsia="宋体"/>
                      <w:b/>
                      <w:bCs/>
                    </w:rPr>
                  </w:pPr>
                  <w:r>
                    <w:rPr>
                      <w:rFonts w:hint="eastAsia" w:eastAsia="宋体"/>
                      <w:b/>
                      <w:bCs/>
                      <w:lang w:val="en-US" w:eastAsia="zh-CN"/>
                    </w:rPr>
                    <w:t>Z</w:t>
                  </w:r>
                </w:p>
              </w:tc>
              <w:tc>
                <w:tcPr>
                  <w:tcW w:w="1005" w:type="pct"/>
                  <w:vMerge w:val="continue"/>
                  <w:vAlign w:val="center"/>
                </w:tcPr>
                <w:p w14:paraId="4383F87E">
                  <w:pPr>
                    <w:pStyle w:val="17"/>
                    <w:rPr>
                      <w:rFonts w:eastAsia="宋体"/>
                      <w:b/>
                      <w:bCs/>
                    </w:rPr>
                  </w:pPr>
                </w:p>
              </w:tc>
              <w:tc>
                <w:tcPr>
                  <w:tcW w:w="638" w:type="pct"/>
                  <w:vMerge w:val="continue"/>
                  <w:vAlign w:val="center"/>
                </w:tcPr>
                <w:p w14:paraId="5CB6ED30">
                  <w:pPr>
                    <w:pStyle w:val="17"/>
                    <w:rPr>
                      <w:rFonts w:eastAsia="宋体"/>
                      <w:b/>
                      <w:bCs/>
                    </w:rPr>
                  </w:pPr>
                </w:p>
              </w:tc>
              <w:tc>
                <w:tcPr>
                  <w:tcW w:w="786" w:type="pct"/>
                  <w:vMerge w:val="continue"/>
                  <w:vAlign w:val="center"/>
                </w:tcPr>
                <w:p w14:paraId="239602D4">
                  <w:pPr>
                    <w:pStyle w:val="17"/>
                    <w:rPr>
                      <w:rFonts w:eastAsia="宋体"/>
                      <w:b/>
                      <w:bCs/>
                    </w:rPr>
                  </w:pPr>
                </w:p>
              </w:tc>
            </w:tr>
            <w:tr w14:paraId="28B065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pct"/>
                  <w:vAlign w:val="center"/>
                </w:tcPr>
                <w:p w14:paraId="44A89746">
                  <w:pPr>
                    <w:pStyle w:val="17"/>
                    <w:rPr>
                      <w:rFonts w:hint="eastAsia" w:eastAsia="宋体"/>
                      <w:lang w:val="en-US" w:eastAsia="zh-CN"/>
                    </w:rPr>
                  </w:pPr>
                  <w:r>
                    <w:rPr>
                      <w:rFonts w:hint="eastAsia" w:eastAsia="宋体"/>
                      <w:lang w:val="en-US" w:eastAsia="zh-CN"/>
                    </w:rPr>
                    <w:t>1</w:t>
                  </w:r>
                </w:p>
              </w:tc>
              <w:tc>
                <w:tcPr>
                  <w:tcW w:w="461" w:type="pct"/>
                  <w:vAlign w:val="center"/>
                </w:tcPr>
                <w:p w14:paraId="2D6298F1">
                  <w:pPr>
                    <w:pStyle w:val="17"/>
                    <w:ind w:firstLine="0" w:firstLineChars="0"/>
                    <w:rPr>
                      <w:rFonts w:hint="eastAsia" w:eastAsia="宋体"/>
                    </w:rPr>
                  </w:pPr>
                  <w:r>
                    <w:rPr>
                      <w:rFonts w:hint="eastAsia" w:eastAsia="宋体"/>
                    </w:rPr>
                    <w:t>通井机</w:t>
                  </w:r>
                </w:p>
              </w:tc>
              <w:tc>
                <w:tcPr>
                  <w:tcW w:w="609" w:type="pct"/>
                  <w:noWrap/>
                  <w:vAlign w:val="center"/>
                </w:tcPr>
                <w:p w14:paraId="53FACA3C">
                  <w:pPr>
                    <w:pStyle w:val="17"/>
                    <w:rPr>
                      <w:rFonts w:eastAsia="宋体"/>
                    </w:rPr>
                  </w:pPr>
                  <w:r>
                    <w:rPr>
                      <w:rFonts w:eastAsia="宋体"/>
                    </w:rPr>
                    <w:t>XT-12</w:t>
                  </w:r>
                </w:p>
              </w:tc>
              <w:tc>
                <w:tcPr>
                  <w:tcW w:w="335" w:type="pct"/>
                  <w:noWrap/>
                  <w:vAlign w:val="center"/>
                </w:tcPr>
                <w:p w14:paraId="561F6D69">
                  <w:pPr>
                    <w:pStyle w:val="17"/>
                    <w:rPr>
                      <w:rFonts w:hint="default" w:eastAsia="宋体"/>
                      <w:lang w:val="en-US" w:eastAsia="zh-CN"/>
                    </w:rPr>
                  </w:pPr>
                  <w:r>
                    <w:rPr>
                      <w:rFonts w:hint="eastAsia" w:eastAsia="宋体"/>
                      <w:lang w:val="en-US" w:eastAsia="zh-CN"/>
                    </w:rPr>
                    <w:t>5</w:t>
                  </w:r>
                </w:p>
              </w:tc>
              <w:tc>
                <w:tcPr>
                  <w:tcW w:w="369" w:type="pct"/>
                  <w:noWrap/>
                  <w:vAlign w:val="center"/>
                </w:tcPr>
                <w:p w14:paraId="63E8FDD0">
                  <w:pPr>
                    <w:pStyle w:val="17"/>
                    <w:rPr>
                      <w:rFonts w:hint="eastAsia" w:eastAsia="宋体"/>
                      <w:lang w:val="en-US" w:eastAsia="zh-CN"/>
                    </w:rPr>
                  </w:pPr>
                  <w:r>
                    <w:rPr>
                      <w:rFonts w:hint="eastAsia" w:eastAsia="宋体"/>
                      <w:lang w:val="en-US" w:eastAsia="zh-CN"/>
                    </w:rPr>
                    <w:t>5</w:t>
                  </w:r>
                </w:p>
              </w:tc>
              <w:tc>
                <w:tcPr>
                  <w:tcW w:w="332" w:type="pct"/>
                  <w:noWrap/>
                  <w:vAlign w:val="center"/>
                </w:tcPr>
                <w:p w14:paraId="1DCA9D20">
                  <w:pPr>
                    <w:pStyle w:val="17"/>
                    <w:rPr>
                      <w:rFonts w:hint="default" w:eastAsia="宋体"/>
                      <w:lang w:val="en-US" w:eastAsia="zh-CN"/>
                    </w:rPr>
                  </w:pPr>
                  <w:r>
                    <w:rPr>
                      <w:rFonts w:hint="eastAsia" w:eastAsia="宋体"/>
                      <w:lang w:val="en-US" w:eastAsia="zh-CN"/>
                    </w:rPr>
                    <w:t>-80</w:t>
                  </w:r>
                </w:p>
              </w:tc>
              <w:tc>
                <w:tcPr>
                  <w:tcW w:w="1005" w:type="pct"/>
                  <w:vAlign w:val="center"/>
                </w:tcPr>
                <w:p w14:paraId="05BA14EE">
                  <w:pPr>
                    <w:pStyle w:val="17"/>
                    <w:ind w:firstLine="0" w:firstLineChars="0"/>
                    <w:rPr>
                      <w:rFonts w:eastAsia="宋体"/>
                    </w:rPr>
                  </w:pPr>
                  <w:r>
                    <w:rPr>
                      <w:rFonts w:eastAsia="宋体"/>
                    </w:rPr>
                    <w:t>85</w:t>
                  </w:r>
                </w:p>
              </w:tc>
              <w:tc>
                <w:tcPr>
                  <w:tcW w:w="638" w:type="pct"/>
                  <w:vAlign w:val="center"/>
                </w:tcPr>
                <w:p w14:paraId="157D6E32">
                  <w:pPr>
                    <w:pStyle w:val="17"/>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合理调配，减振基座</w:t>
                  </w:r>
                </w:p>
              </w:tc>
              <w:tc>
                <w:tcPr>
                  <w:tcW w:w="786" w:type="pct"/>
                  <w:vAlign w:val="center"/>
                </w:tcPr>
                <w:p w14:paraId="393AC09B">
                  <w:pPr>
                    <w:pStyle w:val="17"/>
                    <w:rPr>
                      <w:rFonts w:eastAsia="宋体"/>
                    </w:rPr>
                  </w:pPr>
                  <w:r>
                    <w:rPr>
                      <w:rFonts w:hint="eastAsia" w:eastAsia="宋体"/>
                      <w:lang w:val="en-US" w:eastAsia="zh-CN"/>
                    </w:rPr>
                    <w:t>24h</w:t>
                  </w:r>
                  <w:r>
                    <w:rPr>
                      <w:rFonts w:hint="eastAsia" w:eastAsia="宋体"/>
                    </w:rPr>
                    <w:t>连续</w:t>
                  </w:r>
                </w:p>
              </w:tc>
            </w:tr>
            <w:tr w14:paraId="48716B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pct"/>
                  <w:vAlign w:val="center"/>
                </w:tcPr>
                <w:p w14:paraId="787EBF74">
                  <w:pPr>
                    <w:pStyle w:val="17"/>
                    <w:rPr>
                      <w:rFonts w:hint="eastAsia" w:eastAsia="宋体"/>
                      <w:lang w:val="en-US" w:eastAsia="zh-CN"/>
                    </w:rPr>
                  </w:pPr>
                  <w:r>
                    <w:rPr>
                      <w:rFonts w:hint="eastAsia" w:eastAsia="宋体"/>
                      <w:lang w:val="en-US" w:eastAsia="zh-CN"/>
                    </w:rPr>
                    <w:t>2</w:t>
                  </w:r>
                </w:p>
              </w:tc>
              <w:tc>
                <w:tcPr>
                  <w:tcW w:w="461" w:type="pct"/>
                  <w:vAlign w:val="center"/>
                </w:tcPr>
                <w:p w14:paraId="2E3DE8D1">
                  <w:pPr>
                    <w:pStyle w:val="17"/>
                    <w:ind w:firstLine="0" w:firstLineChars="0"/>
                    <w:rPr>
                      <w:rFonts w:hint="eastAsia" w:eastAsia="宋体"/>
                    </w:rPr>
                  </w:pPr>
                  <w:r>
                    <w:rPr>
                      <w:rFonts w:hint="eastAsia" w:eastAsia="宋体"/>
                    </w:rPr>
                    <w:t>压裂车</w:t>
                  </w:r>
                </w:p>
              </w:tc>
              <w:tc>
                <w:tcPr>
                  <w:tcW w:w="609" w:type="pct"/>
                  <w:noWrap/>
                  <w:vAlign w:val="center"/>
                </w:tcPr>
                <w:p w14:paraId="672D18D7">
                  <w:pPr>
                    <w:pStyle w:val="17"/>
                    <w:rPr>
                      <w:rFonts w:eastAsia="宋体"/>
                    </w:rPr>
                  </w:pPr>
                  <w:r>
                    <w:rPr>
                      <w:rFonts w:eastAsia="宋体"/>
                    </w:rPr>
                    <w:t>YLC105-1490</w:t>
                  </w:r>
                </w:p>
              </w:tc>
              <w:tc>
                <w:tcPr>
                  <w:tcW w:w="335" w:type="pct"/>
                  <w:noWrap/>
                  <w:vAlign w:val="center"/>
                </w:tcPr>
                <w:p w14:paraId="53C8D893">
                  <w:pPr>
                    <w:pStyle w:val="17"/>
                    <w:jc w:val="center"/>
                    <w:rPr>
                      <w:rFonts w:hint="eastAsia" w:eastAsia="宋体"/>
                      <w:lang w:val="en-US" w:eastAsia="zh-CN"/>
                    </w:rPr>
                  </w:pPr>
                  <w:r>
                    <w:rPr>
                      <w:rFonts w:hint="eastAsia" w:eastAsia="宋体"/>
                      <w:lang w:val="en-US" w:eastAsia="zh-CN"/>
                    </w:rPr>
                    <w:t>5</w:t>
                  </w:r>
                </w:p>
              </w:tc>
              <w:tc>
                <w:tcPr>
                  <w:tcW w:w="369" w:type="pct"/>
                  <w:noWrap/>
                  <w:vAlign w:val="center"/>
                </w:tcPr>
                <w:p w14:paraId="6187D64F">
                  <w:pPr>
                    <w:pStyle w:val="17"/>
                    <w:rPr>
                      <w:rFonts w:hint="default" w:eastAsia="宋体"/>
                      <w:lang w:val="en-US" w:eastAsia="zh-CN"/>
                    </w:rPr>
                  </w:pPr>
                  <w:r>
                    <w:rPr>
                      <w:rFonts w:hint="eastAsia" w:eastAsia="宋体"/>
                      <w:lang w:val="en-US" w:eastAsia="zh-CN"/>
                    </w:rPr>
                    <w:t>-5</w:t>
                  </w:r>
                </w:p>
              </w:tc>
              <w:tc>
                <w:tcPr>
                  <w:tcW w:w="332" w:type="pct"/>
                  <w:noWrap/>
                  <w:vAlign w:val="center"/>
                </w:tcPr>
                <w:p w14:paraId="7213ABCE">
                  <w:pPr>
                    <w:pStyle w:val="17"/>
                    <w:rPr>
                      <w:rFonts w:hint="default" w:eastAsia="宋体"/>
                      <w:lang w:val="en-US" w:eastAsia="zh-CN"/>
                    </w:rPr>
                  </w:pPr>
                  <w:r>
                    <w:rPr>
                      <w:rFonts w:hint="eastAsia" w:eastAsia="宋体"/>
                      <w:lang w:val="en-US" w:eastAsia="zh-CN"/>
                    </w:rPr>
                    <w:t>-80</w:t>
                  </w:r>
                </w:p>
              </w:tc>
              <w:tc>
                <w:tcPr>
                  <w:tcW w:w="1005" w:type="pct"/>
                  <w:vAlign w:val="center"/>
                </w:tcPr>
                <w:p w14:paraId="50CD33AB">
                  <w:pPr>
                    <w:pStyle w:val="17"/>
                    <w:ind w:firstLine="0" w:firstLineChars="0"/>
                    <w:rPr>
                      <w:rFonts w:eastAsia="宋体"/>
                    </w:rPr>
                  </w:pPr>
                  <w:r>
                    <w:rPr>
                      <w:rFonts w:eastAsia="宋体"/>
                    </w:rPr>
                    <w:t>1</w:t>
                  </w:r>
                  <w:r>
                    <w:rPr>
                      <w:rFonts w:hint="eastAsia" w:eastAsia="宋体"/>
                      <w:lang w:val="en-US" w:eastAsia="zh-CN"/>
                    </w:rPr>
                    <w:t>0</w:t>
                  </w:r>
                  <w:r>
                    <w:rPr>
                      <w:rFonts w:eastAsia="宋体"/>
                    </w:rPr>
                    <w:t>0</w:t>
                  </w:r>
                </w:p>
              </w:tc>
              <w:tc>
                <w:tcPr>
                  <w:tcW w:w="638" w:type="pct"/>
                  <w:vAlign w:val="center"/>
                </w:tcPr>
                <w:p w14:paraId="15804031">
                  <w:pPr>
                    <w:pStyle w:val="17"/>
                    <w:rPr>
                      <w:rFonts w:hint="eastAsia"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合理调配，减振基座</w:t>
                  </w:r>
                </w:p>
              </w:tc>
              <w:tc>
                <w:tcPr>
                  <w:tcW w:w="786" w:type="pct"/>
                  <w:vAlign w:val="center"/>
                </w:tcPr>
                <w:p w14:paraId="4D1A2E5B">
                  <w:pPr>
                    <w:pStyle w:val="17"/>
                    <w:rPr>
                      <w:rFonts w:eastAsia="宋体"/>
                    </w:rPr>
                  </w:pPr>
                  <w:r>
                    <w:rPr>
                      <w:rFonts w:hint="eastAsia" w:eastAsia="宋体"/>
                      <w:lang w:val="en-US" w:eastAsia="zh-CN"/>
                    </w:rPr>
                    <w:t>24h</w:t>
                  </w:r>
                  <w:r>
                    <w:rPr>
                      <w:rFonts w:hint="eastAsia" w:eastAsia="宋体"/>
                    </w:rPr>
                    <w:t>连续</w:t>
                  </w:r>
                </w:p>
              </w:tc>
            </w:tr>
          </w:tbl>
          <w:p w14:paraId="65186F78">
            <w:pPr>
              <w:pStyle w:val="3"/>
              <w:ind w:firstLine="480"/>
              <w:rPr>
                <w:rFonts w:hint="default" w:eastAsia="宋体"/>
                <w:b/>
                <w:bCs/>
                <w:sz w:val="21"/>
                <w:szCs w:val="21"/>
                <w:lang w:val="en-US" w:eastAsia="zh-CN"/>
              </w:rPr>
            </w:pPr>
            <w:r>
              <w:rPr>
                <w:rFonts w:hint="eastAsia" w:eastAsia="宋体"/>
                <w:b/>
                <w:bCs/>
                <w:sz w:val="21"/>
                <w:szCs w:val="21"/>
                <w:lang w:val="en-US" w:eastAsia="zh-CN"/>
              </w:rPr>
              <w:t>注：以井场中心点为坐标原点。</w:t>
            </w:r>
          </w:p>
          <w:p w14:paraId="576A54B3">
            <w:pPr>
              <w:pStyle w:val="3"/>
              <w:ind w:left="0" w:leftChars="0" w:firstLine="480" w:firstLineChars="200"/>
              <w:rPr>
                <w:rFonts w:eastAsia="宋体"/>
              </w:rPr>
            </w:pPr>
            <w:r>
              <w:rPr>
                <w:rFonts w:hint="eastAsia" w:eastAsia="宋体"/>
              </w:rPr>
              <w:t>（2）噪声达标性分析</w:t>
            </w:r>
          </w:p>
          <w:p w14:paraId="02D849D7">
            <w:pPr>
              <w:pStyle w:val="3"/>
              <w:ind w:left="0" w:leftChars="0" w:firstLine="480" w:firstLineChars="200"/>
              <w:rPr>
                <w:rFonts w:hint="eastAsia" w:eastAsia="宋体"/>
                <w:lang w:eastAsia="zh-CN"/>
              </w:rPr>
            </w:pPr>
            <w:r>
              <w:rPr>
                <w:rFonts w:hint="eastAsia" w:eastAsia="宋体"/>
                <w:lang w:val="en-US" w:eastAsia="zh-CN"/>
              </w:rPr>
              <w:t>本项目声源主要属于室外声源，根据</w:t>
            </w:r>
            <w:r>
              <w:rPr>
                <w:rFonts w:hint="eastAsia" w:eastAsia="宋体"/>
              </w:rPr>
              <w:t>《环境影响评价技术导则声环境》（HJ2.4-2021）</w:t>
            </w:r>
            <w:r>
              <w:rPr>
                <w:rFonts w:hint="eastAsia" w:eastAsia="宋体"/>
                <w:lang w:val="en-US" w:eastAsia="zh-CN"/>
              </w:rPr>
              <w:t>附录A户外声传播的衰减基本公式进行</w:t>
            </w:r>
            <w:r>
              <w:rPr>
                <w:rFonts w:hint="eastAsia" w:eastAsia="宋体"/>
              </w:rPr>
              <w:t>计算</w:t>
            </w:r>
            <w:r>
              <w:rPr>
                <w:rFonts w:hint="eastAsia" w:eastAsia="宋体"/>
                <w:lang w:eastAsia="zh-CN"/>
              </w:rPr>
              <w:t>：</w:t>
            </w:r>
          </w:p>
          <w:p w14:paraId="652DA6B8">
            <w:pPr>
              <w:pStyle w:val="3"/>
              <w:ind w:left="0" w:leftChars="0" w:firstLine="480" w:firstLineChars="200"/>
              <w:rPr>
                <w:rFonts w:hint="eastAsia" w:eastAsia="宋体"/>
                <w:sz w:val="24"/>
                <w:szCs w:val="24"/>
                <w:lang w:eastAsia="zh-CN"/>
              </w:rPr>
            </w:pPr>
            <w:r>
              <w:rPr>
                <w:rFonts w:hint="eastAsia" w:eastAsia="宋体"/>
                <w:sz w:val="24"/>
                <w:szCs w:val="24"/>
                <w:lang w:eastAsia="zh-CN"/>
              </w:rPr>
              <w:t>①户外声传播衰减计算</w:t>
            </w:r>
          </w:p>
          <w:p w14:paraId="63356EE5">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a.户外声传播衰减包括几何发散（</w:t>
            </w:r>
            <w:r>
              <w:rPr>
                <w:rFonts w:ascii="Times New Roman" w:hAnsi="Times New Roman"/>
                <w:i/>
                <w:color w:val="000000"/>
                <w:sz w:val="24"/>
                <w:szCs w:val="24"/>
              </w:rPr>
              <w:t>A</w:t>
            </w:r>
            <w:r>
              <w:rPr>
                <w:rFonts w:ascii="Times New Roman" w:hAnsi="Times New Roman"/>
                <w:color w:val="000000"/>
                <w:sz w:val="24"/>
                <w:szCs w:val="24"/>
                <w:vertAlign w:val="subscript"/>
              </w:rPr>
              <w:t>div</w:t>
            </w:r>
            <w:r>
              <w:rPr>
                <w:rFonts w:ascii="Times New Roman" w:hAnsi="Times New Roman"/>
                <w:color w:val="000000"/>
                <w:sz w:val="24"/>
                <w:szCs w:val="24"/>
              </w:rPr>
              <w:t>）、大气吸收（</w:t>
            </w:r>
            <w:r>
              <w:rPr>
                <w:rFonts w:ascii="Times New Roman" w:hAnsi="Times New Roman"/>
                <w:i/>
                <w:color w:val="000000"/>
                <w:sz w:val="24"/>
                <w:szCs w:val="24"/>
              </w:rPr>
              <w:t>A</w:t>
            </w:r>
            <w:r>
              <w:rPr>
                <w:rFonts w:ascii="Times New Roman" w:hAnsi="Times New Roman"/>
                <w:color w:val="000000"/>
                <w:sz w:val="24"/>
                <w:szCs w:val="24"/>
                <w:vertAlign w:val="subscript"/>
              </w:rPr>
              <w:t>atm</w:t>
            </w:r>
            <w:r>
              <w:rPr>
                <w:rFonts w:ascii="Times New Roman" w:hAnsi="Times New Roman"/>
                <w:color w:val="000000"/>
                <w:sz w:val="24"/>
                <w:szCs w:val="24"/>
              </w:rPr>
              <w:t>）、地面效应（</w:t>
            </w:r>
            <w:r>
              <w:rPr>
                <w:rFonts w:ascii="Times New Roman" w:hAnsi="Times New Roman"/>
                <w:i/>
                <w:color w:val="000000"/>
                <w:sz w:val="24"/>
                <w:szCs w:val="24"/>
              </w:rPr>
              <w:t>A</w:t>
            </w:r>
            <w:r>
              <w:rPr>
                <w:rFonts w:ascii="Times New Roman" w:hAnsi="Times New Roman"/>
                <w:color w:val="000000"/>
                <w:sz w:val="24"/>
                <w:szCs w:val="24"/>
                <w:vertAlign w:val="subscript"/>
              </w:rPr>
              <w:t>gr</w:t>
            </w:r>
            <w:r>
              <w:rPr>
                <w:rFonts w:ascii="Times New Roman" w:hAnsi="Times New Roman"/>
                <w:color w:val="000000"/>
                <w:sz w:val="24"/>
                <w:szCs w:val="24"/>
              </w:rPr>
              <w:t>）、屏障屏蔽（</w:t>
            </w:r>
            <w:r>
              <w:rPr>
                <w:rFonts w:ascii="Times New Roman" w:hAnsi="Times New Roman"/>
                <w:i/>
                <w:color w:val="000000"/>
                <w:sz w:val="24"/>
                <w:szCs w:val="24"/>
              </w:rPr>
              <w:t>A</w:t>
            </w:r>
            <w:r>
              <w:rPr>
                <w:rFonts w:ascii="Times New Roman" w:hAnsi="Times New Roman"/>
                <w:color w:val="000000"/>
                <w:sz w:val="24"/>
                <w:szCs w:val="24"/>
                <w:vertAlign w:val="subscript"/>
              </w:rPr>
              <w:t>bar</w:t>
            </w:r>
            <w:r>
              <w:rPr>
                <w:rFonts w:ascii="Times New Roman" w:hAnsi="Times New Roman"/>
                <w:color w:val="000000"/>
                <w:sz w:val="24"/>
                <w:szCs w:val="24"/>
              </w:rPr>
              <w:t>）、其他多方面效应（</w:t>
            </w:r>
            <w:r>
              <w:rPr>
                <w:rFonts w:ascii="Times New Roman" w:hAnsi="Times New Roman"/>
                <w:i/>
                <w:color w:val="000000"/>
                <w:sz w:val="24"/>
                <w:szCs w:val="24"/>
              </w:rPr>
              <w:t>A</w:t>
            </w:r>
            <w:r>
              <w:rPr>
                <w:rFonts w:ascii="Times New Roman" w:hAnsi="Times New Roman"/>
                <w:color w:val="000000"/>
                <w:sz w:val="24"/>
                <w:szCs w:val="24"/>
                <w:vertAlign w:val="subscript"/>
              </w:rPr>
              <w:t>misc</w:t>
            </w:r>
            <w:r>
              <w:rPr>
                <w:rFonts w:ascii="Times New Roman" w:hAnsi="Times New Roman"/>
                <w:color w:val="000000"/>
                <w:sz w:val="24"/>
                <w:szCs w:val="24"/>
              </w:rPr>
              <w:t>）引起的衰减。在已知距离无指向性点声源参考点r</w:t>
            </w:r>
            <w:r>
              <w:rPr>
                <w:rFonts w:ascii="Times New Roman" w:hAnsi="Times New Roman"/>
                <w:color w:val="000000"/>
                <w:sz w:val="24"/>
                <w:szCs w:val="24"/>
                <w:vertAlign w:val="subscript"/>
              </w:rPr>
              <w:t>0</w:t>
            </w:r>
            <w:r>
              <w:rPr>
                <w:rFonts w:ascii="Times New Roman" w:hAnsi="Times New Roman"/>
                <w:color w:val="000000"/>
                <w:sz w:val="24"/>
                <w:szCs w:val="24"/>
              </w:rPr>
              <w:t>处的倍频带（用63Hz到8KHz的8个标称倍频带中心频率）声压级</w:t>
            </w:r>
            <w:r>
              <w:rPr>
                <w:rFonts w:ascii="Times New Roman" w:hAnsi="Times New Roman"/>
                <w:i/>
                <w:color w:val="000000"/>
                <w:sz w:val="24"/>
                <w:szCs w:val="24"/>
              </w:rPr>
              <w:t>L</w:t>
            </w:r>
            <w:r>
              <w:rPr>
                <w:rFonts w:ascii="Times New Roman" w:hAnsi="Times New Roman"/>
                <w:i/>
                <w:color w:val="000000"/>
                <w:sz w:val="24"/>
                <w:szCs w:val="24"/>
                <w:vertAlign w:val="subscript"/>
              </w:rPr>
              <w:t>p</w:t>
            </w:r>
            <w:r>
              <w:rPr>
                <w:rFonts w:ascii="Times New Roman" w:hAnsi="Times New Roman"/>
                <w:color w:val="000000"/>
                <w:sz w:val="24"/>
                <w:szCs w:val="24"/>
              </w:rPr>
              <w:t>（r</w:t>
            </w:r>
            <w:r>
              <w:rPr>
                <w:rFonts w:ascii="Times New Roman" w:hAnsi="Times New Roman"/>
                <w:color w:val="000000"/>
                <w:sz w:val="24"/>
                <w:szCs w:val="24"/>
                <w:vertAlign w:val="subscript"/>
              </w:rPr>
              <w:t>0</w:t>
            </w:r>
            <w:r>
              <w:rPr>
                <w:rFonts w:ascii="Times New Roman" w:hAnsi="Times New Roman"/>
                <w:color w:val="000000"/>
                <w:sz w:val="24"/>
                <w:szCs w:val="24"/>
              </w:rPr>
              <w:t>）和计算出参考点（r</w:t>
            </w:r>
            <w:r>
              <w:rPr>
                <w:rFonts w:ascii="Times New Roman" w:hAnsi="Times New Roman"/>
                <w:color w:val="000000"/>
                <w:sz w:val="24"/>
                <w:szCs w:val="24"/>
                <w:vertAlign w:val="subscript"/>
              </w:rPr>
              <w:t>0</w:t>
            </w:r>
            <w:r>
              <w:rPr>
                <w:rFonts w:ascii="Times New Roman" w:hAnsi="Times New Roman"/>
                <w:color w:val="000000"/>
                <w:sz w:val="24"/>
                <w:szCs w:val="24"/>
              </w:rPr>
              <w:t>）和预测点（r）处之间的户外声传播衰减后，预测点8个倍频带声压级可用下式计算：</w:t>
            </w:r>
          </w:p>
          <w:p w14:paraId="0AEE2BB5">
            <w:pPr>
              <w:pStyle w:val="3"/>
              <w:ind w:left="0" w:leftChars="0" w:firstLine="0" w:firstLineChars="0"/>
              <w:jc w:val="center"/>
              <w:rPr>
                <w:rFonts w:hint="eastAsia" w:eastAsia="宋体"/>
                <w:sz w:val="24"/>
                <w:szCs w:val="24"/>
              </w:rPr>
            </w:pPr>
            <w:r>
              <w:rPr>
                <w:rFonts w:ascii="Times New Roman" w:hAnsi="Times New Roman"/>
                <w:color w:val="000000"/>
                <w:position w:val="-14"/>
                <w:sz w:val="24"/>
                <w:szCs w:val="24"/>
              </w:rPr>
              <w:object>
                <v:shape id="_x0000_i1029" o:spt="75" type="#_x0000_t75" style="height:18.75pt;width:195.25pt;" o:ole="t" filled="f" o:preferrelative="t" stroked="f" coordsize="21600,21600">
                  <v:path/>
                  <v:fill on="f" focussize="0,0"/>
                  <v:stroke on="f"/>
                  <v:imagedata r:id="rId16" o:title=""/>
                  <o:lock v:ext="edit" aspectratio="t"/>
                  <w10:wrap type="none"/>
                  <w10:anchorlock/>
                </v:shape>
                <o:OLEObject Type="Embed" ProgID="Equation.3" ShapeID="_x0000_i1029" DrawAspect="Content" ObjectID="_1468075729" r:id="rId15">
                  <o:LockedField>false</o:LockedField>
                </o:OLEObject>
              </w:object>
            </w:r>
          </w:p>
          <w:p w14:paraId="0E817669">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b.预测点的A声级</w:t>
            </w:r>
            <w:r>
              <w:rPr>
                <w:rFonts w:ascii="Times New Roman" w:hAnsi="Times New Roman"/>
                <w:i/>
                <w:color w:val="000000"/>
                <w:sz w:val="24"/>
                <w:szCs w:val="24"/>
              </w:rPr>
              <w:t>L</w:t>
            </w:r>
            <w:r>
              <w:rPr>
                <w:rFonts w:ascii="Times New Roman" w:hAnsi="Times New Roman"/>
                <w:i/>
                <w:color w:val="000000"/>
                <w:sz w:val="24"/>
                <w:szCs w:val="24"/>
                <w:vertAlign w:val="subscript"/>
              </w:rPr>
              <w:t>A</w:t>
            </w:r>
            <w:r>
              <w:rPr>
                <w:rFonts w:ascii="Times New Roman" w:hAnsi="Times New Roman"/>
                <w:color w:val="000000"/>
                <w:sz w:val="24"/>
                <w:szCs w:val="24"/>
              </w:rPr>
              <w:t>（r）可按下式计算，即将8个倍频带声压级合成，计算出预测点的A声级（</w:t>
            </w:r>
            <w:r>
              <w:rPr>
                <w:rFonts w:ascii="Times New Roman" w:hAnsi="Times New Roman"/>
                <w:i/>
                <w:color w:val="000000"/>
                <w:sz w:val="24"/>
                <w:szCs w:val="24"/>
              </w:rPr>
              <w:t>L</w:t>
            </w:r>
            <w:r>
              <w:rPr>
                <w:rFonts w:ascii="Times New Roman" w:hAnsi="Times New Roman"/>
                <w:i/>
                <w:color w:val="000000"/>
                <w:sz w:val="24"/>
                <w:szCs w:val="24"/>
                <w:vertAlign w:val="subscript"/>
              </w:rPr>
              <w:t>A</w:t>
            </w:r>
            <w:r>
              <w:rPr>
                <w:rFonts w:ascii="Times New Roman" w:hAnsi="Times New Roman"/>
                <w:color w:val="000000"/>
                <w:sz w:val="24"/>
                <w:szCs w:val="24"/>
              </w:rPr>
              <w:t>（r））。</w:t>
            </w:r>
          </w:p>
          <w:p w14:paraId="43A7AF84">
            <w:pPr>
              <w:spacing w:line="360" w:lineRule="auto"/>
              <w:jc w:val="center"/>
              <w:rPr>
                <w:rFonts w:ascii="Times New Roman" w:hAnsi="Times New Roman"/>
                <w:color w:val="000000"/>
                <w:sz w:val="24"/>
                <w:szCs w:val="24"/>
              </w:rPr>
            </w:pPr>
            <w:r>
              <w:rPr>
                <w:rFonts w:ascii="Times New Roman" w:hAnsi="Times New Roman"/>
                <w:color w:val="000000"/>
                <w:position w:val="-30"/>
              </w:rPr>
              <w:object>
                <v:shape id="_x0000_i1030" o:spt="75" type="#_x0000_t75" style="height:39.8pt;width:159.55pt;" o:ole="t" filled="f" o:preferrelative="t" stroked="f" coordsize="21600,21600">
                  <v:path/>
                  <v:fill on="f" focussize="0,0"/>
                  <v:stroke on="f"/>
                  <v:imagedata r:id="rId18" o:title=""/>
                  <o:lock v:ext="edit" aspectratio="t"/>
                  <w10:wrap type="none"/>
                  <w10:anchorlock/>
                </v:shape>
                <o:OLEObject Type="Embed" ProgID="Equation.3" ShapeID="_x0000_i1030" DrawAspect="Content" ObjectID="_1468075730" r:id="rId17">
                  <o:LockedField>false</o:LockedField>
                </o:OLEObject>
              </w:object>
            </w:r>
          </w:p>
          <w:p w14:paraId="145850E9">
            <w:pPr>
              <w:spacing w:line="360" w:lineRule="auto"/>
              <w:rPr>
                <w:rFonts w:ascii="Times New Roman" w:hAnsi="Times New Roman"/>
                <w:color w:val="000000"/>
                <w:sz w:val="24"/>
                <w:szCs w:val="24"/>
              </w:rPr>
            </w:pPr>
            <w:r>
              <w:rPr>
                <w:rFonts w:ascii="Times New Roman" w:hAnsi="Times New Roman"/>
                <w:color w:val="000000"/>
                <w:sz w:val="24"/>
                <w:szCs w:val="24"/>
              </w:rPr>
              <w:t>式中：</w:t>
            </w:r>
            <w:r>
              <w:rPr>
                <w:rFonts w:ascii="Times New Roman" w:hAnsi="Times New Roman"/>
                <w:i/>
                <w:color w:val="000000"/>
                <w:sz w:val="24"/>
                <w:szCs w:val="24"/>
              </w:rPr>
              <w:t>L</w:t>
            </w:r>
            <w:r>
              <w:rPr>
                <w:rFonts w:ascii="Times New Roman" w:hAnsi="Times New Roman"/>
                <w:i/>
                <w:color w:val="000000"/>
                <w:sz w:val="24"/>
                <w:szCs w:val="24"/>
                <w:vertAlign w:val="subscript"/>
              </w:rPr>
              <w:t xml:space="preserve"> </w:t>
            </w:r>
            <w:r>
              <w:rPr>
                <w:rFonts w:ascii="Times New Roman" w:hAnsi="Times New Roman"/>
                <w:color w:val="000000"/>
                <w:sz w:val="24"/>
                <w:szCs w:val="24"/>
                <w:vertAlign w:val="subscript"/>
              </w:rPr>
              <w:t>Pi</w:t>
            </w:r>
            <w:r>
              <w:rPr>
                <w:rFonts w:ascii="Times New Roman" w:hAnsi="Times New Roman"/>
                <w:color w:val="000000"/>
                <w:sz w:val="24"/>
                <w:szCs w:val="24"/>
              </w:rPr>
              <w:t xml:space="preserve"> （r）—预测点（r）处，第</w:t>
            </w:r>
            <w:r>
              <w:rPr>
                <w:rFonts w:ascii="Times New Roman" w:hAnsi="Times New Roman"/>
                <w:i/>
                <w:color w:val="000000"/>
                <w:sz w:val="24"/>
                <w:szCs w:val="24"/>
              </w:rPr>
              <w:t>i</w:t>
            </w:r>
            <w:r>
              <w:rPr>
                <w:rFonts w:ascii="Times New Roman" w:hAnsi="Times New Roman"/>
                <w:color w:val="000000"/>
                <w:sz w:val="24"/>
                <w:szCs w:val="24"/>
              </w:rPr>
              <w:t xml:space="preserve"> 倍频带声压级，dB；</w:t>
            </w:r>
          </w:p>
          <w:p w14:paraId="5CA44EAB">
            <w:pPr>
              <w:spacing w:line="360" w:lineRule="auto"/>
              <w:ind w:firstLine="1200" w:firstLineChars="500"/>
              <w:rPr>
                <w:rFonts w:ascii="Times New Roman" w:hAnsi="Times New Roman"/>
                <w:color w:val="000000"/>
                <w:sz w:val="24"/>
                <w:szCs w:val="24"/>
              </w:rPr>
            </w:pPr>
            <w:r>
              <w:rPr>
                <w:rFonts w:ascii="Times New Roman" w:hAnsi="Times New Roman"/>
                <w:color w:val="000000"/>
                <w:sz w:val="24"/>
                <w:szCs w:val="24"/>
              </w:rPr>
              <w:t>Δ</w:t>
            </w:r>
            <w:r>
              <w:rPr>
                <w:rFonts w:ascii="Times New Roman" w:hAnsi="Times New Roman"/>
                <w:i/>
                <w:color w:val="000000"/>
                <w:sz w:val="24"/>
                <w:szCs w:val="24"/>
              </w:rPr>
              <w:t>Li</w:t>
            </w:r>
            <w:r>
              <w:rPr>
                <w:rFonts w:ascii="Times New Roman" w:hAnsi="Times New Roman"/>
                <w:color w:val="000000"/>
                <w:sz w:val="24"/>
                <w:szCs w:val="24"/>
              </w:rPr>
              <w:t>—第</w:t>
            </w:r>
            <w:r>
              <w:rPr>
                <w:rFonts w:ascii="Times New Roman" w:hAnsi="Times New Roman"/>
                <w:i/>
                <w:color w:val="000000"/>
                <w:sz w:val="24"/>
                <w:szCs w:val="24"/>
              </w:rPr>
              <w:t>i</w:t>
            </w:r>
            <w:r>
              <w:rPr>
                <w:rFonts w:ascii="Times New Roman" w:hAnsi="Times New Roman"/>
                <w:color w:val="000000"/>
                <w:sz w:val="24"/>
                <w:szCs w:val="24"/>
              </w:rPr>
              <w:t>倍频带的 A计权网络修正值，dB。</w:t>
            </w:r>
          </w:p>
          <w:p w14:paraId="28A1897D">
            <w:pPr>
              <w:pStyle w:val="3"/>
              <w:ind w:left="0" w:leftChars="0" w:firstLine="480" w:firstLineChars="200"/>
              <w:rPr>
                <w:rFonts w:hint="eastAsia" w:eastAsia="宋体"/>
              </w:rPr>
            </w:pPr>
            <w:r>
              <w:rPr>
                <w:rFonts w:hint="eastAsia" w:eastAsia="宋体"/>
              </w:rPr>
              <w:t>②声源在预测点产生的等效声级</w:t>
            </w:r>
          </w:p>
          <w:p w14:paraId="5B55131B">
            <w:pPr>
              <w:spacing w:line="360" w:lineRule="auto"/>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建设项目</w:t>
            </w:r>
            <w:r>
              <w:rPr>
                <w:rFonts w:ascii="Times New Roman" w:hAnsi="Times New Roman"/>
                <w:color w:val="000000"/>
                <w:sz w:val="24"/>
                <w:szCs w:val="24"/>
              </w:rPr>
              <w:t>声源</w:t>
            </w:r>
            <w:r>
              <w:rPr>
                <w:rFonts w:ascii="Times New Roman" w:hAnsi="Times New Roman"/>
                <w:color w:val="000000"/>
                <w:kern w:val="0"/>
                <w:sz w:val="24"/>
                <w:szCs w:val="24"/>
              </w:rPr>
              <w:t>在预测点产生的等效声级贡献值（L</w:t>
            </w:r>
            <w:r>
              <w:rPr>
                <w:rFonts w:ascii="Times New Roman" w:hAnsi="Times New Roman"/>
                <w:i/>
                <w:iCs/>
                <w:color w:val="000000"/>
                <w:kern w:val="0"/>
                <w:sz w:val="24"/>
                <w:szCs w:val="24"/>
              </w:rPr>
              <w:t>eq g</w:t>
            </w:r>
            <w:r>
              <w:rPr>
                <w:rFonts w:ascii="Times New Roman" w:hAnsi="Times New Roman"/>
                <w:color w:val="000000"/>
                <w:kern w:val="0"/>
                <w:sz w:val="24"/>
                <w:szCs w:val="24"/>
              </w:rPr>
              <w:t>）计算公式：</w:t>
            </w:r>
          </w:p>
          <w:p w14:paraId="57F911E5">
            <w:pPr>
              <w:spacing w:line="360" w:lineRule="auto"/>
              <w:jc w:val="center"/>
              <w:rPr>
                <w:rFonts w:ascii="Times New Roman" w:hAnsi="Times New Roman"/>
                <w:color w:val="000000"/>
                <w:sz w:val="24"/>
                <w:szCs w:val="24"/>
              </w:rPr>
            </w:pPr>
            <w:r>
              <w:rPr>
                <w:rFonts w:ascii="Times New Roman" w:hAnsi="Times New Roman"/>
                <w:color w:val="000000"/>
                <w:position w:val="-28"/>
                <w:sz w:val="24"/>
                <w:szCs w:val="24"/>
              </w:rPr>
              <w:object>
                <v:shape id="_x0000_i1031" o:spt="75" type="#_x0000_t75" style="height:36.05pt;width:143.45pt;" o:ole="t" filled="f" o:preferrelative="t" stroked="f" coordsize="21600,21600">
                  <v:path/>
                  <v:fill on="f" focussize="0,0"/>
                  <v:stroke on="f"/>
                  <v:imagedata r:id="rId20" o:title=""/>
                  <o:lock v:ext="edit" aspectratio="t"/>
                  <w10:wrap type="none"/>
                  <w10:anchorlock/>
                </v:shape>
                <o:OLEObject Type="Embed" ProgID="Equation.3" ShapeID="_x0000_i1031" DrawAspect="Content" ObjectID="_1468075731" r:id="rId19">
                  <o:LockedField>false</o:LockedField>
                </o:OLEObject>
              </w:object>
            </w:r>
          </w:p>
          <w:p w14:paraId="59797CC5">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式中：</w:t>
            </w:r>
            <w:r>
              <w:rPr>
                <w:rFonts w:ascii="Times New Roman" w:hAnsi="Times New Roman"/>
                <w:i/>
                <w:color w:val="000000"/>
                <w:sz w:val="24"/>
                <w:szCs w:val="24"/>
              </w:rPr>
              <w:t>L</w:t>
            </w:r>
            <w:r>
              <w:rPr>
                <w:rFonts w:ascii="Times New Roman" w:hAnsi="Times New Roman"/>
                <w:color w:val="000000"/>
                <w:sz w:val="24"/>
                <w:szCs w:val="24"/>
                <w:vertAlign w:val="subscript"/>
              </w:rPr>
              <w:t>eqg</w:t>
            </w:r>
            <w:r>
              <w:rPr>
                <w:rFonts w:ascii="Times New Roman" w:hAnsi="Times New Roman"/>
                <w:color w:val="000000"/>
                <w:sz w:val="24"/>
                <w:szCs w:val="24"/>
              </w:rPr>
              <w:t>—建设项目声源在预测点的等效声级贡献值，dB（A）；</w:t>
            </w:r>
          </w:p>
          <w:p w14:paraId="2A24A328">
            <w:pPr>
              <w:spacing w:line="360" w:lineRule="auto"/>
              <w:ind w:firstLine="1200" w:firstLineChars="500"/>
              <w:rPr>
                <w:rFonts w:ascii="Times New Roman" w:hAnsi="Times New Roman"/>
                <w:color w:val="000000"/>
                <w:sz w:val="24"/>
                <w:szCs w:val="24"/>
              </w:rPr>
            </w:pPr>
            <w:r>
              <w:rPr>
                <w:rFonts w:ascii="Times New Roman" w:hAnsi="Times New Roman"/>
                <w:i/>
                <w:color w:val="000000"/>
                <w:sz w:val="24"/>
                <w:szCs w:val="24"/>
              </w:rPr>
              <w:t>L</w:t>
            </w:r>
            <w:r>
              <w:rPr>
                <w:rFonts w:ascii="Times New Roman" w:hAnsi="Times New Roman"/>
                <w:color w:val="000000"/>
                <w:sz w:val="24"/>
                <w:szCs w:val="24"/>
                <w:vertAlign w:val="subscript"/>
              </w:rPr>
              <w:t xml:space="preserve">Ai </w:t>
            </w:r>
            <w:r>
              <w:rPr>
                <w:rFonts w:ascii="Times New Roman" w:hAnsi="Times New Roman"/>
                <w:color w:val="000000"/>
                <w:sz w:val="24"/>
                <w:szCs w:val="24"/>
              </w:rPr>
              <w:t>— i声源在预测点产生的A 声级，dB（A）；</w:t>
            </w:r>
          </w:p>
          <w:p w14:paraId="127BD883">
            <w:pPr>
              <w:spacing w:line="360" w:lineRule="auto"/>
              <w:ind w:firstLine="1200" w:firstLineChars="500"/>
              <w:rPr>
                <w:rFonts w:ascii="Times New Roman" w:hAnsi="Times New Roman"/>
                <w:color w:val="000000"/>
                <w:sz w:val="24"/>
                <w:szCs w:val="24"/>
              </w:rPr>
            </w:pPr>
            <w:r>
              <w:rPr>
                <w:rFonts w:ascii="Times New Roman" w:hAnsi="Times New Roman"/>
                <w:i/>
                <w:color w:val="000000"/>
                <w:sz w:val="24"/>
                <w:szCs w:val="24"/>
              </w:rPr>
              <w:t>T</w:t>
            </w:r>
            <w:r>
              <w:rPr>
                <w:rFonts w:ascii="Times New Roman" w:hAnsi="Times New Roman"/>
                <w:color w:val="000000"/>
                <w:sz w:val="24"/>
                <w:szCs w:val="24"/>
              </w:rPr>
              <w:t xml:space="preserve"> —预测计算的时间段，s；</w:t>
            </w:r>
          </w:p>
          <w:p w14:paraId="5068F2E5">
            <w:pPr>
              <w:spacing w:line="360" w:lineRule="auto"/>
              <w:ind w:firstLine="1200" w:firstLineChars="500"/>
              <w:rPr>
                <w:rFonts w:hint="eastAsia" w:eastAsia="宋体"/>
              </w:rPr>
            </w:pPr>
            <w:r>
              <w:rPr>
                <w:rFonts w:ascii="Times New Roman" w:hAnsi="Times New Roman"/>
                <w:i/>
                <w:color w:val="000000"/>
                <w:sz w:val="24"/>
                <w:szCs w:val="24"/>
              </w:rPr>
              <w:t>t</w:t>
            </w:r>
            <w:r>
              <w:rPr>
                <w:rFonts w:ascii="Times New Roman" w:hAnsi="Times New Roman"/>
                <w:i/>
                <w:color w:val="000000"/>
                <w:sz w:val="24"/>
                <w:szCs w:val="24"/>
                <w:vertAlign w:val="subscript"/>
              </w:rPr>
              <w:t>i</w:t>
            </w:r>
            <w:r>
              <w:rPr>
                <w:rFonts w:ascii="Times New Roman" w:hAnsi="Times New Roman"/>
                <w:color w:val="000000"/>
                <w:sz w:val="24"/>
                <w:szCs w:val="24"/>
              </w:rPr>
              <w:t>— i声源在T 时段内的运行时间，s。</w:t>
            </w:r>
          </w:p>
          <w:p w14:paraId="7617BAD4">
            <w:pPr>
              <w:pStyle w:val="3"/>
              <w:ind w:left="0" w:leftChars="0" w:firstLine="480" w:firstLineChars="200"/>
              <w:rPr>
                <w:rFonts w:hint="eastAsia" w:eastAsia="宋体"/>
                <w:sz w:val="24"/>
                <w:szCs w:val="24"/>
              </w:rPr>
            </w:pPr>
            <w:r>
              <w:rPr>
                <w:rFonts w:hint="eastAsia" w:eastAsia="宋体"/>
                <w:sz w:val="24"/>
                <w:szCs w:val="24"/>
              </w:rPr>
              <w:t>③预测点的预测等效声级</w:t>
            </w:r>
          </w:p>
          <w:p w14:paraId="5D6E45D3">
            <w:pPr>
              <w:spacing w:line="360" w:lineRule="auto"/>
              <w:jc w:val="center"/>
              <w:rPr>
                <w:rFonts w:ascii="Times New Roman" w:hAnsi="Times New Roman"/>
                <w:color w:val="000000"/>
                <w:sz w:val="24"/>
                <w:szCs w:val="24"/>
              </w:rPr>
            </w:pPr>
            <w:r>
              <w:rPr>
                <w:rFonts w:ascii="Times New Roman" w:hAnsi="Times New Roman"/>
                <w:color w:val="000000"/>
                <w:position w:val="-14"/>
                <w:sz w:val="24"/>
                <w:szCs w:val="24"/>
              </w:rPr>
              <w:object>
                <v:shape id="_x0000_i1032" o:spt="75" type="#_x0000_t75" style="height:21pt;width:150pt;" o:ole="t" filled="f" o:preferrelative="t" stroked="f" coordsize="21600,21600">
                  <v:path/>
                  <v:fill on="f" focussize="0,0"/>
                  <v:stroke on="f"/>
                  <v:imagedata r:id="rId22" o:title=""/>
                  <o:lock v:ext="edit" aspectratio="t"/>
                  <w10:wrap type="none"/>
                  <w10:anchorlock/>
                </v:shape>
                <o:OLEObject Type="Embed" ProgID="Equation.3" ShapeID="_x0000_i1032" DrawAspect="Content" ObjectID="_1468075732" r:id="rId21">
                  <o:LockedField>false</o:LockedField>
                </o:OLEObject>
              </w:object>
            </w:r>
          </w:p>
          <w:p w14:paraId="61BAA356">
            <w:pPr>
              <w:spacing w:line="360" w:lineRule="auto"/>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式中：</w:t>
            </w:r>
            <w:r>
              <w:rPr>
                <w:rFonts w:ascii="Times New Roman" w:hAnsi="Times New Roman"/>
                <w:i/>
                <w:iCs/>
                <w:color w:val="000000"/>
                <w:kern w:val="0"/>
                <w:sz w:val="24"/>
                <w:szCs w:val="24"/>
              </w:rPr>
              <w:t>L</w:t>
            </w:r>
            <w:r>
              <w:rPr>
                <w:rFonts w:ascii="Times New Roman" w:hAnsi="Times New Roman"/>
                <w:i/>
                <w:iCs/>
                <w:color w:val="000000"/>
                <w:kern w:val="0"/>
                <w:sz w:val="24"/>
                <w:szCs w:val="24"/>
                <w:vertAlign w:val="subscript"/>
              </w:rPr>
              <w:t xml:space="preserve"> eq g</w:t>
            </w:r>
            <w:r>
              <w:rPr>
                <w:rFonts w:ascii="Times New Roman" w:hAnsi="Times New Roman"/>
                <w:i/>
                <w:iCs/>
                <w:color w:val="000000"/>
                <w:kern w:val="0"/>
                <w:sz w:val="24"/>
                <w:szCs w:val="24"/>
              </w:rPr>
              <w:t xml:space="preserve"> </w:t>
            </w:r>
            <w:r>
              <w:rPr>
                <w:rFonts w:ascii="Times New Roman" w:hAnsi="Times New Roman"/>
                <w:color w:val="000000"/>
                <w:kern w:val="0"/>
                <w:sz w:val="24"/>
                <w:szCs w:val="24"/>
              </w:rPr>
              <w:t>—建设项目声源在预测点的</w:t>
            </w:r>
            <w:r>
              <w:rPr>
                <w:rFonts w:ascii="Times New Roman" w:hAnsi="Times New Roman"/>
                <w:color w:val="000000"/>
                <w:sz w:val="24"/>
                <w:szCs w:val="24"/>
              </w:rPr>
              <w:t>等效</w:t>
            </w:r>
            <w:r>
              <w:rPr>
                <w:rFonts w:ascii="Times New Roman" w:hAnsi="Times New Roman"/>
                <w:color w:val="000000"/>
                <w:kern w:val="0"/>
                <w:sz w:val="24"/>
                <w:szCs w:val="24"/>
              </w:rPr>
              <w:t>声级贡献值，dB（A）；</w:t>
            </w:r>
          </w:p>
          <w:p w14:paraId="5CA050AA">
            <w:pPr>
              <w:spacing w:line="360" w:lineRule="auto"/>
              <w:ind w:firstLine="1200" w:firstLineChars="500"/>
              <w:rPr>
                <w:rFonts w:hint="eastAsia" w:ascii="Times New Roman" w:hAnsi="Times New Roman" w:eastAsia="宋体"/>
                <w:color w:val="000000"/>
                <w:kern w:val="0"/>
                <w:sz w:val="24"/>
                <w:szCs w:val="24"/>
                <w:lang w:eastAsia="zh-CN"/>
              </w:rPr>
            </w:pPr>
            <w:r>
              <w:rPr>
                <w:rFonts w:ascii="Times New Roman" w:hAnsi="Times New Roman"/>
                <w:i/>
                <w:iCs/>
                <w:color w:val="000000"/>
                <w:kern w:val="0"/>
                <w:sz w:val="24"/>
                <w:szCs w:val="24"/>
              </w:rPr>
              <w:t>L</w:t>
            </w:r>
            <w:r>
              <w:rPr>
                <w:rFonts w:ascii="Times New Roman" w:hAnsi="Times New Roman"/>
                <w:i/>
                <w:iCs/>
                <w:color w:val="000000"/>
                <w:kern w:val="0"/>
                <w:sz w:val="24"/>
                <w:szCs w:val="24"/>
                <w:vertAlign w:val="subscript"/>
              </w:rPr>
              <w:t xml:space="preserve"> eqb</w:t>
            </w:r>
            <w:r>
              <w:rPr>
                <w:rFonts w:ascii="Times New Roman" w:hAnsi="Times New Roman"/>
                <w:i/>
                <w:iCs/>
                <w:color w:val="000000"/>
                <w:kern w:val="0"/>
                <w:sz w:val="24"/>
                <w:szCs w:val="24"/>
              </w:rPr>
              <w:t xml:space="preserve"> </w:t>
            </w:r>
            <w:r>
              <w:rPr>
                <w:rFonts w:ascii="Times New Roman" w:hAnsi="Times New Roman"/>
                <w:color w:val="000000"/>
                <w:kern w:val="0"/>
                <w:sz w:val="24"/>
                <w:szCs w:val="24"/>
              </w:rPr>
              <w:t>— 预测点的</w:t>
            </w:r>
            <w:r>
              <w:rPr>
                <w:rFonts w:ascii="Times New Roman" w:hAnsi="Times New Roman"/>
                <w:color w:val="000000"/>
                <w:sz w:val="24"/>
                <w:szCs w:val="24"/>
              </w:rPr>
              <w:t>背景值</w:t>
            </w:r>
            <w:r>
              <w:rPr>
                <w:rFonts w:ascii="Times New Roman" w:hAnsi="Times New Roman"/>
                <w:color w:val="000000"/>
                <w:kern w:val="0"/>
                <w:sz w:val="24"/>
                <w:szCs w:val="24"/>
              </w:rPr>
              <w:t>，dB（A）</w:t>
            </w:r>
            <w:r>
              <w:rPr>
                <w:rFonts w:hint="eastAsia" w:ascii="Times New Roman" w:hAnsi="Times New Roman"/>
                <w:color w:val="000000"/>
                <w:kern w:val="0"/>
                <w:sz w:val="24"/>
                <w:szCs w:val="24"/>
                <w:lang w:eastAsia="zh-CN"/>
              </w:rPr>
              <w:t>。</w:t>
            </w:r>
          </w:p>
          <w:p w14:paraId="56932F28">
            <w:pPr>
              <w:pStyle w:val="3"/>
              <w:ind w:left="0" w:leftChars="0" w:firstLine="480" w:firstLineChars="200"/>
              <w:rPr>
                <w:rFonts w:eastAsia="宋体"/>
                <w:color w:val="auto"/>
                <w:highlight w:val="none"/>
              </w:rPr>
            </w:pPr>
            <w:r>
              <w:rPr>
                <w:rFonts w:hint="eastAsia" w:eastAsia="宋体"/>
                <w:color w:val="auto"/>
                <w:highlight w:val="none"/>
                <w:lang w:val="en-US" w:eastAsia="zh-CN"/>
              </w:rPr>
              <w:t>根据</w:t>
            </w:r>
            <w:r>
              <w:rPr>
                <w:rFonts w:hint="eastAsia" w:eastAsia="宋体"/>
              </w:rPr>
              <w:t>《环境影响评价技术导则声环境》（HJ2.4-2021）</w:t>
            </w:r>
            <w:r>
              <w:rPr>
                <w:rFonts w:hint="eastAsia" w:eastAsia="宋体"/>
                <w:lang w:val="en-US" w:eastAsia="zh-CN"/>
              </w:rPr>
              <w:t>中</w:t>
            </w:r>
            <w:r>
              <w:rPr>
                <w:rFonts w:hint="default" w:ascii="Times New Roman" w:hAnsi="Times New Roman" w:eastAsia="宋体" w:cs="Times New Roman"/>
                <w:lang w:eastAsia="zh-CN"/>
              </w:rPr>
              <w:t>“</w:t>
            </w:r>
            <w:r>
              <w:rPr>
                <w:rFonts w:hint="eastAsia" w:eastAsia="宋体"/>
                <w:lang w:val="en-US" w:eastAsia="zh-CN"/>
              </w:rPr>
              <w:t>8.6预测评价结果图表要求</w:t>
            </w:r>
            <w:r>
              <w:rPr>
                <w:rFonts w:hint="default" w:ascii="Times New Roman" w:hAnsi="Times New Roman" w:eastAsia="宋体" w:cs="Times New Roman"/>
                <w:lang w:eastAsia="zh-CN"/>
              </w:rPr>
              <w:t>”</w:t>
            </w:r>
            <w:r>
              <w:rPr>
                <w:rFonts w:hint="eastAsia" w:eastAsia="宋体"/>
                <w:color w:val="auto"/>
                <w:highlight w:val="none"/>
                <w:lang w:val="en-US" w:eastAsia="zh-CN"/>
              </w:rPr>
              <w:t>，需列表给出本项目场界噪声贡献值和环境保护目标处的噪声背景值、噪声贡献值、噪声预测值及达标请况。</w:t>
            </w:r>
            <w:r>
              <w:rPr>
                <w:rFonts w:hint="eastAsia" w:eastAsia="宋体"/>
                <w:color w:val="auto"/>
                <w:highlight w:val="none"/>
                <w:lang w:eastAsia="zh-CN"/>
              </w:rPr>
              <w:t>本项目采取降噪措施后，结合噪声距离的衰减，</w:t>
            </w:r>
            <w:r>
              <w:rPr>
                <w:rFonts w:hint="eastAsia" w:eastAsia="宋体"/>
                <w:color w:val="auto"/>
                <w:highlight w:val="none"/>
              </w:rPr>
              <w:t>本项目</w:t>
            </w:r>
            <w:r>
              <w:rPr>
                <w:rFonts w:hint="eastAsia" w:eastAsia="宋体"/>
                <w:color w:val="auto"/>
                <w:highlight w:val="none"/>
                <w:lang w:val="en-US" w:eastAsia="zh-CN"/>
              </w:rPr>
              <w:t>场</w:t>
            </w:r>
            <w:r>
              <w:rPr>
                <w:rFonts w:hint="eastAsia" w:eastAsia="宋体"/>
                <w:color w:val="auto"/>
                <w:highlight w:val="none"/>
              </w:rPr>
              <w:t>界</w:t>
            </w:r>
            <w:r>
              <w:rPr>
                <w:rFonts w:hint="eastAsia" w:eastAsia="宋体"/>
                <w:color w:val="auto"/>
                <w:highlight w:val="none"/>
                <w:lang w:val="en-US" w:eastAsia="zh-CN"/>
              </w:rPr>
              <w:t>噪声贡献值及达标情况见表4-5，环境保护目标处预测过程表4-6，周边环境保护目标处的噪声背景值、噪声贡献值、噪声预测值和达标请况</w:t>
            </w:r>
            <w:r>
              <w:rPr>
                <w:rFonts w:hint="eastAsia" w:eastAsia="宋体"/>
                <w:color w:val="auto"/>
                <w:highlight w:val="none"/>
              </w:rPr>
              <w:t>见表</w:t>
            </w:r>
            <w:r>
              <w:rPr>
                <w:rFonts w:hint="eastAsia" w:eastAsia="宋体"/>
                <w:color w:val="auto"/>
                <w:highlight w:val="none"/>
                <w:lang w:val="en-US" w:eastAsia="zh-CN"/>
              </w:rPr>
              <w:t>4-7</w:t>
            </w:r>
            <w:r>
              <w:rPr>
                <w:rFonts w:hint="eastAsia" w:eastAsia="宋体"/>
                <w:color w:val="auto"/>
                <w:highlight w:val="none"/>
              </w:rPr>
              <w:t>。</w:t>
            </w:r>
          </w:p>
          <w:p w14:paraId="3511A4CC">
            <w:pPr>
              <w:pStyle w:val="16"/>
              <w:bidi w:val="0"/>
              <w:rPr>
                <w:rFonts w:eastAsia="宋体"/>
                <w:color w:val="auto"/>
              </w:rPr>
            </w:pPr>
            <w:r>
              <w:rPr>
                <w:rFonts w:eastAsia="宋体"/>
                <w:color w:val="auto"/>
              </w:rPr>
              <w:t>表</w:t>
            </w:r>
            <w:r>
              <w:rPr>
                <w:rFonts w:hint="eastAsia" w:eastAsia="宋体"/>
                <w:color w:val="auto"/>
              </w:rPr>
              <w:t>4-</w:t>
            </w:r>
            <w:r>
              <w:rPr>
                <w:rFonts w:hint="eastAsia" w:eastAsia="宋体"/>
                <w:color w:val="auto"/>
                <w:lang w:val="en-US" w:eastAsia="zh-CN"/>
              </w:rPr>
              <w:t>5</w:t>
            </w:r>
            <w:r>
              <w:rPr>
                <w:rFonts w:eastAsia="宋体"/>
                <w:color w:val="auto"/>
              </w:rPr>
              <w:t xml:space="preserve">  </w:t>
            </w:r>
            <w:r>
              <w:rPr>
                <w:rFonts w:hint="eastAsia" w:eastAsia="宋体"/>
                <w:color w:val="auto"/>
                <w:lang w:val="en-US" w:eastAsia="zh-CN"/>
              </w:rPr>
              <w:t>项目场界噪声贡献值</w:t>
            </w:r>
            <w:r>
              <w:rPr>
                <w:rFonts w:eastAsia="宋体"/>
                <w:color w:val="auto"/>
              </w:rPr>
              <w:t>结果表（单位：dB(A)）</w:t>
            </w:r>
          </w:p>
          <w:tbl>
            <w:tblPr>
              <w:tblStyle w:val="11"/>
              <w:tblW w:w="501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504"/>
              <w:gridCol w:w="1198"/>
              <w:gridCol w:w="856"/>
              <w:gridCol w:w="853"/>
              <w:gridCol w:w="1066"/>
              <w:gridCol w:w="1205"/>
            </w:tblGrid>
            <w:tr w14:paraId="16608D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9" w:type="pct"/>
                  <w:vMerge w:val="restart"/>
                  <w:vAlign w:val="center"/>
                </w:tcPr>
                <w:p w14:paraId="2A3077FE">
                  <w:pPr>
                    <w:adjustRightInd w:val="0"/>
                    <w:snapToGrid w:val="0"/>
                    <w:jc w:val="center"/>
                    <w:rPr>
                      <w:rFonts w:hint="eastAsia" w:eastAsia="宋体"/>
                      <w:b/>
                      <w:color w:val="auto"/>
                      <w:szCs w:val="21"/>
                      <w:lang w:eastAsia="zh-CN"/>
                    </w:rPr>
                  </w:pPr>
                  <w:r>
                    <w:rPr>
                      <w:rFonts w:hint="eastAsia" w:eastAsia="宋体"/>
                      <w:b/>
                      <w:color w:val="auto"/>
                      <w:szCs w:val="21"/>
                      <w:lang w:eastAsia="zh-CN"/>
                    </w:rPr>
                    <w:t>井场</w:t>
                  </w:r>
                </w:p>
              </w:tc>
              <w:tc>
                <w:tcPr>
                  <w:tcW w:w="972" w:type="pct"/>
                  <w:vMerge w:val="restart"/>
                  <w:vAlign w:val="center"/>
                </w:tcPr>
                <w:p w14:paraId="30FFC6DF">
                  <w:pPr>
                    <w:adjustRightInd w:val="0"/>
                    <w:snapToGrid w:val="0"/>
                    <w:jc w:val="center"/>
                    <w:rPr>
                      <w:rFonts w:hint="default" w:eastAsia="宋体"/>
                      <w:b/>
                      <w:color w:val="auto"/>
                      <w:szCs w:val="21"/>
                      <w:lang w:val="en-US" w:eastAsia="zh-CN"/>
                    </w:rPr>
                  </w:pPr>
                  <w:r>
                    <w:rPr>
                      <w:rFonts w:hint="eastAsia"/>
                      <w:b/>
                      <w:color w:val="auto"/>
                      <w:szCs w:val="21"/>
                      <w:lang w:val="en-US" w:eastAsia="zh-CN"/>
                    </w:rPr>
                    <w:t>预测点</w:t>
                  </w:r>
                </w:p>
              </w:tc>
              <w:tc>
                <w:tcPr>
                  <w:tcW w:w="774" w:type="pct"/>
                  <w:vMerge w:val="restart"/>
                  <w:vAlign w:val="center"/>
                </w:tcPr>
                <w:p w14:paraId="08C2FB73">
                  <w:pPr>
                    <w:adjustRightInd w:val="0"/>
                    <w:snapToGrid w:val="0"/>
                    <w:jc w:val="center"/>
                    <w:rPr>
                      <w:rFonts w:eastAsia="宋体"/>
                      <w:b/>
                      <w:color w:val="auto"/>
                      <w:szCs w:val="21"/>
                    </w:rPr>
                  </w:pPr>
                  <w:r>
                    <w:rPr>
                      <w:rFonts w:eastAsia="宋体"/>
                      <w:b/>
                      <w:color w:val="auto"/>
                      <w:szCs w:val="21"/>
                    </w:rPr>
                    <w:t>贡献值</w:t>
                  </w:r>
                </w:p>
              </w:tc>
              <w:tc>
                <w:tcPr>
                  <w:tcW w:w="1104" w:type="pct"/>
                  <w:gridSpan w:val="2"/>
                  <w:vAlign w:val="center"/>
                </w:tcPr>
                <w:p w14:paraId="78C88C3F">
                  <w:pPr>
                    <w:adjustRightInd w:val="0"/>
                    <w:snapToGrid w:val="0"/>
                    <w:jc w:val="center"/>
                    <w:rPr>
                      <w:rFonts w:eastAsia="宋体"/>
                      <w:b/>
                      <w:color w:val="auto"/>
                      <w:szCs w:val="21"/>
                    </w:rPr>
                  </w:pPr>
                  <w:r>
                    <w:rPr>
                      <w:rFonts w:eastAsia="宋体"/>
                      <w:b/>
                      <w:color w:val="auto"/>
                      <w:szCs w:val="21"/>
                    </w:rPr>
                    <w:t>标准值</w:t>
                  </w:r>
                </w:p>
              </w:tc>
              <w:tc>
                <w:tcPr>
                  <w:tcW w:w="1468" w:type="pct"/>
                  <w:gridSpan w:val="2"/>
                  <w:vAlign w:val="center"/>
                </w:tcPr>
                <w:p w14:paraId="751D59B2">
                  <w:pPr>
                    <w:adjustRightInd w:val="0"/>
                    <w:snapToGrid w:val="0"/>
                    <w:jc w:val="center"/>
                    <w:rPr>
                      <w:rFonts w:eastAsia="宋体"/>
                      <w:b/>
                      <w:color w:val="auto"/>
                      <w:szCs w:val="21"/>
                    </w:rPr>
                  </w:pPr>
                  <w:r>
                    <w:rPr>
                      <w:rFonts w:eastAsia="宋体"/>
                      <w:b/>
                      <w:color w:val="auto"/>
                      <w:szCs w:val="21"/>
                    </w:rPr>
                    <w:t>达标情况</w:t>
                  </w:r>
                </w:p>
              </w:tc>
            </w:tr>
            <w:tr w14:paraId="10BCA3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9" w:type="pct"/>
                  <w:vMerge w:val="continue"/>
                  <w:vAlign w:val="center"/>
                </w:tcPr>
                <w:p w14:paraId="4441AD50">
                  <w:pPr>
                    <w:widowControl/>
                    <w:jc w:val="center"/>
                    <w:rPr>
                      <w:rFonts w:eastAsia="宋体"/>
                      <w:b/>
                      <w:szCs w:val="21"/>
                    </w:rPr>
                  </w:pPr>
                </w:p>
              </w:tc>
              <w:tc>
                <w:tcPr>
                  <w:tcW w:w="972" w:type="pct"/>
                  <w:vMerge w:val="continue"/>
                  <w:vAlign w:val="center"/>
                </w:tcPr>
                <w:p w14:paraId="5E686AA3">
                  <w:pPr>
                    <w:widowControl/>
                    <w:jc w:val="center"/>
                    <w:rPr>
                      <w:rFonts w:eastAsia="宋体"/>
                      <w:b/>
                      <w:szCs w:val="21"/>
                    </w:rPr>
                  </w:pPr>
                </w:p>
              </w:tc>
              <w:tc>
                <w:tcPr>
                  <w:tcW w:w="774" w:type="pct"/>
                  <w:vMerge w:val="continue"/>
                  <w:vAlign w:val="center"/>
                </w:tcPr>
                <w:p w14:paraId="26403A8E">
                  <w:pPr>
                    <w:adjustRightInd w:val="0"/>
                    <w:snapToGrid w:val="0"/>
                    <w:jc w:val="center"/>
                    <w:rPr>
                      <w:rFonts w:eastAsia="宋体"/>
                      <w:szCs w:val="21"/>
                    </w:rPr>
                  </w:pPr>
                </w:p>
              </w:tc>
              <w:tc>
                <w:tcPr>
                  <w:tcW w:w="553" w:type="pct"/>
                  <w:vAlign w:val="center"/>
                </w:tcPr>
                <w:p w14:paraId="681FBA1E">
                  <w:pPr>
                    <w:adjustRightInd w:val="0"/>
                    <w:snapToGrid w:val="0"/>
                    <w:jc w:val="center"/>
                    <w:rPr>
                      <w:rFonts w:eastAsia="宋体"/>
                      <w:szCs w:val="21"/>
                    </w:rPr>
                  </w:pPr>
                  <w:r>
                    <w:rPr>
                      <w:rFonts w:eastAsia="宋体"/>
                      <w:szCs w:val="21"/>
                    </w:rPr>
                    <w:t>昼间</w:t>
                  </w:r>
                </w:p>
              </w:tc>
              <w:tc>
                <w:tcPr>
                  <w:tcW w:w="551" w:type="pct"/>
                  <w:vAlign w:val="center"/>
                </w:tcPr>
                <w:p w14:paraId="13F1E0F1">
                  <w:pPr>
                    <w:adjustRightInd w:val="0"/>
                    <w:snapToGrid w:val="0"/>
                    <w:jc w:val="center"/>
                    <w:rPr>
                      <w:rFonts w:eastAsia="宋体"/>
                      <w:szCs w:val="21"/>
                    </w:rPr>
                  </w:pPr>
                  <w:r>
                    <w:rPr>
                      <w:rFonts w:eastAsia="宋体"/>
                      <w:szCs w:val="21"/>
                    </w:rPr>
                    <w:t>夜间</w:t>
                  </w:r>
                </w:p>
              </w:tc>
              <w:tc>
                <w:tcPr>
                  <w:tcW w:w="689" w:type="pct"/>
                  <w:vAlign w:val="center"/>
                </w:tcPr>
                <w:p w14:paraId="0ECA5285">
                  <w:pPr>
                    <w:adjustRightInd w:val="0"/>
                    <w:snapToGrid w:val="0"/>
                    <w:jc w:val="center"/>
                    <w:rPr>
                      <w:rFonts w:eastAsia="宋体"/>
                      <w:szCs w:val="21"/>
                    </w:rPr>
                  </w:pPr>
                  <w:r>
                    <w:rPr>
                      <w:rFonts w:eastAsia="宋体"/>
                      <w:szCs w:val="21"/>
                    </w:rPr>
                    <w:t>昼间</w:t>
                  </w:r>
                </w:p>
              </w:tc>
              <w:tc>
                <w:tcPr>
                  <w:tcW w:w="779" w:type="pct"/>
                  <w:vAlign w:val="center"/>
                </w:tcPr>
                <w:p w14:paraId="285FED1A">
                  <w:pPr>
                    <w:adjustRightInd w:val="0"/>
                    <w:snapToGrid w:val="0"/>
                    <w:jc w:val="center"/>
                    <w:rPr>
                      <w:rFonts w:eastAsia="宋体"/>
                      <w:szCs w:val="21"/>
                    </w:rPr>
                  </w:pPr>
                  <w:r>
                    <w:rPr>
                      <w:rFonts w:eastAsia="宋体"/>
                      <w:szCs w:val="21"/>
                    </w:rPr>
                    <w:t>夜间</w:t>
                  </w:r>
                </w:p>
              </w:tc>
            </w:tr>
            <w:tr w14:paraId="2A8C8A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9" w:type="pct"/>
                  <w:vMerge w:val="restart"/>
                  <w:vAlign w:val="center"/>
                </w:tcPr>
                <w:p w14:paraId="5FA31A1C">
                  <w:pPr>
                    <w:pStyle w:val="17"/>
                    <w:ind w:firstLine="0" w:firstLineChars="0"/>
                    <w:jc w:val="center"/>
                    <w:rPr>
                      <w:rFonts w:hint="default" w:eastAsia="宋体"/>
                      <w:szCs w:val="21"/>
                      <w:lang w:val="en-US" w:eastAsia="zh-CN"/>
                    </w:rPr>
                  </w:pPr>
                  <w:r>
                    <w:rPr>
                      <w:rFonts w:hint="eastAsia" w:eastAsia="宋体"/>
                      <w:lang w:val="en-US" w:eastAsia="zh-CN"/>
                    </w:rPr>
                    <w:t>沙105斜井、沙86斜井</w:t>
                  </w:r>
                </w:p>
              </w:tc>
              <w:tc>
                <w:tcPr>
                  <w:tcW w:w="972" w:type="pct"/>
                  <w:vAlign w:val="center"/>
                </w:tcPr>
                <w:p w14:paraId="566DF25C">
                  <w:pPr>
                    <w:adjustRightInd w:val="0"/>
                    <w:snapToGrid w:val="0"/>
                    <w:jc w:val="center"/>
                    <w:rPr>
                      <w:rFonts w:hint="eastAsia"/>
                      <w:szCs w:val="21"/>
                      <w:lang w:val="en-US" w:eastAsia="zh-CN"/>
                    </w:rPr>
                  </w:pPr>
                  <w:r>
                    <w:rPr>
                      <w:rFonts w:hint="eastAsia"/>
                      <w:szCs w:val="21"/>
                      <w:lang w:val="en-US" w:eastAsia="zh-CN"/>
                    </w:rPr>
                    <w:t>东场界</w:t>
                  </w:r>
                </w:p>
              </w:tc>
              <w:tc>
                <w:tcPr>
                  <w:tcW w:w="774" w:type="pct"/>
                  <w:vAlign w:val="center"/>
                </w:tcPr>
                <w:p w14:paraId="764C3BD3">
                  <w:pPr>
                    <w:adjustRightInd w:val="0"/>
                    <w:snapToGrid w:val="0"/>
                    <w:jc w:val="center"/>
                    <w:rPr>
                      <w:rFonts w:hint="default"/>
                      <w:kern w:val="0"/>
                      <w:szCs w:val="21"/>
                      <w:lang w:val="en-US" w:eastAsia="zh-CN" w:bidi="ar"/>
                    </w:rPr>
                  </w:pPr>
                  <w:r>
                    <w:rPr>
                      <w:rFonts w:hint="eastAsia"/>
                      <w:kern w:val="0"/>
                      <w:szCs w:val="21"/>
                      <w:lang w:val="en-US" w:eastAsia="zh-CN" w:bidi="ar"/>
                    </w:rPr>
                    <w:t>63.04</w:t>
                  </w:r>
                </w:p>
              </w:tc>
              <w:tc>
                <w:tcPr>
                  <w:tcW w:w="553" w:type="pct"/>
                  <w:vMerge w:val="restart"/>
                  <w:vAlign w:val="center"/>
                </w:tcPr>
                <w:p w14:paraId="038960FD">
                  <w:pPr>
                    <w:widowControl/>
                    <w:jc w:val="center"/>
                    <w:rPr>
                      <w:rFonts w:hint="eastAsia" w:eastAsia="宋体"/>
                      <w:szCs w:val="21"/>
                      <w:lang w:val="en-US" w:eastAsia="zh-CN"/>
                    </w:rPr>
                  </w:pPr>
                  <w:r>
                    <w:rPr>
                      <w:rFonts w:hint="eastAsia"/>
                      <w:szCs w:val="21"/>
                      <w:lang w:val="en-US" w:eastAsia="zh-CN"/>
                    </w:rPr>
                    <w:t>70</w:t>
                  </w:r>
                </w:p>
              </w:tc>
              <w:tc>
                <w:tcPr>
                  <w:tcW w:w="551" w:type="pct"/>
                  <w:vMerge w:val="restart"/>
                  <w:vAlign w:val="center"/>
                </w:tcPr>
                <w:p w14:paraId="7F454125">
                  <w:pPr>
                    <w:widowControl/>
                    <w:jc w:val="center"/>
                    <w:rPr>
                      <w:rFonts w:hint="eastAsia" w:eastAsia="宋体"/>
                      <w:szCs w:val="21"/>
                      <w:lang w:val="en-US" w:eastAsia="zh-CN"/>
                    </w:rPr>
                  </w:pPr>
                  <w:r>
                    <w:rPr>
                      <w:rFonts w:hint="eastAsia"/>
                      <w:szCs w:val="21"/>
                      <w:lang w:val="en-US" w:eastAsia="zh-CN"/>
                    </w:rPr>
                    <w:t>5</w:t>
                  </w:r>
                  <w:r>
                    <w:rPr>
                      <w:rFonts w:hint="eastAsia" w:eastAsia="宋体"/>
                      <w:szCs w:val="21"/>
                      <w:lang w:val="en-US" w:eastAsia="zh-CN"/>
                    </w:rPr>
                    <w:t>5</w:t>
                  </w:r>
                </w:p>
              </w:tc>
              <w:tc>
                <w:tcPr>
                  <w:tcW w:w="689" w:type="pct"/>
                  <w:vAlign w:val="center"/>
                </w:tcPr>
                <w:p w14:paraId="4C6B151E">
                  <w:pPr>
                    <w:adjustRightInd w:val="0"/>
                    <w:snapToGrid w:val="0"/>
                    <w:jc w:val="center"/>
                    <w:rPr>
                      <w:rFonts w:eastAsia="宋体"/>
                      <w:szCs w:val="21"/>
                    </w:rPr>
                  </w:pPr>
                  <w:r>
                    <w:rPr>
                      <w:rFonts w:eastAsia="宋体"/>
                      <w:szCs w:val="21"/>
                    </w:rPr>
                    <w:t>达标</w:t>
                  </w:r>
                </w:p>
              </w:tc>
              <w:tc>
                <w:tcPr>
                  <w:tcW w:w="779" w:type="pct"/>
                  <w:vAlign w:val="center"/>
                </w:tcPr>
                <w:p w14:paraId="0AA9FDA5">
                  <w:pPr>
                    <w:adjustRightInd w:val="0"/>
                    <w:snapToGrid w:val="0"/>
                    <w:jc w:val="center"/>
                    <w:rPr>
                      <w:rFonts w:hint="eastAsia" w:eastAsia="宋体"/>
                      <w:szCs w:val="21"/>
                      <w:lang w:eastAsia="zh-CN"/>
                    </w:rPr>
                  </w:pPr>
                  <w:r>
                    <w:rPr>
                      <w:rFonts w:hint="eastAsia"/>
                      <w:szCs w:val="21"/>
                      <w:lang w:val="en-US" w:eastAsia="zh-CN"/>
                    </w:rPr>
                    <w:t>超标</w:t>
                  </w:r>
                </w:p>
              </w:tc>
            </w:tr>
            <w:tr w14:paraId="30265A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9" w:type="pct"/>
                  <w:vMerge w:val="continue"/>
                  <w:vAlign w:val="center"/>
                </w:tcPr>
                <w:p w14:paraId="1350C89A">
                  <w:pPr>
                    <w:adjustRightInd w:val="0"/>
                    <w:snapToGrid w:val="0"/>
                    <w:jc w:val="center"/>
                    <w:rPr>
                      <w:rFonts w:hint="eastAsia" w:eastAsia="宋体"/>
                      <w:szCs w:val="21"/>
                      <w:lang w:eastAsia="zh-CN"/>
                    </w:rPr>
                  </w:pPr>
                </w:p>
              </w:tc>
              <w:tc>
                <w:tcPr>
                  <w:tcW w:w="972" w:type="pct"/>
                  <w:vAlign w:val="center"/>
                </w:tcPr>
                <w:p w14:paraId="095FBF7D">
                  <w:pPr>
                    <w:adjustRightInd w:val="0"/>
                    <w:snapToGrid w:val="0"/>
                    <w:jc w:val="center"/>
                    <w:rPr>
                      <w:rFonts w:hint="eastAsia"/>
                      <w:szCs w:val="21"/>
                      <w:lang w:val="en-US" w:eastAsia="zh-CN"/>
                    </w:rPr>
                  </w:pPr>
                  <w:r>
                    <w:rPr>
                      <w:rFonts w:hint="eastAsia"/>
                      <w:szCs w:val="21"/>
                      <w:lang w:val="en-US" w:eastAsia="zh-CN"/>
                    </w:rPr>
                    <w:t>南场界</w:t>
                  </w:r>
                </w:p>
              </w:tc>
              <w:tc>
                <w:tcPr>
                  <w:tcW w:w="774" w:type="pct"/>
                  <w:vAlign w:val="center"/>
                </w:tcPr>
                <w:p w14:paraId="4F325FFE">
                  <w:pPr>
                    <w:adjustRightInd w:val="0"/>
                    <w:snapToGrid w:val="0"/>
                    <w:jc w:val="center"/>
                    <w:rPr>
                      <w:rFonts w:hint="default"/>
                      <w:kern w:val="0"/>
                      <w:szCs w:val="21"/>
                      <w:lang w:val="en-US" w:eastAsia="zh-CN" w:bidi="ar"/>
                    </w:rPr>
                  </w:pPr>
                  <w:r>
                    <w:rPr>
                      <w:rFonts w:hint="eastAsia"/>
                      <w:kern w:val="0"/>
                      <w:szCs w:val="21"/>
                      <w:lang w:val="en-US" w:eastAsia="zh-CN" w:bidi="ar"/>
                    </w:rPr>
                    <w:t>61.45</w:t>
                  </w:r>
                </w:p>
              </w:tc>
              <w:tc>
                <w:tcPr>
                  <w:tcW w:w="553" w:type="pct"/>
                  <w:vMerge w:val="continue"/>
                  <w:vAlign w:val="center"/>
                </w:tcPr>
                <w:p w14:paraId="1256240A">
                  <w:pPr>
                    <w:widowControl/>
                    <w:jc w:val="center"/>
                    <w:rPr>
                      <w:rFonts w:hint="eastAsia" w:eastAsia="宋体"/>
                      <w:szCs w:val="21"/>
                      <w:lang w:val="en-US" w:eastAsia="zh-CN"/>
                    </w:rPr>
                  </w:pPr>
                </w:p>
              </w:tc>
              <w:tc>
                <w:tcPr>
                  <w:tcW w:w="551" w:type="pct"/>
                  <w:vMerge w:val="continue"/>
                  <w:vAlign w:val="center"/>
                </w:tcPr>
                <w:p w14:paraId="3B101C31">
                  <w:pPr>
                    <w:widowControl/>
                    <w:jc w:val="center"/>
                    <w:rPr>
                      <w:rFonts w:hint="eastAsia" w:eastAsia="宋体"/>
                      <w:szCs w:val="21"/>
                      <w:lang w:val="en-US" w:eastAsia="zh-CN"/>
                    </w:rPr>
                  </w:pPr>
                </w:p>
              </w:tc>
              <w:tc>
                <w:tcPr>
                  <w:tcW w:w="689" w:type="pct"/>
                  <w:vAlign w:val="center"/>
                </w:tcPr>
                <w:p w14:paraId="23B8BAF0">
                  <w:pPr>
                    <w:adjustRightInd w:val="0"/>
                    <w:snapToGrid w:val="0"/>
                    <w:jc w:val="center"/>
                    <w:rPr>
                      <w:rFonts w:eastAsia="宋体"/>
                      <w:szCs w:val="21"/>
                    </w:rPr>
                  </w:pPr>
                  <w:r>
                    <w:rPr>
                      <w:rFonts w:eastAsia="宋体"/>
                      <w:szCs w:val="21"/>
                    </w:rPr>
                    <w:t>达标</w:t>
                  </w:r>
                </w:p>
              </w:tc>
              <w:tc>
                <w:tcPr>
                  <w:tcW w:w="779" w:type="pct"/>
                  <w:vAlign w:val="center"/>
                </w:tcPr>
                <w:p w14:paraId="2E7D30C6">
                  <w:pPr>
                    <w:adjustRightInd w:val="0"/>
                    <w:snapToGrid w:val="0"/>
                    <w:jc w:val="center"/>
                    <w:rPr>
                      <w:rFonts w:eastAsia="宋体"/>
                      <w:szCs w:val="21"/>
                    </w:rPr>
                  </w:pPr>
                  <w:r>
                    <w:rPr>
                      <w:rFonts w:hint="eastAsia"/>
                      <w:szCs w:val="21"/>
                      <w:lang w:val="en-US" w:eastAsia="zh-CN"/>
                    </w:rPr>
                    <w:t>超标</w:t>
                  </w:r>
                </w:p>
              </w:tc>
            </w:tr>
            <w:tr w14:paraId="5675D1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9" w:type="pct"/>
                  <w:vMerge w:val="continue"/>
                  <w:vAlign w:val="center"/>
                </w:tcPr>
                <w:p w14:paraId="74EAD686">
                  <w:pPr>
                    <w:adjustRightInd w:val="0"/>
                    <w:snapToGrid w:val="0"/>
                    <w:jc w:val="center"/>
                    <w:rPr>
                      <w:rFonts w:hint="eastAsia" w:eastAsia="宋体"/>
                      <w:szCs w:val="21"/>
                      <w:lang w:eastAsia="zh-CN"/>
                    </w:rPr>
                  </w:pPr>
                </w:p>
              </w:tc>
              <w:tc>
                <w:tcPr>
                  <w:tcW w:w="972" w:type="pct"/>
                  <w:vAlign w:val="center"/>
                </w:tcPr>
                <w:p w14:paraId="5106058F">
                  <w:pPr>
                    <w:adjustRightInd w:val="0"/>
                    <w:snapToGrid w:val="0"/>
                    <w:jc w:val="center"/>
                    <w:rPr>
                      <w:rFonts w:hint="eastAsia"/>
                      <w:szCs w:val="21"/>
                      <w:lang w:val="en-US" w:eastAsia="zh-CN"/>
                    </w:rPr>
                  </w:pPr>
                  <w:r>
                    <w:rPr>
                      <w:rFonts w:hint="eastAsia"/>
                      <w:szCs w:val="21"/>
                      <w:lang w:val="en-US" w:eastAsia="zh-CN"/>
                    </w:rPr>
                    <w:t>西场界</w:t>
                  </w:r>
                </w:p>
              </w:tc>
              <w:tc>
                <w:tcPr>
                  <w:tcW w:w="774" w:type="pct"/>
                  <w:vAlign w:val="center"/>
                </w:tcPr>
                <w:p w14:paraId="7B9F7C7B">
                  <w:pPr>
                    <w:adjustRightInd w:val="0"/>
                    <w:snapToGrid w:val="0"/>
                    <w:jc w:val="center"/>
                    <w:rPr>
                      <w:rFonts w:hint="default"/>
                      <w:kern w:val="0"/>
                      <w:szCs w:val="21"/>
                      <w:lang w:val="en-US" w:eastAsia="zh-CN" w:bidi="ar"/>
                    </w:rPr>
                  </w:pPr>
                  <w:r>
                    <w:rPr>
                      <w:rFonts w:hint="eastAsia"/>
                      <w:kern w:val="0"/>
                      <w:szCs w:val="21"/>
                      <w:lang w:val="en-US" w:eastAsia="zh-CN" w:bidi="ar"/>
                    </w:rPr>
                    <w:t>59.51</w:t>
                  </w:r>
                </w:p>
              </w:tc>
              <w:tc>
                <w:tcPr>
                  <w:tcW w:w="553" w:type="pct"/>
                  <w:vMerge w:val="continue"/>
                  <w:vAlign w:val="center"/>
                </w:tcPr>
                <w:p w14:paraId="55BA270B">
                  <w:pPr>
                    <w:widowControl/>
                    <w:jc w:val="center"/>
                    <w:rPr>
                      <w:rFonts w:hint="eastAsia" w:eastAsia="宋体"/>
                      <w:szCs w:val="21"/>
                      <w:lang w:val="en-US" w:eastAsia="zh-CN"/>
                    </w:rPr>
                  </w:pPr>
                </w:p>
              </w:tc>
              <w:tc>
                <w:tcPr>
                  <w:tcW w:w="551" w:type="pct"/>
                  <w:vMerge w:val="continue"/>
                  <w:vAlign w:val="center"/>
                </w:tcPr>
                <w:p w14:paraId="4B5EA646">
                  <w:pPr>
                    <w:widowControl/>
                    <w:jc w:val="center"/>
                    <w:rPr>
                      <w:rFonts w:hint="eastAsia" w:eastAsia="宋体"/>
                      <w:szCs w:val="21"/>
                      <w:lang w:val="en-US" w:eastAsia="zh-CN"/>
                    </w:rPr>
                  </w:pPr>
                </w:p>
              </w:tc>
              <w:tc>
                <w:tcPr>
                  <w:tcW w:w="689" w:type="pct"/>
                  <w:vAlign w:val="center"/>
                </w:tcPr>
                <w:p w14:paraId="7543F47F">
                  <w:pPr>
                    <w:adjustRightInd w:val="0"/>
                    <w:snapToGrid w:val="0"/>
                    <w:jc w:val="center"/>
                    <w:rPr>
                      <w:rFonts w:eastAsia="宋体"/>
                      <w:szCs w:val="21"/>
                    </w:rPr>
                  </w:pPr>
                  <w:r>
                    <w:rPr>
                      <w:rFonts w:eastAsia="宋体"/>
                      <w:szCs w:val="21"/>
                    </w:rPr>
                    <w:t>达标</w:t>
                  </w:r>
                </w:p>
              </w:tc>
              <w:tc>
                <w:tcPr>
                  <w:tcW w:w="779" w:type="pct"/>
                  <w:vAlign w:val="center"/>
                </w:tcPr>
                <w:p w14:paraId="55A75946">
                  <w:pPr>
                    <w:adjustRightInd w:val="0"/>
                    <w:snapToGrid w:val="0"/>
                    <w:jc w:val="center"/>
                    <w:rPr>
                      <w:rFonts w:eastAsia="宋体"/>
                      <w:szCs w:val="21"/>
                    </w:rPr>
                  </w:pPr>
                  <w:r>
                    <w:rPr>
                      <w:rFonts w:hint="eastAsia"/>
                      <w:szCs w:val="21"/>
                      <w:lang w:val="en-US" w:eastAsia="zh-CN"/>
                    </w:rPr>
                    <w:t>超标</w:t>
                  </w:r>
                </w:p>
              </w:tc>
            </w:tr>
            <w:tr w14:paraId="7C4E91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9" w:type="pct"/>
                  <w:vMerge w:val="continue"/>
                  <w:vAlign w:val="center"/>
                </w:tcPr>
                <w:p w14:paraId="3AE8C931">
                  <w:pPr>
                    <w:adjustRightInd w:val="0"/>
                    <w:snapToGrid w:val="0"/>
                    <w:jc w:val="center"/>
                    <w:rPr>
                      <w:rFonts w:hint="eastAsia" w:eastAsia="宋体"/>
                      <w:szCs w:val="21"/>
                      <w:lang w:eastAsia="zh-CN"/>
                    </w:rPr>
                  </w:pPr>
                </w:p>
              </w:tc>
              <w:tc>
                <w:tcPr>
                  <w:tcW w:w="972" w:type="pct"/>
                  <w:vAlign w:val="center"/>
                </w:tcPr>
                <w:p w14:paraId="74E76781">
                  <w:pPr>
                    <w:adjustRightInd w:val="0"/>
                    <w:snapToGrid w:val="0"/>
                    <w:jc w:val="center"/>
                    <w:rPr>
                      <w:rFonts w:hint="eastAsia"/>
                      <w:szCs w:val="21"/>
                      <w:lang w:val="en-US" w:eastAsia="zh-CN"/>
                    </w:rPr>
                  </w:pPr>
                  <w:r>
                    <w:rPr>
                      <w:rFonts w:hint="eastAsia"/>
                      <w:szCs w:val="21"/>
                      <w:lang w:val="en-US" w:eastAsia="zh-CN"/>
                    </w:rPr>
                    <w:t>北场界</w:t>
                  </w:r>
                </w:p>
              </w:tc>
              <w:tc>
                <w:tcPr>
                  <w:tcW w:w="774" w:type="pct"/>
                  <w:vAlign w:val="center"/>
                </w:tcPr>
                <w:p w14:paraId="6CF87B7D">
                  <w:pPr>
                    <w:adjustRightInd w:val="0"/>
                    <w:snapToGrid w:val="0"/>
                    <w:jc w:val="center"/>
                    <w:rPr>
                      <w:rFonts w:hint="default"/>
                      <w:kern w:val="0"/>
                      <w:szCs w:val="21"/>
                      <w:lang w:val="en-US" w:eastAsia="zh-CN" w:bidi="ar"/>
                    </w:rPr>
                  </w:pPr>
                  <w:r>
                    <w:rPr>
                      <w:rFonts w:hint="eastAsia"/>
                      <w:kern w:val="0"/>
                      <w:szCs w:val="21"/>
                      <w:lang w:val="en-US" w:eastAsia="zh-CN" w:bidi="ar"/>
                    </w:rPr>
                    <w:t>57.02</w:t>
                  </w:r>
                </w:p>
              </w:tc>
              <w:tc>
                <w:tcPr>
                  <w:tcW w:w="553" w:type="pct"/>
                  <w:vMerge w:val="continue"/>
                  <w:vAlign w:val="center"/>
                </w:tcPr>
                <w:p w14:paraId="3EE5EB5A">
                  <w:pPr>
                    <w:widowControl/>
                    <w:jc w:val="center"/>
                    <w:rPr>
                      <w:rFonts w:hint="eastAsia" w:eastAsia="宋体"/>
                      <w:szCs w:val="21"/>
                      <w:lang w:val="en-US" w:eastAsia="zh-CN"/>
                    </w:rPr>
                  </w:pPr>
                </w:p>
              </w:tc>
              <w:tc>
                <w:tcPr>
                  <w:tcW w:w="551" w:type="pct"/>
                  <w:vMerge w:val="continue"/>
                  <w:vAlign w:val="center"/>
                </w:tcPr>
                <w:p w14:paraId="6755E539">
                  <w:pPr>
                    <w:widowControl/>
                    <w:jc w:val="center"/>
                    <w:rPr>
                      <w:rFonts w:hint="eastAsia" w:eastAsia="宋体"/>
                      <w:szCs w:val="21"/>
                      <w:lang w:val="en-US" w:eastAsia="zh-CN"/>
                    </w:rPr>
                  </w:pPr>
                </w:p>
              </w:tc>
              <w:tc>
                <w:tcPr>
                  <w:tcW w:w="689" w:type="pct"/>
                  <w:vAlign w:val="center"/>
                </w:tcPr>
                <w:p w14:paraId="4EAA6481">
                  <w:pPr>
                    <w:adjustRightInd w:val="0"/>
                    <w:snapToGrid w:val="0"/>
                    <w:jc w:val="center"/>
                    <w:rPr>
                      <w:rFonts w:eastAsia="宋体"/>
                      <w:szCs w:val="21"/>
                    </w:rPr>
                  </w:pPr>
                  <w:r>
                    <w:rPr>
                      <w:rFonts w:eastAsia="宋体"/>
                      <w:szCs w:val="21"/>
                    </w:rPr>
                    <w:t>达标</w:t>
                  </w:r>
                </w:p>
              </w:tc>
              <w:tc>
                <w:tcPr>
                  <w:tcW w:w="779" w:type="pct"/>
                  <w:vAlign w:val="center"/>
                </w:tcPr>
                <w:p w14:paraId="6D12FFFD">
                  <w:pPr>
                    <w:adjustRightInd w:val="0"/>
                    <w:snapToGrid w:val="0"/>
                    <w:jc w:val="center"/>
                    <w:rPr>
                      <w:rFonts w:eastAsia="宋体"/>
                      <w:szCs w:val="21"/>
                    </w:rPr>
                  </w:pPr>
                  <w:r>
                    <w:rPr>
                      <w:rFonts w:hint="eastAsia"/>
                      <w:szCs w:val="21"/>
                      <w:lang w:val="en-US" w:eastAsia="zh-CN"/>
                    </w:rPr>
                    <w:t>超标</w:t>
                  </w:r>
                </w:p>
              </w:tc>
            </w:tr>
          </w:tbl>
          <w:p w14:paraId="2F54F308">
            <w:pPr>
              <w:pStyle w:val="3"/>
              <w:ind w:firstLine="480"/>
              <w:rPr>
                <w:rFonts w:eastAsia="宋体"/>
                <w:color w:val="auto"/>
              </w:rPr>
            </w:pPr>
            <w:r>
              <w:rPr>
                <w:rFonts w:hint="eastAsia" w:eastAsia="宋体"/>
              </w:rPr>
              <w:t>根据噪声预测结果，本项目</w:t>
            </w:r>
            <w:r>
              <w:rPr>
                <w:rFonts w:hint="eastAsia" w:ascii="宋体" w:hAnsi="宋体" w:eastAsia="宋体" w:cs="宋体"/>
                <w:lang w:val="en-US" w:eastAsia="zh-CN"/>
              </w:rPr>
              <w:t>场界噪声贡献值</w:t>
            </w:r>
            <w:r>
              <w:rPr>
                <w:rFonts w:hint="eastAsia" w:eastAsia="宋体"/>
              </w:rPr>
              <w:t>满足</w:t>
            </w:r>
            <w:r>
              <w:rPr>
                <w:rFonts w:hint="eastAsia" w:asciiTheme="minorEastAsia" w:hAnsiTheme="minorEastAsia" w:eastAsiaTheme="minorEastAsia" w:cstheme="minorEastAsia"/>
              </w:rPr>
              <w:t>《建筑施工场界环境噪声排放标准》（</w:t>
            </w:r>
            <w:r>
              <w:rPr>
                <w:rFonts w:hint="default" w:ascii="Times New Roman" w:hAnsi="Times New Roman" w:cs="Times New Roman" w:eastAsiaTheme="minorEastAsia"/>
              </w:rPr>
              <w:t>GB 112523-2011</w:t>
            </w:r>
            <w:r>
              <w:rPr>
                <w:rFonts w:hint="eastAsia" w:asciiTheme="minorEastAsia" w:hAnsiTheme="minorEastAsia" w:eastAsiaTheme="minorEastAsia" w:cstheme="minorEastAsia"/>
              </w:rPr>
              <w:t>）中</w:t>
            </w:r>
            <w:r>
              <w:rPr>
                <w:rFonts w:hint="eastAsia" w:asciiTheme="minorEastAsia" w:hAnsiTheme="minorEastAsia" w:eastAsiaTheme="minorEastAsia" w:cstheme="minorEastAsia"/>
                <w:lang w:val="en-US" w:eastAsia="zh-CN"/>
              </w:rPr>
              <w:t>昼间</w:t>
            </w:r>
            <w:r>
              <w:rPr>
                <w:rFonts w:hint="eastAsia" w:asciiTheme="minorEastAsia" w:hAnsiTheme="minorEastAsia" w:eastAsiaTheme="minorEastAsia" w:cstheme="minorEastAsia"/>
              </w:rPr>
              <w:t>标准限值</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但超过夜间</w:t>
            </w:r>
            <w:r>
              <w:rPr>
                <w:rFonts w:hint="eastAsia" w:asciiTheme="minorEastAsia" w:hAnsiTheme="minorEastAsia" w:eastAsiaTheme="minorEastAsia" w:cstheme="minorEastAsia"/>
              </w:rPr>
              <w:t>标准限值</w:t>
            </w:r>
            <w:r>
              <w:rPr>
                <w:rFonts w:hint="eastAsia" w:eastAsia="宋体"/>
                <w:lang w:val="en-US" w:eastAsia="zh-CN"/>
              </w:rPr>
              <w:t>。采取合理安排强噪声施工机械的频次，避免高噪声设备同时作业，避免夜间使用挖掘机等高噪声设备作业。压裂、通井等高噪声作业安排在昼间进行等措施（降噪水平8~10dB），夜间场界</w:t>
            </w:r>
            <w:r>
              <w:rPr>
                <w:rFonts w:hint="eastAsia" w:ascii="宋体" w:hAnsi="宋体" w:eastAsia="宋体" w:cs="宋体"/>
                <w:lang w:val="en-US" w:eastAsia="zh-CN"/>
              </w:rPr>
              <w:t>噪声贡献值能够达到</w:t>
            </w:r>
            <w:r>
              <w:rPr>
                <w:rFonts w:hint="eastAsia" w:asciiTheme="minorEastAsia" w:hAnsiTheme="minorEastAsia" w:eastAsiaTheme="minorEastAsia" w:cstheme="minorEastAsia"/>
              </w:rPr>
              <w:t>建筑施工场界环境噪声排放标准》（</w:t>
            </w:r>
            <w:r>
              <w:rPr>
                <w:rFonts w:hint="default" w:ascii="Times New Roman" w:hAnsi="Times New Roman" w:cs="Times New Roman" w:eastAsiaTheme="minorEastAsia"/>
              </w:rPr>
              <w:t>GB 112523-2011</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中</w:t>
            </w:r>
            <w:r>
              <w:rPr>
                <w:rFonts w:hint="eastAsia" w:asciiTheme="minorEastAsia" w:hAnsiTheme="minorEastAsia" w:eastAsiaTheme="minorEastAsia" w:cstheme="minorEastAsia"/>
              </w:rPr>
              <w:t>标准限值</w:t>
            </w:r>
            <w:r>
              <w:rPr>
                <w:rFonts w:hint="eastAsia" w:asciiTheme="minorEastAsia" w:hAnsiTheme="minorEastAsia" w:eastAsiaTheme="minorEastAsia" w:cstheme="minorEastAsia"/>
                <w:lang w:eastAsia="zh-CN"/>
              </w:rPr>
              <w:t>。</w:t>
            </w:r>
          </w:p>
          <w:p w14:paraId="53EF153A">
            <w:pPr>
              <w:pStyle w:val="16"/>
              <w:bidi w:val="0"/>
              <w:jc w:val="center"/>
              <w:rPr>
                <w:rFonts w:hint="eastAsia" w:eastAsia="宋体"/>
                <w:color w:val="auto"/>
                <w:lang w:eastAsia="zh-CN"/>
              </w:rPr>
            </w:pPr>
            <w:r>
              <w:rPr>
                <w:rFonts w:eastAsia="宋体"/>
                <w:color w:val="auto"/>
              </w:rPr>
              <w:t>表</w:t>
            </w:r>
            <w:r>
              <w:rPr>
                <w:rFonts w:hint="eastAsia" w:eastAsia="宋体"/>
                <w:color w:val="auto"/>
              </w:rPr>
              <w:t>4-</w:t>
            </w:r>
            <w:r>
              <w:rPr>
                <w:rFonts w:hint="eastAsia" w:eastAsia="宋体"/>
                <w:color w:val="auto"/>
                <w:lang w:val="en-US" w:eastAsia="zh-CN"/>
              </w:rPr>
              <w:t>6</w:t>
            </w:r>
            <w:r>
              <w:rPr>
                <w:rFonts w:eastAsia="宋体"/>
                <w:color w:val="auto"/>
              </w:rPr>
              <w:t xml:space="preserve">  </w:t>
            </w:r>
            <w:r>
              <w:rPr>
                <w:rFonts w:hint="eastAsia" w:eastAsia="宋体"/>
                <w:color w:val="auto"/>
                <w:lang w:val="en-US" w:eastAsia="zh-CN"/>
              </w:rPr>
              <w:t>环境保护目标处</w:t>
            </w:r>
            <w:r>
              <w:rPr>
                <w:rFonts w:eastAsia="宋体"/>
                <w:color w:val="auto"/>
              </w:rPr>
              <w:t>预测</w:t>
            </w:r>
            <w:r>
              <w:rPr>
                <w:rFonts w:hint="eastAsia" w:eastAsia="宋体"/>
                <w:color w:val="auto"/>
                <w:lang w:val="en-US" w:eastAsia="zh-CN"/>
              </w:rPr>
              <w:t>过程</w:t>
            </w:r>
            <w:r>
              <w:rPr>
                <w:rFonts w:eastAsia="宋体"/>
                <w:color w:val="auto"/>
              </w:rPr>
              <w:t>表（单位：dB(A)）</w:t>
            </w:r>
          </w:p>
          <w:tbl>
            <w:tblPr>
              <w:tblStyle w:val="11"/>
              <w:tblW w:w="765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36"/>
              <w:gridCol w:w="876"/>
              <w:gridCol w:w="755"/>
              <w:gridCol w:w="627"/>
              <w:gridCol w:w="853"/>
              <w:gridCol w:w="760"/>
              <w:gridCol w:w="840"/>
              <w:gridCol w:w="720"/>
              <w:gridCol w:w="773"/>
              <w:gridCol w:w="817"/>
            </w:tblGrid>
            <w:tr w14:paraId="29D309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36" w:type="dxa"/>
                  <w:tcBorders>
                    <w:tl2br w:val="nil"/>
                    <w:tr2bl w:val="nil"/>
                  </w:tcBorders>
                  <w:shd w:val="clear" w:color="auto" w:fill="auto"/>
                  <w:vAlign w:val="center"/>
                </w:tcPr>
                <w:p w14:paraId="47F5C06E">
                  <w:pPr>
                    <w:jc w:val="center"/>
                    <w:rPr>
                      <w:rFonts w:hint="default"/>
                      <w:color w:val="auto"/>
                    </w:rPr>
                  </w:pPr>
                  <w:r>
                    <w:rPr>
                      <w:color w:val="auto"/>
                      <w:lang w:val="en-US" w:eastAsia="zh-CN"/>
                    </w:rPr>
                    <w:t>关心点</w:t>
                  </w:r>
                </w:p>
              </w:tc>
              <w:tc>
                <w:tcPr>
                  <w:tcW w:w="876" w:type="dxa"/>
                  <w:tcBorders>
                    <w:tl2br w:val="nil"/>
                    <w:tr2bl w:val="nil"/>
                  </w:tcBorders>
                  <w:shd w:val="clear" w:color="auto" w:fill="auto"/>
                  <w:vAlign w:val="center"/>
                </w:tcPr>
                <w:p w14:paraId="0CB0C772">
                  <w:pPr>
                    <w:jc w:val="center"/>
                    <w:rPr>
                      <w:rFonts w:hint="default"/>
                      <w:color w:val="auto"/>
                    </w:rPr>
                  </w:pPr>
                  <w:r>
                    <w:rPr>
                      <w:color w:val="auto"/>
                      <w:lang w:val="en-US" w:eastAsia="zh-CN"/>
                    </w:rPr>
                    <w:t>噪声源</w:t>
                  </w:r>
                </w:p>
              </w:tc>
              <w:tc>
                <w:tcPr>
                  <w:tcW w:w="755" w:type="dxa"/>
                  <w:tcBorders>
                    <w:tl2br w:val="nil"/>
                    <w:tr2bl w:val="nil"/>
                  </w:tcBorders>
                  <w:shd w:val="clear" w:color="auto" w:fill="auto"/>
                  <w:vAlign w:val="center"/>
                </w:tcPr>
                <w:p w14:paraId="2FCF4137">
                  <w:pPr>
                    <w:jc w:val="center"/>
                    <w:rPr>
                      <w:rFonts w:hint="default"/>
                      <w:color w:val="auto"/>
                    </w:rPr>
                  </w:pPr>
                  <w:r>
                    <w:rPr>
                      <w:color w:val="auto"/>
                      <w:lang w:val="en-US" w:eastAsia="zh-CN"/>
                    </w:rPr>
                    <w:t>单台设备噪声值</w:t>
                  </w:r>
                  <w:r>
                    <w:rPr>
                      <w:rFonts w:hint="default"/>
                      <w:color w:val="auto"/>
                      <w:lang w:val="en-US" w:eastAsia="zh-CN"/>
                    </w:rPr>
                    <w:t>dB(A)</w:t>
                  </w:r>
                </w:p>
              </w:tc>
              <w:tc>
                <w:tcPr>
                  <w:tcW w:w="627" w:type="dxa"/>
                  <w:tcBorders>
                    <w:tl2br w:val="nil"/>
                    <w:tr2bl w:val="nil"/>
                  </w:tcBorders>
                  <w:shd w:val="clear" w:color="auto" w:fill="auto"/>
                  <w:vAlign w:val="center"/>
                </w:tcPr>
                <w:p w14:paraId="498D62AB">
                  <w:pPr>
                    <w:jc w:val="center"/>
                    <w:rPr>
                      <w:rFonts w:hint="default"/>
                      <w:color w:val="auto"/>
                    </w:rPr>
                  </w:pPr>
                  <w:r>
                    <w:rPr>
                      <w:color w:val="auto"/>
                      <w:lang w:val="en-US" w:eastAsia="zh-CN"/>
                    </w:rPr>
                    <w:t>设备台数</w:t>
                  </w:r>
                </w:p>
              </w:tc>
              <w:tc>
                <w:tcPr>
                  <w:tcW w:w="853" w:type="dxa"/>
                  <w:tcBorders>
                    <w:tl2br w:val="nil"/>
                    <w:tr2bl w:val="nil"/>
                  </w:tcBorders>
                  <w:shd w:val="clear" w:color="auto" w:fill="auto"/>
                  <w:vAlign w:val="center"/>
                </w:tcPr>
                <w:p w14:paraId="7A4E6FB4">
                  <w:pPr>
                    <w:jc w:val="center"/>
                    <w:rPr>
                      <w:rFonts w:hint="default"/>
                      <w:color w:val="auto"/>
                    </w:rPr>
                  </w:pPr>
                  <w:r>
                    <w:rPr>
                      <w:color w:val="auto"/>
                      <w:lang w:val="en-US" w:eastAsia="zh-CN"/>
                    </w:rPr>
                    <w:t>等效后设备噪声值</w:t>
                  </w:r>
                  <w:r>
                    <w:rPr>
                      <w:rFonts w:hint="default"/>
                      <w:color w:val="auto"/>
                      <w:lang w:val="en-US" w:eastAsia="zh-CN"/>
                    </w:rPr>
                    <w:t>dB(A)</w:t>
                  </w:r>
                </w:p>
              </w:tc>
              <w:tc>
                <w:tcPr>
                  <w:tcW w:w="760" w:type="dxa"/>
                  <w:tcBorders>
                    <w:tl2br w:val="nil"/>
                    <w:tr2bl w:val="nil"/>
                  </w:tcBorders>
                  <w:shd w:val="clear" w:color="auto" w:fill="auto"/>
                  <w:vAlign w:val="center"/>
                </w:tcPr>
                <w:p w14:paraId="1A9E26A0">
                  <w:pPr>
                    <w:jc w:val="center"/>
                    <w:rPr>
                      <w:rFonts w:hint="default"/>
                      <w:color w:val="auto"/>
                    </w:rPr>
                  </w:pPr>
                  <w:r>
                    <w:rPr>
                      <w:color w:val="auto"/>
                      <w:lang w:val="en-US" w:eastAsia="zh-CN"/>
                    </w:rPr>
                    <w:t>隔声</w:t>
                  </w:r>
                </w:p>
              </w:tc>
              <w:tc>
                <w:tcPr>
                  <w:tcW w:w="840" w:type="dxa"/>
                  <w:tcBorders>
                    <w:tl2br w:val="nil"/>
                    <w:tr2bl w:val="nil"/>
                  </w:tcBorders>
                  <w:shd w:val="clear" w:color="auto" w:fill="auto"/>
                  <w:vAlign w:val="center"/>
                </w:tcPr>
                <w:p w14:paraId="4E24DDC9">
                  <w:pPr>
                    <w:jc w:val="center"/>
                    <w:rPr>
                      <w:rFonts w:hint="default"/>
                      <w:color w:val="auto"/>
                    </w:rPr>
                  </w:pPr>
                  <w:r>
                    <w:rPr>
                      <w:color w:val="auto"/>
                      <w:lang w:val="en-US" w:eastAsia="zh-CN"/>
                    </w:rPr>
                    <w:t>离</w:t>
                  </w:r>
                  <w:r>
                    <w:rPr>
                      <w:rFonts w:hint="eastAsia"/>
                      <w:color w:val="auto"/>
                      <w:lang w:val="en-US" w:eastAsia="zh-CN"/>
                    </w:rPr>
                    <w:t>居民点</w:t>
                  </w:r>
                  <w:r>
                    <w:rPr>
                      <w:color w:val="auto"/>
                      <w:lang w:val="en-US" w:eastAsia="zh-CN"/>
                    </w:rPr>
                    <w:t>距离</w:t>
                  </w:r>
                  <w:r>
                    <w:rPr>
                      <w:rFonts w:hint="default"/>
                      <w:color w:val="auto"/>
                      <w:lang w:val="en-US" w:eastAsia="zh-CN"/>
                    </w:rPr>
                    <w:t>m</w:t>
                  </w:r>
                </w:p>
              </w:tc>
              <w:tc>
                <w:tcPr>
                  <w:tcW w:w="720" w:type="dxa"/>
                  <w:tcBorders>
                    <w:tl2br w:val="nil"/>
                    <w:tr2bl w:val="nil"/>
                  </w:tcBorders>
                  <w:shd w:val="clear" w:color="auto" w:fill="auto"/>
                  <w:vAlign w:val="center"/>
                </w:tcPr>
                <w:p w14:paraId="0CD0DF36">
                  <w:pPr>
                    <w:jc w:val="center"/>
                    <w:rPr>
                      <w:rFonts w:hint="default"/>
                      <w:color w:val="auto"/>
                    </w:rPr>
                  </w:pPr>
                  <w:r>
                    <w:rPr>
                      <w:color w:val="auto"/>
                      <w:lang w:val="en-US" w:eastAsia="zh-CN"/>
                    </w:rPr>
                    <w:t>距离衰减</w:t>
                  </w:r>
                  <w:r>
                    <w:rPr>
                      <w:rFonts w:hint="default"/>
                      <w:color w:val="auto"/>
                      <w:lang w:val="en-US" w:eastAsia="zh-CN"/>
                    </w:rPr>
                    <w:t>dB(A</w:t>
                  </w:r>
                </w:p>
              </w:tc>
              <w:tc>
                <w:tcPr>
                  <w:tcW w:w="773" w:type="dxa"/>
                  <w:tcBorders>
                    <w:tl2br w:val="nil"/>
                    <w:tr2bl w:val="nil"/>
                  </w:tcBorders>
                  <w:shd w:val="clear" w:color="auto" w:fill="auto"/>
                  <w:vAlign w:val="center"/>
                </w:tcPr>
                <w:p w14:paraId="5AF6D24B">
                  <w:pPr>
                    <w:jc w:val="center"/>
                    <w:rPr>
                      <w:rFonts w:hint="default"/>
                      <w:color w:val="auto"/>
                    </w:rPr>
                  </w:pPr>
                  <w:r>
                    <w:rPr>
                      <w:color w:val="auto"/>
                      <w:lang w:val="en-US" w:eastAsia="zh-CN"/>
                    </w:rPr>
                    <w:t>影响值</w:t>
                  </w:r>
                  <w:r>
                    <w:rPr>
                      <w:rFonts w:hint="default"/>
                      <w:color w:val="auto"/>
                      <w:lang w:val="en-US" w:eastAsia="zh-CN"/>
                    </w:rPr>
                    <w:t>dB(A)</w:t>
                  </w:r>
                </w:p>
              </w:tc>
              <w:tc>
                <w:tcPr>
                  <w:tcW w:w="817" w:type="dxa"/>
                  <w:tcBorders>
                    <w:tl2br w:val="nil"/>
                    <w:tr2bl w:val="nil"/>
                  </w:tcBorders>
                  <w:shd w:val="clear" w:color="auto" w:fill="auto"/>
                  <w:vAlign w:val="center"/>
                </w:tcPr>
                <w:p w14:paraId="6433B048">
                  <w:pPr>
                    <w:jc w:val="center"/>
                    <w:rPr>
                      <w:rFonts w:hint="default"/>
                      <w:color w:val="auto"/>
                    </w:rPr>
                  </w:pPr>
                  <w:r>
                    <w:rPr>
                      <w:color w:val="auto"/>
                      <w:lang w:val="en-US" w:eastAsia="zh-CN"/>
                    </w:rPr>
                    <w:t>叠加影响值</w:t>
                  </w:r>
                  <w:r>
                    <w:rPr>
                      <w:rFonts w:hint="default"/>
                      <w:color w:val="auto"/>
                      <w:lang w:val="en-US" w:eastAsia="zh-CN"/>
                    </w:rPr>
                    <w:t>dB(A)</w:t>
                  </w:r>
                </w:p>
              </w:tc>
            </w:tr>
            <w:tr w14:paraId="5B5BDE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6" w:type="dxa"/>
                  <w:vMerge w:val="restart"/>
                  <w:tcBorders>
                    <w:tl2br w:val="nil"/>
                    <w:tr2bl w:val="nil"/>
                  </w:tcBorders>
                  <w:shd w:val="clear" w:color="auto" w:fill="auto"/>
                  <w:noWrap/>
                  <w:vAlign w:val="center"/>
                </w:tcPr>
                <w:p w14:paraId="32C9F077">
                  <w:pPr>
                    <w:jc w:val="center"/>
                    <w:rPr>
                      <w:rFonts w:hint="eastAsia" w:eastAsia="宋体"/>
                      <w:color w:val="auto"/>
                      <w:szCs w:val="21"/>
                      <w:lang w:val="en-US" w:eastAsia="zh-CN"/>
                    </w:rPr>
                  </w:pPr>
                  <w:r>
                    <w:rPr>
                      <w:rFonts w:hint="eastAsia" w:eastAsia="宋体"/>
                      <w:color w:val="auto"/>
                      <w:szCs w:val="21"/>
                      <w:lang w:val="en-US" w:eastAsia="zh-CN"/>
                    </w:rPr>
                    <w:t>双</w:t>
                  </w:r>
                </w:p>
                <w:p w14:paraId="6D9FE98F">
                  <w:pPr>
                    <w:jc w:val="center"/>
                    <w:rPr>
                      <w:rFonts w:hint="eastAsia" w:eastAsia="宋体"/>
                      <w:color w:val="auto"/>
                      <w:szCs w:val="21"/>
                      <w:lang w:val="en-US" w:eastAsia="zh-CN"/>
                    </w:rPr>
                  </w:pPr>
                  <w:r>
                    <w:rPr>
                      <w:rFonts w:hint="eastAsia" w:eastAsia="宋体"/>
                      <w:color w:val="auto"/>
                      <w:szCs w:val="21"/>
                      <w:lang w:val="en-US" w:eastAsia="zh-CN"/>
                    </w:rPr>
                    <w:t>屏</w:t>
                  </w:r>
                </w:p>
                <w:p w14:paraId="2BE20AE2">
                  <w:pPr>
                    <w:jc w:val="center"/>
                    <w:rPr>
                      <w:rFonts w:hint="eastAsia" w:eastAsia="宋体"/>
                      <w:color w:val="auto"/>
                      <w:szCs w:val="21"/>
                      <w:lang w:val="en-US" w:eastAsia="zh-CN"/>
                    </w:rPr>
                  </w:pPr>
                  <w:r>
                    <w:rPr>
                      <w:rFonts w:hint="eastAsia" w:eastAsia="宋体"/>
                      <w:color w:val="auto"/>
                      <w:szCs w:val="21"/>
                      <w:lang w:val="en-US" w:eastAsia="zh-CN"/>
                    </w:rPr>
                    <w:t>村</w:t>
                  </w:r>
                </w:p>
                <w:p w14:paraId="027FAB9B">
                  <w:pPr>
                    <w:jc w:val="center"/>
                    <w:rPr>
                      <w:rFonts w:hint="eastAsia" w:eastAsia="宋体"/>
                      <w:color w:val="auto"/>
                      <w:szCs w:val="21"/>
                      <w:lang w:val="en-US" w:eastAsia="zh-CN"/>
                    </w:rPr>
                  </w:pPr>
                  <w:r>
                    <w:rPr>
                      <w:rFonts w:hint="eastAsia" w:eastAsia="宋体"/>
                      <w:color w:val="auto"/>
                      <w:szCs w:val="21"/>
                      <w:lang w:val="en-US" w:eastAsia="zh-CN"/>
                    </w:rPr>
                    <w:t>四</w:t>
                  </w:r>
                </w:p>
                <w:p w14:paraId="2995A22D">
                  <w:pPr>
                    <w:jc w:val="center"/>
                    <w:rPr>
                      <w:rFonts w:hint="default"/>
                      <w:color w:val="auto"/>
                    </w:rPr>
                  </w:pPr>
                  <w:r>
                    <w:rPr>
                      <w:rFonts w:hint="eastAsia" w:eastAsia="宋体"/>
                      <w:color w:val="auto"/>
                      <w:szCs w:val="21"/>
                      <w:lang w:val="en-US" w:eastAsia="zh-CN"/>
                    </w:rPr>
                    <w:t>组</w:t>
                  </w:r>
                  <w:r>
                    <w:rPr>
                      <w:rFonts w:hint="eastAsia"/>
                      <w:color w:val="auto"/>
                      <w:szCs w:val="21"/>
                      <w:lang w:val="en-US" w:eastAsia="zh-CN"/>
                    </w:rPr>
                    <w:t>（沙105斜）</w:t>
                  </w:r>
                </w:p>
              </w:tc>
              <w:tc>
                <w:tcPr>
                  <w:tcW w:w="876" w:type="dxa"/>
                  <w:tcBorders>
                    <w:tl2br w:val="nil"/>
                    <w:tr2bl w:val="nil"/>
                  </w:tcBorders>
                  <w:shd w:val="clear" w:color="auto" w:fill="auto"/>
                  <w:vAlign w:val="center"/>
                </w:tcPr>
                <w:p w14:paraId="1B14314C">
                  <w:pPr>
                    <w:jc w:val="center"/>
                    <w:rPr>
                      <w:rFonts w:hint="default"/>
                      <w:color w:val="auto"/>
                    </w:rPr>
                  </w:pPr>
                  <w:r>
                    <w:rPr>
                      <w:color w:val="auto"/>
                      <w:lang w:val="en-US" w:eastAsia="zh-CN"/>
                    </w:rPr>
                    <w:t>钻机</w:t>
                  </w:r>
                </w:p>
              </w:tc>
              <w:tc>
                <w:tcPr>
                  <w:tcW w:w="755" w:type="dxa"/>
                  <w:tcBorders>
                    <w:tl2br w:val="nil"/>
                    <w:tr2bl w:val="nil"/>
                  </w:tcBorders>
                  <w:shd w:val="clear" w:color="auto" w:fill="auto"/>
                  <w:vAlign w:val="center"/>
                </w:tcPr>
                <w:p w14:paraId="55CE0844">
                  <w:pPr>
                    <w:jc w:val="center"/>
                    <w:rPr>
                      <w:rFonts w:hint="default"/>
                      <w:color w:val="auto"/>
                    </w:rPr>
                  </w:pPr>
                  <w:r>
                    <w:rPr>
                      <w:rFonts w:hint="default"/>
                      <w:color w:val="auto"/>
                      <w:lang w:val="en-US" w:eastAsia="zh-CN"/>
                    </w:rPr>
                    <w:t>85</w:t>
                  </w:r>
                </w:p>
              </w:tc>
              <w:tc>
                <w:tcPr>
                  <w:tcW w:w="627" w:type="dxa"/>
                  <w:tcBorders>
                    <w:tl2br w:val="nil"/>
                    <w:tr2bl w:val="nil"/>
                  </w:tcBorders>
                  <w:shd w:val="clear" w:color="auto" w:fill="auto"/>
                  <w:vAlign w:val="center"/>
                </w:tcPr>
                <w:p w14:paraId="70F37116">
                  <w:pPr>
                    <w:jc w:val="center"/>
                    <w:rPr>
                      <w:rFonts w:hint="default"/>
                      <w:color w:val="auto"/>
                    </w:rPr>
                  </w:pPr>
                  <w:r>
                    <w:rPr>
                      <w:rFonts w:hint="default"/>
                      <w:color w:val="auto"/>
                      <w:lang w:val="en-US" w:eastAsia="zh-CN"/>
                    </w:rPr>
                    <w:t>1</w:t>
                  </w:r>
                </w:p>
              </w:tc>
              <w:tc>
                <w:tcPr>
                  <w:tcW w:w="853" w:type="dxa"/>
                  <w:tcBorders>
                    <w:tl2br w:val="nil"/>
                    <w:tr2bl w:val="nil"/>
                  </w:tcBorders>
                  <w:shd w:val="clear" w:color="auto" w:fill="auto"/>
                  <w:noWrap/>
                  <w:vAlign w:val="center"/>
                </w:tcPr>
                <w:p w14:paraId="55EB08FE">
                  <w:pPr>
                    <w:jc w:val="center"/>
                    <w:rPr>
                      <w:rFonts w:hint="default"/>
                      <w:color w:val="auto"/>
                    </w:rPr>
                  </w:pPr>
                  <w:r>
                    <w:rPr>
                      <w:rFonts w:hint="default"/>
                      <w:color w:val="auto"/>
                      <w:lang w:val="en-US" w:eastAsia="zh-CN"/>
                    </w:rPr>
                    <w:t>85.00</w:t>
                  </w:r>
                </w:p>
              </w:tc>
              <w:tc>
                <w:tcPr>
                  <w:tcW w:w="760" w:type="dxa"/>
                  <w:tcBorders>
                    <w:tl2br w:val="nil"/>
                    <w:tr2bl w:val="nil"/>
                  </w:tcBorders>
                  <w:shd w:val="clear" w:color="auto" w:fill="auto"/>
                  <w:noWrap/>
                  <w:vAlign w:val="center"/>
                </w:tcPr>
                <w:p w14:paraId="12FB7D81">
                  <w:pPr>
                    <w:jc w:val="center"/>
                    <w:rPr>
                      <w:rFonts w:hint="default"/>
                      <w:color w:val="auto"/>
                    </w:rPr>
                  </w:pPr>
                  <w:r>
                    <w:rPr>
                      <w:rFonts w:hint="default"/>
                      <w:color w:val="auto"/>
                      <w:lang w:val="en-US" w:eastAsia="zh-CN"/>
                    </w:rPr>
                    <w:t>25.00</w:t>
                  </w:r>
                </w:p>
              </w:tc>
              <w:tc>
                <w:tcPr>
                  <w:tcW w:w="840" w:type="dxa"/>
                  <w:tcBorders>
                    <w:tl2br w:val="nil"/>
                    <w:tr2bl w:val="nil"/>
                  </w:tcBorders>
                  <w:shd w:val="clear" w:color="auto" w:fill="auto"/>
                  <w:vAlign w:val="center"/>
                </w:tcPr>
                <w:p w14:paraId="4C24BFAE">
                  <w:pPr>
                    <w:jc w:val="center"/>
                    <w:rPr>
                      <w:rFonts w:hint="default"/>
                      <w:color w:val="auto"/>
                      <w:lang w:val="en-US"/>
                    </w:rPr>
                  </w:pPr>
                  <w:r>
                    <w:rPr>
                      <w:rFonts w:hint="eastAsia"/>
                      <w:color w:val="auto"/>
                      <w:lang w:val="en-US" w:eastAsia="zh-CN"/>
                    </w:rPr>
                    <w:t>128</w:t>
                  </w:r>
                </w:p>
              </w:tc>
              <w:tc>
                <w:tcPr>
                  <w:tcW w:w="720" w:type="dxa"/>
                  <w:tcBorders>
                    <w:tl2br w:val="nil"/>
                    <w:tr2bl w:val="nil"/>
                  </w:tcBorders>
                  <w:shd w:val="clear" w:color="auto" w:fill="auto"/>
                  <w:noWrap/>
                  <w:vAlign w:val="bottom"/>
                </w:tcPr>
                <w:p w14:paraId="68CA2B6A">
                  <w:pPr>
                    <w:jc w:val="center"/>
                    <w:rPr>
                      <w:rFonts w:hint="default"/>
                      <w:color w:val="auto"/>
                      <w:lang w:val="en-US" w:eastAsia="zh-CN"/>
                    </w:rPr>
                  </w:pPr>
                  <w:r>
                    <w:rPr>
                      <w:rFonts w:hint="eastAsia"/>
                      <w:color w:val="auto"/>
                      <w:lang w:val="en-US" w:eastAsia="zh-CN"/>
                    </w:rPr>
                    <w:t>42.14</w:t>
                  </w:r>
                </w:p>
              </w:tc>
              <w:tc>
                <w:tcPr>
                  <w:tcW w:w="773" w:type="dxa"/>
                  <w:tcBorders>
                    <w:tl2br w:val="nil"/>
                    <w:tr2bl w:val="nil"/>
                  </w:tcBorders>
                  <w:shd w:val="clear" w:color="auto" w:fill="auto"/>
                  <w:noWrap/>
                  <w:vAlign w:val="bottom"/>
                </w:tcPr>
                <w:p w14:paraId="40819F53">
                  <w:pPr>
                    <w:jc w:val="center"/>
                    <w:rPr>
                      <w:rFonts w:hint="default"/>
                      <w:color w:val="auto"/>
                      <w:lang w:val="en-US" w:eastAsia="zh-CN"/>
                    </w:rPr>
                  </w:pPr>
                  <w:r>
                    <w:rPr>
                      <w:rFonts w:hint="eastAsia"/>
                      <w:color w:val="auto"/>
                      <w:lang w:val="en-US" w:eastAsia="zh-CN"/>
                    </w:rPr>
                    <w:t>17.86</w:t>
                  </w:r>
                </w:p>
              </w:tc>
              <w:tc>
                <w:tcPr>
                  <w:tcW w:w="817" w:type="dxa"/>
                  <w:vMerge w:val="restart"/>
                  <w:tcBorders>
                    <w:tl2br w:val="nil"/>
                    <w:tr2bl w:val="nil"/>
                  </w:tcBorders>
                  <w:shd w:val="clear" w:color="auto" w:fill="auto"/>
                  <w:noWrap/>
                  <w:vAlign w:val="center"/>
                </w:tcPr>
                <w:p w14:paraId="32D2DAC0">
                  <w:pPr>
                    <w:jc w:val="center"/>
                    <w:rPr>
                      <w:rFonts w:hint="default" w:eastAsia="宋体"/>
                      <w:color w:val="auto"/>
                      <w:lang w:val="en-US" w:eastAsia="zh-CN"/>
                    </w:rPr>
                  </w:pPr>
                  <w:r>
                    <w:rPr>
                      <w:rFonts w:hint="eastAsia"/>
                      <w:color w:val="auto"/>
                      <w:lang w:val="en-US" w:eastAsia="zh-CN"/>
                    </w:rPr>
                    <w:t>41.10</w:t>
                  </w:r>
                </w:p>
              </w:tc>
            </w:tr>
            <w:tr w14:paraId="3029DC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6" w:type="dxa"/>
                  <w:vMerge w:val="continue"/>
                  <w:tcBorders>
                    <w:tl2br w:val="nil"/>
                    <w:tr2bl w:val="nil"/>
                  </w:tcBorders>
                  <w:shd w:val="clear" w:color="auto" w:fill="auto"/>
                  <w:noWrap/>
                  <w:vAlign w:val="center"/>
                </w:tcPr>
                <w:p w14:paraId="73C8EBE0">
                  <w:pPr>
                    <w:jc w:val="center"/>
                    <w:rPr>
                      <w:rFonts w:hint="default"/>
                      <w:color w:val="auto"/>
                    </w:rPr>
                  </w:pPr>
                </w:p>
              </w:tc>
              <w:tc>
                <w:tcPr>
                  <w:tcW w:w="876" w:type="dxa"/>
                  <w:tcBorders>
                    <w:tl2br w:val="nil"/>
                    <w:tr2bl w:val="nil"/>
                  </w:tcBorders>
                  <w:shd w:val="clear" w:color="auto" w:fill="auto"/>
                  <w:vAlign w:val="center"/>
                </w:tcPr>
                <w:p w14:paraId="4D866E33">
                  <w:pPr>
                    <w:jc w:val="center"/>
                    <w:rPr>
                      <w:rFonts w:hint="default"/>
                      <w:color w:val="auto"/>
                    </w:rPr>
                  </w:pPr>
                  <w:r>
                    <w:rPr>
                      <w:color w:val="auto"/>
                      <w:lang w:val="en-US" w:eastAsia="zh-CN"/>
                    </w:rPr>
                    <w:t>钻井泵</w:t>
                  </w:r>
                </w:p>
              </w:tc>
              <w:tc>
                <w:tcPr>
                  <w:tcW w:w="755" w:type="dxa"/>
                  <w:tcBorders>
                    <w:tl2br w:val="nil"/>
                    <w:tr2bl w:val="nil"/>
                  </w:tcBorders>
                  <w:shd w:val="clear" w:color="auto" w:fill="auto"/>
                  <w:vAlign w:val="center"/>
                </w:tcPr>
                <w:p w14:paraId="682EFD8B">
                  <w:pPr>
                    <w:jc w:val="center"/>
                    <w:rPr>
                      <w:rFonts w:hint="default"/>
                      <w:color w:val="auto"/>
                    </w:rPr>
                  </w:pPr>
                  <w:r>
                    <w:rPr>
                      <w:rFonts w:hint="default"/>
                      <w:color w:val="auto"/>
                      <w:lang w:val="en-US" w:eastAsia="zh-CN"/>
                    </w:rPr>
                    <w:t>90</w:t>
                  </w:r>
                </w:p>
              </w:tc>
              <w:tc>
                <w:tcPr>
                  <w:tcW w:w="627" w:type="dxa"/>
                  <w:tcBorders>
                    <w:tl2br w:val="nil"/>
                    <w:tr2bl w:val="nil"/>
                  </w:tcBorders>
                  <w:shd w:val="clear" w:color="auto" w:fill="auto"/>
                  <w:vAlign w:val="center"/>
                </w:tcPr>
                <w:p w14:paraId="79EA09CF">
                  <w:pPr>
                    <w:jc w:val="center"/>
                    <w:rPr>
                      <w:rFonts w:hint="default"/>
                      <w:color w:val="auto"/>
                    </w:rPr>
                  </w:pPr>
                  <w:r>
                    <w:rPr>
                      <w:rFonts w:hint="default"/>
                      <w:color w:val="auto"/>
                      <w:lang w:val="en-US" w:eastAsia="zh-CN"/>
                    </w:rPr>
                    <w:t>1</w:t>
                  </w:r>
                </w:p>
              </w:tc>
              <w:tc>
                <w:tcPr>
                  <w:tcW w:w="853" w:type="dxa"/>
                  <w:tcBorders>
                    <w:tl2br w:val="nil"/>
                    <w:tr2bl w:val="nil"/>
                  </w:tcBorders>
                  <w:shd w:val="clear" w:color="auto" w:fill="auto"/>
                  <w:noWrap/>
                  <w:vAlign w:val="center"/>
                </w:tcPr>
                <w:p w14:paraId="42368DA2">
                  <w:pPr>
                    <w:jc w:val="center"/>
                    <w:rPr>
                      <w:rFonts w:hint="default"/>
                      <w:color w:val="auto"/>
                    </w:rPr>
                  </w:pPr>
                  <w:r>
                    <w:rPr>
                      <w:rFonts w:hint="default"/>
                      <w:color w:val="auto"/>
                      <w:lang w:val="en-US" w:eastAsia="zh-CN"/>
                    </w:rPr>
                    <w:t>90.00</w:t>
                  </w:r>
                </w:p>
              </w:tc>
              <w:tc>
                <w:tcPr>
                  <w:tcW w:w="760" w:type="dxa"/>
                  <w:tcBorders>
                    <w:tl2br w:val="nil"/>
                    <w:tr2bl w:val="nil"/>
                  </w:tcBorders>
                  <w:shd w:val="clear" w:color="auto" w:fill="auto"/>
                  <w:noWrap/>
                  <w:vAlign w:val="center"/>
                </w:tcPr>
                <w:p w14:paraId="77E2BCEC">
                  <w:pPr>
                    <w:jc w:val="center"/>
                    <w:rPr>
                      <w:rFonts w:hint="default"/>
                      <w:color w:val="auto"/>
                    </w:rPr>
                  </w:pPr>
                  <w:r>
                    <w:rPr>
                      <w:rFonts w:hint="default"/>
                      <w:color w:val="auto"/>
                      <w:lang w:val="en-US" w:eastAsia="zh-CN"/>
                    </w:rPr>
                    <w:t>25.00</w:t>
                  </w:r>
                </w:p>
              </w:tc>
              <w:tc>
                <w:tcPr>
                  <w:tcW w:w="840" w:type="dxa"/>
                  <w:tcBorders>
                    <w:tl2br w:val="nil"/>
                    <w:tr2bl w:val="nil"/>
                  </w:tcBorders>
                  <w:shd w:val="clear" w:color="auto" w:fill="auto"/>
                  <w:vAlign w:val="center"/>
                </w:tcPr>
                <w:p w14:paraId="6480DE77">
                  <w:pPr>
                    <w:jc w:val="center"/>
                    <w:rPr>
                      <w:rFonts w:hint="default"/>
                      <w:color w:val="auto"/>
                      <w:lang w:val="en-US"/>
                    </w:rPr>
                  </w:pPr>
                  <w:r>
                    <w:rPr>
                      <w:rFonts w:hint="eastAsia"/>
                      <w:color w:val="auto"/>
                      <w:lang w:val="en-US" w:eastAsia="zh-CN"/>
                    </w:rPr>
                    <w:t>130</w:t>
                  </w:r>
                </w:p>
              </w:tc>
              <w:tc>
                <w:tcPr>
                  <w:tcW w:w="720" w:type="dxa"/>
                  <w:tcBorders>
                    <w:tl2br w:val="nil"/>
                    <w:tr2bl w:val="nil"/>
                  </w:tcBorders>
                  <w:shd w:val="clear" w:color="auto" w:fill="auto"/>
                  <w:noWrap/>
                  <w:vAlign w:val="bottom"/>
                </w:tcPr>
                <w:p w14:paraId="549BF334">
                  <w:pPr>
                    <w:jc w:val="center"/>
                    <w:rPr>
                      <w:rFonts w:hint="default"/>
                      <w:color w:val="auto"/>
                      <w:lang w:val="en-US" w:eastAsia="zh-CN"/>
                    </w:rPr>
                  </w:pPr>
                  <w:r>
                    <w:rPr>
                      <w:rFonts w:hint="eastAsia"/>
                      <w:color w:val="auto"/>
                      <w:lang w:val="en-US" w:eastAsia="zh-CN"/>
                    </w:rPr>
                    <w:t>42.28</w:t>
                  </w:r>
                </w:p>
              </w:tc>
              <w:tc>
                <w:tcPr>
                  <w:tcW w:w="773" w:type="dxa"/>
                  <w:tcBorders>
                    <w:tl2br w:val="nil"/>
                    <w:tr2bl w:val="nil"/>
                  </w:tcBorders>
                  <w:shd w:val="clear" w:color="auto" w:fill="auto"/>
                  <w:noWrap/>
                  <w:vAlign w:val="bottom"/>
                </w:tcPr>
                <w:p w14:paraId="57E136BE">
                  <w:pPr>
                    <w:jc w:val="center"/>
                    <w:rPr>
                      <w:rFonts w:hint="default"/>
                      <w:color w:val="auto"/>
                      <w:lang w:val="en-US" w:eastAsia="zh-CN"/>
                    </w:rPr>
                  </w:pPr>
                  <w:r>
                    <w:rPr>
                      <w:rFonts w:hint="eastAsia"/>
                      <w:color w:val="auto"/>
                      <w:lang w:val="en-US" w:eastAsia="zh-CN"/>
                    </w:rPr>
                    <w:t>22.72</w:t>
                  </w:r>
                </w:p>
              </w:tc>
              <w:tc>
                <w:tcPr>
                  <w:tcW w:w="817" w:type="dxa"/>
                  <w:vMerge w:val="continue"/>
                  <w:tcBorders>
                    <w:tl2br w:val="nil"/>
                    <w:tr2bl w:val="nil"/>
                  </w:tcBorders>
                  <w:shd w:val="clear" w:color="auto" w:fill="auto"/>
                  <w:noWrap/>
                  <w:vAlign w:val="center"/>
                </w:tcPr>
                <w:p w14:paraId="51495732">
                  <w:pPr>
                    <w:jc w:val="center"/>
                    <w:rPr>
                      <w:rFonts w:hint="default"/>
                      <w:color w:val="auto"/>
                    </w:rPr>
                  </w:pPr>
                </w:p>
              </w:tc>
            </w:tr>
            <w:tr w14:paraId="32C222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6" w:type="dxa"/>
                  <w:vMerge w:val="continue"/>
                  <w:tcBorders>
                    <w:tl2br w:val="nil"/>
                    <w:tr2bl w:val="nil"/>
                  </w:tcBorders>
                  <w:shd w:val="clear" w:color="auto" w:fill="auto"/>
                  <w:noWrap/>
                  <w:vAlign w:val="center"/>
                </w:tcPr>
                <w:p w14:paraId="61FE5E2F">
                  <w:pPr>
                    <w:jc w:val="center"/>
                    <w:rPr>
                      <w:rFonts w:hint="default"/>
                      <w:color w:val="auto"/>
                    </w:rPr>
                  </w:pPr>
                </w:p>
              </w:tc>
              <w:tc>
                <w:tcPr>
                  <w:tcW w:w="876" w:type="dxa"/>
                  <w:tcBorders>
                    <w:tl2br w:val="nil"/>
                    <w:tr2bl w:val="nil"/>
                  </w:tcBorders>
                  <w:shd w:val="clear" w:color="auto" w:fill="auto"/>
                  <w:vAlign w:val="center"/>
                </w:tcPr>
                <w:p w14:paraId="14863DC9">
                  <w:pPr>
                    <w:jc w:val="center"/>
                    <w:rPr>
                      <w:rFonts w:hint="default"/>
                      <w:color w:val="auto"/>
                    </w:rPr>
                  </w:pPr>
                  <w:r>
                    <w:rPr>
                      <w:color w:val="auto"/>
                      <w:lang w:val="en-US" w:eastAsia="zh-CN"/>
                    </w:rPr>
                    <w:t>振动筛</w:t>
                  </w:r>
                </w:p>
              </w:tc>
              <w:tc>
                <w:tcPr>
                  <w:tcW w:w="755" w:type="dxa"/>
                  <w:tcBorders>
                    <w:tl2br w:val="nil"/>
                    <w:tr2bl w:val="nil"/>
                  </w:tcBorders>
                  <w:shd w:val="clear" w:color="auto" w:fill="auto"/>
                  <w:vAlign w:val="center"/>
                </w:tcPr>
                <w:p w14:paraId="6753AEB1">
                  <w:pPr>
                    <w:jc w:val="center"/>
                    <w:rPr>
                      <w:rFonts w:hint="default"/>
                      <w:color w:val="auto"/>
                    </w:rPr>
                  </w:pPr>
                  <w:r>
                    <w:rPr>
                      <w:rFonts w:hint="default"/>
                      <w:color w:val="auto"/>
                      <w:lang w:val="en-US" w:eastAsia="zh-CN"/>
                    </w:rPr>
                    <w:t>90</w:t>
                  </w:r>
                </w:p>
              </w:tc>
              <w:tc>
                <w:tcPr>
                  <w:tcW w:w="627" w:type="dxa"/>
                  <w:tcBorders>
                    <w:tl2br w:val="nil"/>
                    <w:tr2bl w:val="nil"/>
                  </w:tcBorders>
                  <w:shd w:val="clear" w:color="auto" w:fill="auto"/>
                  <w:vAlign w:val="center"/>
                </w:tcPr>
                <w:p w14:paraId="6F86C2A0">
                  <w:pPr>
                    <w:jc w:val="center"/>
                    <w:rPr>
                      <w:rFonts w:hint="default"/>
                      <w:color w:val="auto"/>
                    </w:rPr>
                  </w:pPr>
                  <w:r>
                    <w:rPr>
                      <w:rFonts w:hint="default"/>
                      <w:color w:val="auto"/>
                      <w:lang w:val="en-US" w:eastAsia="zh-CN"/>
                    </w:rPr>
                    <w:t>1</w:t>
                  </w:r>
                </w:p>
              </w:tc>
              <w:tc>
                <w:tcPr>
                  <w:tcW w:w="853" w:type="dxa"/>
                  <w:tcBorders>
                    <w:tl2br w:val="nil"/>
                    <w:tr2bl w:val="nil"/>
                  </w:tcBorders>
                  <w:shd w:val="clear" w:color="auto" w:fill="auto"/>
                  <w:noWrap/>
                  <w:vAlign w:val="center"/>
                </w:tcPr>
                <w:p w14:paraId="34E83245">
                  <w:pPr>
                    <w:jc w:val="center"/>
                    <w:rPr>
                      <w:rFonts w:hint="default"/>
                      <w:color w:val="auto"/>
                    </w:rPr>
                  </w:pPr>
                  <w:r>
                    <w:rPr>
                      <w:rFonts w:hint="default"/>
                      <w:color w:val="auto"/>
                      <w:lang w:val="en-US" w:eastAsia="zh-CN"/>
                    </w:rPr>
                    <w:t>90.00</w:t>
                  </w:r>
                </w:p>
              </w:tc>
              <w:tc>
                <w:tcPr>
                  <w:tcW w:w="760" w:type="dxa"/>
                  <w:tcBorders>
                    <w:tl2br w:val="nil"/>
                    <w:tr2bl w:val="nil"/>
                  </w:tcBorders>
                  <w:shd w:val="clear" w:color="auto" w:fill="auto"/>
                  <w:noWrap/>
                  <w:vAlign w:val="center"/>
                </w:tcPr>
                <w:p w14:paraId="51395993">
                  <w:pPr>
                    <w:jc w:val="center"/>
                    <w:rPr>
                      <w:rFonts w:hint="default"/>
                      <w:color w:val="auto"/>
                    </w:rPr>
                  </w:pPr>
                  <w:r>
                    <w:rPr>
                      <w:rFonts w:hint="default"/>
                      <w:color w:val="auto"/>
                      <w:lang w:val="en-US" w:eastAsia="zh-CN"/>
                    </w:rPr>
                    <w:t>25.00</w:t>
                  </w:r>
                </w:p>
              </w:tc>
              <w:tc>
                <w:tcPr>
                  <w:tcW w:w="840" w:type="dxa"/>
                  <w:tcBorders>
                    <w:tl2br w:val="nil"/>
                    <w:tr2bl w:val="nil"/>
                  </w:tcBorders>
                  <w:shd w:val="clear" w:color="auto" w:fill="auto"/>
                  <w:vAlign w:val="center"/>
                </w:tcPr>
                <w:p w14:paraId="7A687AB2">
                  <w:pPr>
                    <w:jc w:val="center"/>
                    <w:rPr>
                      <w:rFonts w:hint="default"/>
                      <w:color w:val="auto"/>
                      <w:lang w:val="en-US"/>
                    </w:rPr>
                  </w:pPr>
                  <w:r>
                    <w:rPr>
                      <w:rFonts w:hint="eastAsia"/>
                      <w:color w:val="auto"/>
                      <w:lang w:val="en-US" w:eastAsia="zh-CN"/>
                    </w:rPr>
                    <w:t>113</w:t>
                  </w:r>
                </w:p>
              </w:tc>
              <w:tc>
                <w:tcPr>
                  <w:tcW w:w="720" w:type="dxa"/>
                  <w:tcBorders>
                    <w:tl2br w:val="nil"/>
                    <w:tr2bl w:val="nil"/>
                  </w:tcBorders>
                  <w:shd w:val="clear" w:color="auto" w:fill="auto"/>
                  <w:noWrap/>
                  <w:vAlign w:val="bottom"/>
                </w:tcPr>
                <w:p w14:paraId="5BE6F62B">
                  <w:pPr>
                    <w:jc w:val="center"/>
                    <w:rPr>
                      <w:rFonts w:hint="default"/>
                      <w:color w:val="auto"/>
                      <w:lang w:val="en-US" w:eastAsia="zh-CN"/>
                    </w:rPr>
                  </w:pPr>
                  <w:r>
                    <w:rPr>
                      <w:rFonts w:hint="eastAsia"/>
                      <w:color w:val="auto"/>
                      <w:lang w:val="en-US" w:eastAsia="zh-CN"/>
                    </w:rPr>
                    <w:t>41.06</w:t>
                  </w:r>
                </w:p>
              </w:tc>
              <w:tc>
                <w:tcPr>
                  <w:tcW w:w="773" w:type="dxa"/>
                  <w:tcBorders>
                    <w:tl2br w:val="nil"/>
                    <w:tr2bl w:val="nil"/>
                  </w:tcBorders>
                  <w:shd w:val="clear" w:color="auto" w:fill="auto"/>
                  <w:noWrap/>
                  <w:vAlign w:val="bottom"/>
                </w:tcPr>
                <w:p w14:paraId="2B1A441C">
                  <w:pPr>
                    <w:jc w:val="center"/>
                    <w:rPr>
                      <w:rFonts w:hint="default"/>
                      <w:color w:val="auto"/>
                      <w:lang w:val="en-US" w:eastAsia="zh-CN"/>
                    </w:rPr>
                  </w:pPr>
                  <w:r>
                    <w:rPr>
                      <w:rFonts w:hint="eastAsia"/>
                      <w:color w:val="auto"/>
                      <w:lang w:val="en-US" w:eastAsia="zh-CN"/>
                    </w:rPr>
                    <w:t>23.94</w:t>
                  </w:r>
                </w:p>
              </w:tc>
              <w:tc>
                <w:tcPr>
                  <w:tcW w:w="817" w:type="dxa"/>
                  <w:vMerge w:val="continue"/>
                  <w:tcBorders>
                    <w:tl2br w:val="nil"/>
                    <w:tr2bl w:val="nil"/>
                  </w:tcBorders>
                  <w:shd w:val="clear" w:color="auto" w:fill="auto"/>
                  <w:noWrap/>
                  <w:vAlign w:val="center"/>
                </w:tcPr>
                <w:p w14:paraId="3DE18234">
                  <w:pPr>
                    <w:jc w:val="center"/>
                    <w:rPr>
                      <w:rFonts w:hint="default"/>
                      <w:color w:val="auto"/>
                    </w:rPr>
                  </w:pPr>
                </w:p>
              </w:tc>
            </w:tr>
            <w:tr w14:paraId="70823E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6" w:type="dxa"/>
                  <w:vMerge w:val="continue"/>
                  <w:tcBorders>
                    <w:tl2br w:val="nil"/>
                    <w:tr2bl w:val="nil"/>
                  </w:tcBorders>
                  <w:shd w:val="clear" w:color="auto" w:fill="auto"/>
                  <w:noWrap/>
                  <w:vAlign w:val="center"/>
                </w:tcPr>
                <w:p w14:paraId="2A143925">
                  <w:pPr>
                    <w:jc w:val="center"/>
                    <w:rPr>
                      <w:rFonts w:hint="default"/>
                      <w:color w:val="auto"/>
                    </w:rPr>
                  </w:pPr>
                </w:p>
              </w:tc>
              <w:tc>
                <w:tcPr>
                  <w:tcW w:w="876" w:type="dxa"/>
                  <w:tcBorders>
                    <w:tl2br w:val="nil"/>
                    <w:tr2bl w:val="nil"/>
                  </w:tcBorders>
                  <w:shd w:val="clear" w:color="auto" w:fill="auto"/>
                  <w:vAlign w:val="center"/>
                </w:tcPr>
                <w:p w14:paraId="616C138E">
                  <w:pPr>
                    <w:jc w:val="center"/>
                    <w:rPr>
                      <w:rFonts w:hint="default"/>
                      <w:color w:val="auto"/>
                    </w:rPr>
                  </w:pPr>
                  <w:r>
                    <w:rPr>
                      <w:color w:val="auto"/>
                      <w:lang w:val="en-US" w:eastAsia="zh-CN"/>
                    </w:rPr>
                    <w:t>除砂器</w:t>
                  </w:r>
                </w:p>
              </w:tc>
              <w:tc>
                <w:tcPr>
                  <w:tcW w:w="755" w:type="dxa"/>
                  <w:tcBorders>
                    <w:tl2br w:val="nil"/>
                    <w:tr2bl w:val="nil"/>
                  </w:tcBorders>
                  <w:shd w:val="clear" w:color="auto" w:fill="auto"/>
                  <w:vAlign w:val="center"/>
                </w:tcPr>
                <w:p w14:paraId="4629E6E2">
                  <w:pPr>
                    <w:jc w:val="center"/>
                    <w:rPr>
                      <w:rFonts w:hint="default"/>
                      <w:color w:val="auto"/>
                    </w:rPr>
                  </w:pPr>
                  <w:r>
                    <w:rPr>
                      <w:rFonts w:hint="default"/>
                      <w:color w:val="auto"/>
                      <w:lang w:val="en-US" w:eastAsia="zh-CN"/>
                    </w:rPr>
                    <w:t>90</w:t>
                  </w:r>
                </w:p>
              </w:tc>
              <w:tc>
                <w:tcPr>
                  <w:tcW w:w="627" w:type="dxa"/>
                  <w:tcBorders>
                    <w:tl2br w:val="nil"/>
                    <w:tr2bl w:val="nil"/>
                  </w:tcBorders>
                  <w:shd w:val="clear" w:color="auto" w:fill="auto"/>
                  <w:vAlign w:val="center"/>
                </w:tcPr>
                <w:p w14:paraId="0552853A">
                  <w:pPr>
                    <w:jc w:val="center"/>
                    <w:rPr>
                      <w:rFonts w:hint="default"/>
                      <w:color w:val="auto"/>
                    </w:rPr>
                  </w:pPr>
                  <w:r>
                    <w:rPr>
                      <w:rFonts w:hint="default"/>
                      <w:color w:val="auto"/>
                      <w:lang w:val="en-US" w:eastAsia="zh-CN"/>
                    </w:rPr>
                    <w:t>1</w:t>
                  </w:r>
                </w:p>
              </w:tc>
              <w:tc>
                <w:tcPr>
                  <w:tcW w:w="853" w:type="dxa"/>
                  <w:tcBorders>
                    <w:tl2br w:val="nil"/>
                    <w:tr2bl w:val="nil"/>
                  </w:tcBorders>
                  <w:shd w:val="clear" w:color="auto" w:fill="auto"/>
                  <w:noWrap/>
                  <w:vAlign w:val="center"/>
                </w:tcPr>
                <w:p w14:paraId="7C89A493">
                  <w:pPr>
                    <w:jc w:val="center"/>
                    <w:rPr>
                      <w:rFonts w:hint="default"/>
                      <w:color w:val="auto"/>
                    </w:rPr>
                  </w:pPr>
                  <w:r>
                    <w:rPr>
                      <w:rFonts w:hint="default"/>
                      <w:color w:val="auto"/>
                      <w:lang w:val="en-US" w:eastAsia="zh-CN"/>
                    </w:rPr>
                    <w:t>90.00</w:t>
                  </w:r>
                </w:p>
              </w:tc>
              <w:tc>
                <w:tcPr>
                  <w:tcW w:w="760" w:type="dxa"/>
                  <w:tcBorders>
                    <w:tl2br w:val="nil"/>
                    <w:tr2bl w:val="nil"/>
                  </w:tcBorders>
                  <w:shd w:val="clear" w:color="auto" w:fill="auto"/>
                  <w:noWrap/>
                  <w:vAlign w:val="center"/>
                </w:tcPr>
                <w:p w14:paraId="143A00FE">
                  <w:pPr>
                    <w:jc w:val="center"/>
                    <w:rPr>
                      <w:rFonts w:hint="default"/>
                      <w:color w:val="auto"/>
                    </w:rPr>
                  </w:pPr>
                  <w:r>
                    <w:rPr>
                      <w:rFonts w:hint="default"/>
                      <w:color w:val="auto"/>
                      <w:lang w:val="en-US" w:eastAsia="zh-CN"/>
                    </w:rPr>
                    <w:t>25.00</w:t>
                  </w:r>
                </w:p>
              </w:tc>
              <w:tc>
                <w:tcPr>
                  <w:tcW w:w="840" w:type="dxa"/>
                  <w:tcBorders>
                    <w:tl2br w:val="nil"/>
                    <w:tr2bl w:val="nil"/>
                  </w:tcBorders>
                  <w:shd w:val="clear" w:color="auto" w:fill="auto"/>
                  <w:vAlign w:val="center"/>
                </w:tcPr>
                <w:p w14:paraId="08E39310">
                  <w:pPr>
                    <w:jc w:val="center"/>
                    <w:rPr>
                      <w:rFonts w:hint="default"/>
                      <w:color w:val="auto"/>
                      <w:lang w:val="en-US"/>
                    </w:rPr>
                  </w:pPr>
                  <w:r>
                    <w:rPr>
                      <w:rFonts w:hint="eastAsia"/>
                      <w:color w:val="auto"/>
                      <w:lang w:val="en-US" w:eastAsia="zh-CN"/>
                    </w:rPr>
                    <w:t>136</w:t>
                  </w:r>
                </w:p>
              </w:tc>
              <w:tc>
                <w:tcPr>
                  <w:tcW w:w="720" w:type="dxa"/>
                  <w:tcBorders>
                    <w:tl2br w:val="nil"/>
                    <w:tr2bl w:val="nil"/>
                  </w:tcBorders>
                  <w:shd w:val="clear" w:color="auto" w:fill="auto"/>
                  <w:noWrap/>
                  <w:vAlign w:val="bottom"/>
                </w:tcPr>
                <w:p w14:paraId="590E63D7">
                  <w:pPr>
                    <w:jc w:val="center"/>
                    <w:rPr>
                      <w:rFonts w:hint="default"/>
                      <w:color w:val="auto"/>
                      <w:lang w:val="en-US" w:eastAsia="zh-CN"/>
                    </w:rPr>
                  </w:pPr>
                  <w:r>
                    <w:rPr>
                      <w:rFonts w:hint="eastAsia"/>
                      <w:color w:val="auto"/>
                      <w:lang w:val="en-US" w:eastAsia="zh-CN"/>
                    </w:rPr>
                    <w:t>42.67</w:t>
                  </w:r>
                </w:p>
              </w:tc>
              <w:tc>
                <w:tcPr>
                  <w:tcW w:w="773" w:type="dxa"/>
                  <w:tcBorders>
                    <w:tl2br w:val="nil"/>
                    <w:tr2bl w:val="nil"/>
                  </w:tcBorders>
                  <w:shd w:val="clear" w:color="auto" w:fill="auto"/>
                  <w:noWrap/>
                  <w:vAlign w:val="bottom"/>
                </w:tcPr>
                <w:p w14:paraId="18D4EB74">
                  <w:pPr>
                    <w:jc w:val="center"/>
                    <w:rPr>
                      <w:rFonts w:hint="default"/>
                      <w:color w:val="auto"/>
                      <w:lang w:val="en-US" w:eastAsia="zh-CN"/>
                    </w:rPr>
                  </w:pPr>
                  <w:r>
                    <w:rPr>
                      <w:rFonts w:hint="eastAsia"/>
                      <w:color w:val="auto"/>
                      <w:lang w:val="en-US" w:eastAsia="zh-CN"/>
                    </w:rPr>
                    <w:t>22.33</w:t>
                  </w:r>
                </w:p>
              </w:tc>
              <w:tc>
                <w:tcPr>
                  <w:tcW w:w="817" w:type="dxa"/>
                  <w:vMerge w:val="continue"/>
                  <w:tcBorders>
                    <w:tl2br w:val="nil"/>
                    <w:tr2bl w:val="nil"/>
                  </w:tcBorders>
                  <w:shd w:val="clear" w:color="auto" w:fill="auto"/>
                  <w:noWrap/>
                  <w:vAlign w:val="center"/>
                </w:tcPr>
                <w:p w14:paraId="1B7146BD">
                  <w:pPr>
                    <w:jc w:val="center"/>
                    <w:rPr>
                      <w:rFonts w:hint="default"/>
                      <w:color w:val="auto"/>
                    </w:rPr>
                  </w:pPr>
                </w:p>
              </w:tc>
            </w:tr>
            <w:tr w14:paraId="276696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6" w:type="dxa"/>
                  <w:vMerge w:val="continue"/>
                  <w:tcBorders>
                    <w:tl2br w:val="nil"/>
                    <w:tr2bl w:val="nil"/>
                  </w:tcBorders>
                  <w:shd w:val="clear" w:color="auto" w:fill="auto"/>
                  <w:noWrap/>
                  <w:vAlign w:val="center"/>
                </w:tcPr>
                <w:p w14:paraId="04395728">
                  <w:pPr>
                    <w:jc w:val="center"/>
                    <w:rPr>
                      <w:rFonts w:hint="default"/>
                      <w:color w:val="auto"/>
                    </w:rPr>
                  </w:pPr>
                </w:p>
              </w:tc>
              <w:tc>
                <w:tcPr>
                  <w:tcW w:w="876" w:type="dxa"/>
                  <w:tcBorders>
                    <w:tl2br w:val="nil"/>
                    <w:tr2bl w:val="nil"/>
                  </w:tcBorders>
                  <w:shd w:val="clear" w:color="auto" w:fill="auto"/>
                  <w:vAlign w:val="center"/>
                </w:tcPr>
                <w:p w14:paraId="17FB2ED8">
                  <w:pPr>
                    <w:jc w:val="center"/>
                    <w:rPr>
                      <w:rFonts w:hint="default"/>
                      <w:color w:val="auto"/>
                    </w:rPr>
                  </w:pPr>
                  <w:r>
                    <w:rPr>
                      <w:color w:val="auto"/>
                      <w:lang w:val="en-US" w:eastAsia="zh-CN"/>
                    </w:rPr>
                    <w:t>离心器</w:t>
                  </w:r>
                </w:p>
              </w:tc>
              <w:tc>
                <w:tcPr>
                  <w:tcW w:w="755" w:type="dxa"/>
                  <w:tcBorders>
                    <w:tl2br w:val="nil"/>
                    <w:tr2bl w:val="nil"/>
                  </w:tcBorders>
                  <w:shd w:val="clear" w:color="auto" w:fill="auto"/>
                  <w:vAlign w:val="center"/>
                </w:tcPr>
                <w:p w14:paraId="652675F8">
                  <w:pPr>
                    <w:jc w:val="center"/>
                    <w:rPr>
                      <w:rFonts w:hint="default"/>
                      <w:color w:val="auto"/>
                    </w:rPr>
                  </w:pPr>
                  <w:r>
                    <w:rPr>
                      <w:rFonts w:hint="default"/>
                      <w:color w:val="auto"/>
                      <w:lang w:val="en-US" w:eastAsia="zh-CN"/>
                    </w:rPr>
                    <w:t>80</w:t>
                  </w:r>
                </w:p>
              </w:tc>
              <w:tc>
                <w:tcPr>
                  <w:tcW w:w="627" w:type="dxa"/>
                  <w:tcBorders>
                    <w:tl2br w:val="nil"/>
                    <w:tr2bl w:val="nil"/>
                  </w:tcBorders>
                  <w:shd w:val="clear" w:color="auto" w:fill="auto"/>
                  <w:vAlign w:val="center"/>
                </w:tcPr>
                <w:p w14:paraId="5206226B">
                  <w:pPr>
                    <w:jc w:val="center"/>
                    <w:rPr>
                      <w:rFonts w:hint="default"/>
                      <w:color w:val="auto"/>
                    </w:rPr>
                  </w:pPr>
                  <w:r>
                    <w:rPr>
                      <w:rFonts w:hint="default"/>
                      <w:color w:val="auto"/>
                      <w:lang w:val="en-US" w:eastAsia="zh-CN"/>
                    </w:rPr>
                    <w:t>1</w:t>
                  </w:r>
                </w:p>
              </w:tc>
              <w:tc>
                <w:tcPr>
                  <w:tcW w:w="853" w:type="dxa"/>
                  <w:tcBorders>
                    <w:tl2br w:val="nil"/>
                    <w:tr2bl w:val="nil"/>
                  </w:tcBorders>
                  <w:shd w:val="clear" w:color="auto" w:fill="auto"/>
                  <w:noWrap/>
                  <w:vAlign w:val="center"/>
                </w:tcPr>
                <w:p w14:paraId="31615CE3">
                  <w:pPr>
                    <w:jc w:val="center"/>
                    <w:rPr>
                      <w:rFonts w:hint="default"/>
                      <w:color w:val="auto"/>
                    </w:rPr>
                  </w:pPr>
                  <w:r>
                    <w:rPr>
                      <w:rFonts w:hint="default"/>
                      <w:color w:val="auto"/>
                      <w:lang w:val="en-US" w:eastAsia="zh-CN"/>
                    </w:rPr>
                    <w:t>80.00</w:t>
                  </w:r>
                </w:p>
              </w:tc>
              <w:tc>
                <w:tcPr>
                  <w:tcW w:w="760" w:type="dxa"/>
                  <w:tcBorders>
                    <w:tl2br w:val="nil"/>
                    <w:tr2bl w:val="nil"/>
                  </w:tcBorders>
                  <w:shd w:val="clear" w:color="auto" w:fill="auto"/>
                  <w:noWrap/>
                  <w:vAlign w:val="center"/>
                </w:tcPr>
                <w:p w14:paraId="667FA130">
                  <w:pPr>
                    <w:jc w:val="center"/>
                    <w:rPr>
                      <w:rFonts w:hint="default"/>
                      <w:color w:val="auto"/>
                    </w:rPr>
                  </w:pPr>
                  <w:r>
                    <w:rPr>
                      <w:rFonts w:hint="default"/>
                      <w:color w:val="auto"/>
                      <w:lang w:val="en-US" w:eastAsia="zh-CN"/>
                    </w:rPr>
                    <w:t>25.00</w:t>
                  </w:r>
                </w:p>
              </w:tc>
              <w:tc>
                <w:tcPr>
                  <w:tcW w:w="840" w:type="dxa"/>
                  <w:tcBorders>
                    <w:tl2br w:val="nil"/>
                    <w:tr2bl w:val="nil"/>
                  </w:tcBorders>
                  <w:shd w:val="clear" w:color="auto" w:fill="auto"/>
                  <w:vAlign w:val="center"/>
                </w:tcPr>
                <w:p w14:paraId="440CB8E6">
                  <w:pPr>
                    <w:jc w:val="center"/>
                    <w:rPr>
                      <w:rFonts w:hint="default"/>
                      <w:color w:val="auto"/>
                      <w:lang w:val="en-US"/>
                    </w:rPr>
                  </w:pPr>
                  <w:r>
                    <w:rPr>
                      <w:rFonts w:hint="eastAsia"/>
                      <w:color w:val="auto"/>
                      <w:lang w:val="en-US" w:eastAsia="zh-CN"/>
                    </w:rPr>
                    <w:t>134</w:t>
                  </w:r>
                </w:p>
              </w:tc>
              <w:tc>
                <w:tcPr>
                  <w:tcW w:w="720" w:type="dxa"/>
                  <w:tcBorders>
                    <w:tl2br w:val="nil"/>
                    <w:tr2bl w:val="nil"/>
                  </w:tcBorders>
                  <w:shd w:val="clear" w:color="auto" w:fill="auto"/>
                  <w:noWrap/>
                  <w:vAlign w:val="bottom"/>
                </w:tcPr>
                <w:p w14:paraId="12DC67E5">
                  <w:pPr>
                    <w:jc w:val="center"/>
                    <w:rPr>
                      <w:rFonts w:hint="default"/>
                      <w:color w:val="auto"/>
                      <w:lang w:val="en-US" w:eastAsia="zh-CN"/>
                    </w:rPr>
                  </w:pPr>
                  <w:r>
                    <w:rPr>
                      <w:rFonts w:hint="eastAsia"/>
                      <w:color w:val="auto"/>
                      <w:lang w:val="en-US" w:eastAsia="zh-CN"/>
                    </w:rPr>
                    <w:t>42.54</w:t>
                  </w:r>
                </w:p>
              </w:tc>
              <w:tc>
                <w:tcPr>
                  <w:tcW w:w="773" w:type="dxa"/>
                  <w:tcBorders>
                    <w:tl2br w:val="nil"/>
                    <w:tr2bl w:val="nil"/>
                  </w:tcBorders>
                  <w:shd w:val="clear" w:color="auto" w:fill="auto"/>
                  <w:noWrap/>
                  <w:vAlign w:val="bottom"/>
                </w:tcPr>
                <w:p w14:paraId="0D2B9D40">
                  <w:pPr>
                    <w:jc w:val="center"/>
                    <w:rPr>
                      <w:rFonts w:hint="default"/>
                      <w:color w:val="auto"/>
                      <w:lang w:val="en-US" w:eastAsia="zh-CN"/>
                    </w:rPr>
                  </w:pPr>
                  <w:r>
                    <w:rPr>
                      <w:rFonts w:hint="eastAsia"/>
                      <w:color w:val="auto"/>
                      <w:lang w:val="en-US" w:eastAsia="zh-CN"/>
                    </w:rPr>
                    <w:t>12.46</w:t>
                  </w:r>
                </w:p>
              </w:tc>
              <w:tc>
                <w:tcPr>
                  <w:tcW w:w="817" w:type="dxa"/>
                  <w:vMerge w:val="continue"/>
                  <w:tcBorders>
                    <w:tl2br w:val="nil"/>
                    <w:tr2bl w:val="nil"/>
                  </w:tcBorders>
                  <w:shd w:val="clear" w:color="auto" w:fill="auto"/>
                  <w:noWrap/>
                  <w:vAlign w:val="center"/>
                </w:tcPr>
                <w:p w14:paraId="757B8E29">
                  <w:pPr>
                    <w:jc w:val="center"/>
                    <w:rPr>
                      <w:rFonts w:hint="default"/>
                      <w:color w:val="auto"/>
                    </w:rPr>
                  </w:pPr>
                </w:p>
              </w:tc>
            </w:tr>
            <w:tr w14:paraId="4735A3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6" w:type="dxa"/>
                  <w:vMerge w:val="continue"/>
                  <w:tcBorders>
                    <w:tl2br w:val="nil"/>
                    <w:tr2bl w:val="nil"/>
                  </w:tcBorders>
                  <w:shd w:val="clear" w:color="auto" w:fill="auto"/>
                  <w:noWrap/>
                  <w:vAlign w:val="center"/>
                </w:tcPr>
                <w:p w14:paraId="60707A82">
                  <w:pPr>
                    <w:jc w:val="center"/>
                    <w:rPr>
                      <w:rFonts w:hint="default"/>
                      <w:color w:val="auto"/>
                    </w:rPr>
                  </w:pPr>
                </w:p>
              </w:tc>
              <w:tc>
                <w:tcPr>
                  <w:tcW w:w="876" w:type="dxa"/>
                  <w:tcBorders>
                    <w:tl2br w:val="nil"/>
                    <w:tr2bl w:val="nil"/>
                  </w:tcBorders>
                  <w:shd w:val="clear" w:color="auto" w:fill="auto"/>
                  <w:vAlign w:val="center"/>
                </w:tcPr>
                <w:p w14:paraId="705BA97B">
                  <w:pPr>
                    <w:jc w:val="center"/>
                    <w:rPr>
                      <w:rFonts w:hint="default"/>
                      <w:color w:val="auto"/>
                    </w:rPr>
                  </w:pPr>
                  <w:r>
                    <w:rPr>
                      <w:color w:val="auto"/>
                      <w:lang w:val="en-US" w:eastAsia="zh-CN"/>
                    </w:rPr>
                    <w:t>除气器</w:t>
                  </w:r>
                </w:p>
              </w:tc>
              <w:tc>
                <w:tcPr>
                  <w:tcW w:w="755" w:type="dxa"/>
                  <w:tcBorders>
                    <w:tl2br w:val="nil"/>
                    <w:tr2bl w:val="nil"/>
                  </w:tcBorders>
                  <w:shd w:val="clear" w:color="auto" w:fill="auto"/>
                  <w:vAlign w:val="center"/>
                </w:tcPr>
                <w:p w14:paraId="34E24132">
                  <w:pPr>
                    <w:jc w:val="center"/>
                    <w:rPr>
                      <w:rFonts w:hint="default"/>
                      <w:color w:val="auto"/>
                    </w:rPr>
                  </w:pPr>
                  <w:r>
                    <w:rPr>
                      <w:rFonts w:hint="default"/>
                      <w:color w:val="auto"/>
                      <w:lang w:val="en-US" w:eastAsia="zh-CN"/>
                    </w:rPr>
                    <w:t>80</w:t>
                  </w:r>
                </w:p>
              </w:tc>
              <w:tc>
                <w:tcPr>
                  <w:tcW w:w="627" w:type="dxa"/>
                  <w:tcBorders>
                    <w:tl2br w:val="nil"/>
                    <w:tr2bl w:val="nil"/>
                  </w:tcBorders>
                  <w:shd w:val="clear" w:color="auto" w:fill="auto"/>
                  <w:vAlign w:val="center"/>
                </w:tcPr>
                <w:p w14:paraId="428183B7">
                  <w:pPr>
                    <w:jc w:val="center"/>
                    <w:rPr>
                      <w:rFonts w:hint="default"/>
                      <w:color w:val="auto"/>
                    </w:rPr>
                  </w:pPr>
                  <w:r>
                    <w:rPr>
                      <w:rFonts w:hint="default"/>
                      <w:color w:val="auto"/>
                      <w:lang w:val="en-US" w:eastAsia="zh-CN"/>
                    </w:rPr>
                    <w:t>1</w:t>
                  </w:r>
                </w:p>
              </w:tc>
              <w:tc>
                <w:tcPr>
                  <w:tcW w:w="853" w:type="dxa"/>
                  <w:tcBorders>
                    <w:tl2br w:val="nil"/>
                    <w:tr2bl w:val="nil"/>
                  </w:tcBorders>
                  <w:shd w:val="clear" w:color="auto" w:fill="auto"/>
                  <w:noWrap/>
                  <w:vAlign w:val="center"/>
                </w:tcPr>
                <w:p w14:paraId="38E5E126">
                  <w:pPr>
                    <w:jc w:val="center"/>
                    <w:rPr>
                      <w:rFonts w:hint="default"/>
                      <w:color w:val="auto"/>
                    </w:rPr>
                  </w:pPr>
                  <w:r>
                    <w:rPr>
                      <w:rFonts w:hint="default"/>
                      <w:color w:val="auto"/>
                      <w:lang w:val="en-US" w:eastAsia="zh-CN"/>
                    </w:rPr>
                    <w:t>80.00</w:t>
                  </w:r>
                </w:p>
              </w:tc>
              <w:tc>
                <w:tcPr>
                  <w:tcW w:w="760" w:type="dxa"/>
                  <w:tcBorders>
                    <w:tl2br w:val="nil"/>
                    <w:tr2bl w:val="nil"/>
                  </w:tcBorders>
                  <w:shd w:val="clear" w:color="auto" w:fill="auto"/>
                  <w:noWrap/>
                  <w:vAlign w:val="center"/>
                </w:tcPr>
                <w:p w14:paraId="26B0EC1D">
                  <w:pPr>
                    <w:jc w:val="center"/>
                    <w:rPr>
                      <w:rFonts w:hint="default"/>
                      <w:color w:val="auto"/>
                    </w:rPr>
                  </w:pPr>
                  <w:r>
                    <w:rPr>
                      <w:rFonts w:hint="default"/>
                      <w:color w:val="auto"/>
                      <w:lang w:val="en-US" w:eastAsia="zh-CN"/>
                    </w:rPr>
                    <w:t>25.00</w:t>
                  </w:r>
                </w:p>
              </w:tc>
              <w:tc>
                <w:tcPr>
                  <w:tcW w:w="840" w:type="dxa"/>
                  <w:tcBorders>
                    <w:tl2br w:val="nil"/>
                    <w:tr2bl w:val="nil"/>
                  </w:tcBorders>
                  <w:shd w:val="clear" w:color="auto" w:fill="auto"/>
                  <w:vAlign w:val="center"/>
                </w:tcPr>
                <w:p w14:paraId="1E9E93BA">
                  <w:pPr>
                    <w:jc w:val="center"/>
                    <w:rPr>
                      <w:rFonts w:hint="default"/>
                      <w:color w:val="auto"/>
                    </w:rPr>
                  </w:pPr>
                  <w:r>
                    <w:rPr>
                      <w:rFonts w:hint="eastAsia"/>
                      <w:color w:val="auto"/>
                      <w:lang w:val="en-US" w:eastAsia="zh-CN"/>
                    </w:rPr>
                    <w:t>115</w:t>
                  </w:r>
                </w:p>
              </w:tc>
              <w:tc>
                <w:tcPr>
                  <w:tcW w:w="720" w:type="dxa"/>
                  <w:tcBorders>
                    <w:tl2br w:val="nil"/>
                    <w:tr2bl w:val="nil"/>
                  </w:tcBorders>
                  <w:shd w:val="clear" w:color="auto" w:fill="auto"/>
                  <w:noWrap/>
                  <w:vAlign w:val="bottom"/>
                </w:tcPr>
                <w:p w14:paraId="06B8F287">
                  <w:pPr>
                    <w:jc w:val="center"/>
                    <w:rPr>
                      <w:rFonts w:hint="default"/>
                      <w:color w:val="auto"/>
                      <w:lang w:val="en-US" w:eastAsia="zh-CN"/>
                    </w:rPr>
                  </w:pPr>
                  <w:r>
                    <w:rPr>
                      <w:rFonts w:hint="eastAsia"/>
                      <w:color w:val="auto"/>
                      <w:lang w:val="en-US" w:eastAsia="zh-CN"/>
                    </w:rPr>
                    <w:t>41.21</w:t>
                  </w:r>
                </w:p>
              </w:tc>
              <w:tc>
                <w:tcPr>
                  <w:tcW w:w="773" w:type="dxa"/>
                  <w:tcBorders>
                    <w:tl2br w:val="nil"/>
                    <w:tr2bl w:val="nil"/>
                  </w:tcBorders>
                  <w:shd w:val="clear" w:color="auto" w:fill="auto"/>
                  <w:noWrap/>
                  <w:vAlign w:val="bottom"/>
                </w:tcPr>
                <w:p w14:paraId="640FDED9">
                  <w:pPr>
                    <w:jc w:val="center"/>
                    <w:rPr>
                      <w:rFonts w:hint="default"/>
                      <w:color w:val="auto"/>
                      <w:lang w:val="en-US" w:eastAsia="zh-CN"/>
                    </w:rPr>
                  </w:pPr>
                  <w:r>
                    <w:rPr>
                      <w:rFonts w:hint="eastAsia"/>
                      <w:color w:val="auto"/>
                      <w:lang w:val="en-US" w:eastAsia="zh-CN"/>
                    </w:rPr>
                    <w:t>13.79</w:t>
                  </w:r>
                </w:p>
              </w:tc>
              <w:tc>
                <w:tcPr>
                  <w:tcW w:w="817" w:type="dxa"/>
                  <w:vMerge w:val="continue"/>
                  <w:tcBorders>
                    <w:tl2br w:val="nil"/>
                    <w:tr2bl w:val="nil"/>
                  </w:tcBorders>
                  <w:shd w:val="clear" w:color="auto" w:fill="auto"/>
                  <w:noWrap/>
                  <w:vAlign w:val="center"/>
                </w:tcPr>
                <w:p w14:paraId="123341AB">
                  <w:pPr>
                    <w:jc w:val="center"/>
                    <w:rPr>
                      <w:rFonts w:hint="default"/>
                      <w:color w:val="auto"/>
                    </w:rPr>
                  </w:pPr>
                </w:p>
              </w:tc>
            </w:tr>
            <w:tr w14:paraId="42DF81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6" w:type="dxa"/>
                  <w:vMerge w:val="continue"/>
                  <w:tcBorders>
                    <w:tl2br w:val="nil"/>
                    <w:tr2bl w:val="nil"/>
                  </w:tcBorders>
                  <w:shd w:val="clear" w:color="auto" w:fill="auto"/>
                  <w:noWrap/>
                  <w:vAlign w:val="center"/>
                </w:tcPr>
                <w:p w14:paraId="17133C37">
                  <w:pPr>
                    <w:jc w:val="center"/>
                    <w:rPr>
                      <w:rFonts w:hint="default"/>
                      <w:color w:val="auto"/>
                    </w:rPr>
                  </w:pPr>
                </w:p>
              </w:tc>
              <w:tc>
                <w:tcPr>
                  <w:tcW w:w="876" w:type="dxa"/>
                  <w:tcBorders>
                    <w:tl2br w:val="nil"/>
                    <w:tr2bl w:val="nil"/>
                  </w:tcBorders>
                  <w:shd w:val="clear" w:color="auto" w:fill="auto"/>
                  <w:vAlign w:val="center"/>
                </w:tcPr>
                <w:p w14:paraId="3BF9E8EE">
                  <w:pPr>
                    <w:jc w:val="center"/>
                    <w:rPr>
                      <w:rFonts w:hint="default"/>
                      <w:color w:val="auto"/>
                    </w:rPr>
                  </w:pPr>
                  <w:r>
                    <w:rPr>
                      <w:color w:val="auto"/>
                      <w:lang w:val="en-US" w:eastAsia="zh-CN"/>
                    </w:rPr>
                    <w:t>泥浆泵</w:t>
                  </w:r>
                </w:p>
              </w:tc>
              <w:tc>
                <w:tcPr>
                  <w:tcW w:w="755" w:type="dxa"/>
                  <w:tcBorders>
                    <w:tl2br w:val="nil"/>
                    <w:tr2bl w:val="nil"/>
                  </w:tcBorders>
                  <w:shd w:val="clear" w:color="auto" w:fill="auto"/>
                  <w:vAlign w:val="center"/>
                </w:tcPr>
                <w:p w14:paraId="00DEBFA4">
                  <w:pPr>
                    <w:jc w:val="center"/>
                    <w:rPr>
                      <w:rFonts w:hint="default"/>
                      <w:color w:val="auto"/>
                    </w:rPr>
                  </w:pPr>
                  <w:r>
                    <w:rPr>
                      <w:rFonts w:hint="default"/>
                      <w:color w:val="auto"/>
                      <w:lang w:val="en-US" w:eastAsia="zh-CN"/>
                    </w:rPr>
                    <w:t>90</w:t>
                  </w:r>
                </w:p>
              </w:tc>
              <w:tc>
                <w:tcPr>
                  <w:tcW w:w="627" w:type="dxa"/>
                  <w:tcBorders>
                    <w:tl2br w:val="nil"/>
                    <w:tr2bl w:val="nil"/>
                  </w:tcBorders>
                  <w:shd w:val="clear" w:color="auto" w:fill="auto"/>
                  <w:vAlign w:val="center"/>
                </w:tcPr>
                <w:p w14:paraId="6C27C65E">
                  <w:pPr>
                    <w:jc w:val="center"/>
                    <w:rPr>
                      <w:rFonts w:hint="default"/>
                      <w:color w:val="auto"/>
                    </w:rPr>
                  </w:pPr>
                  <w:r>
                    <w:rPr>
                      <w:rFonts w:hint="default"/>
                      <w:color w:val="auto"/>
                      <w:lang w:val="en-US" w:eastAsia="zh-CN"/>
                    </w:rPr>
                    <w:t>1</w:t>
                  </w:r>
                </w:p>
              </w:tc>
              <w:tc>
                <w:tcPr>
                  <w:tcW w:w="853" w:type="dxa"/>
                  <w:tcBorders>
                    <w:tl2br w:val="nil"/>
                    <w:tr2bl w:val="nil"/>
                  </w:tcBorders>
                  <w:shd w:val="clear" w:color="auto" w:fill="auto"/>
                  <w:noWrap/>
                  <w:vAlign w:val="center"/>
                </w:tcPr>
                <w:p w14:paraId="3EA4588E">
                  <w:pPr>
                    <w:jc w:val="center"/>
                    <w:rPr>
                      <w:rFonts w:hint="default"/>
                      <w:color w:val="auto"/>
                    </w:rPr>
                  </w:pPr>
                  <w:r>
                    <w:rPr>
                      <w:rFonts w:hint="default"/>
                      <w:color w:val="auto"/>
                      <w:lang w:val="en-US" w:eastAsia="zh-CN"/>
                    </w:rPr>
                    <w:t>90.00</w:t>
                  </w:r>
                </w:p>
              </w:tc>
              <w:tc>
                <w:tcPr>
                  <w:tcW w:w="760" w:type="dxa"/>
                  <w:tcBorders>
                    <w:tl2br w:val="nil"/>
                    <w:tr2bl w:val="nil"/>
                  </w:tcBorders>
                  <w:shd w:val="clear" w:color="auto" w:fill="auto"/>
                  <w:noWrap/>
                  <w:vAlign w:val="center"/>
                </w:tcPr>
                <w:p w14:paraId="5D4A7AE6">
                  <w:pPr>
                    <w:jc w:val="center"/>
                    <w:rPr>
                      <w:rFonts w:hint="default"/>
                      <w:color w:val="auto"/>
                    </w:rPr>
                  </w:pPr>
                  <w:r>
                    <w:rPr>
                      <w:rFonts w:hint="default"/>
                      <w:color w:val="auto"/>
                      <w:lang w:val="en-US" w:eastAsia="zh-CN"/>
                    </w:rPr>
                    <w:t>25.00</w:t>
                  </w:r>
                </w:p>
              </w:tc>
              <w:tc>
                <w:tcPr>
                  <w:tcW w:w="840" w:type="dxa"/>
                  <w:tcBorders>
                    <w:tl2br w:val="nil"/>
                    <w:tr2bl w:val="nil"/>
                  </w:tcBorders>
                  <w:shd w:val="clear" w:color="auto" w:fill="auto"/>
                  <w:vAlign w:val="center"/>
                </w:tcPr>
                <w:p w14:paraId="3AE6D4DC">
                  <w:pPr>
                    <w:jc w:val="center"/>
                    <w:rPr>
                      <w:rFonts w:hint="default"/>
                      <w:color w:val="auto"/>
                    </w:rPr>
                  </w:pPr>
                  <w:r>
                    <w:rPr>
                      <w:rFonts w:hint="eastAsia"/>
                      <w:color w:val="auto"/>
                      <w:lang w:val="en-US" w:eastAsia="zh-CN"/>
                    </w:rPr>
                    <w:t>114</w:t>
                  </w:r>
                </w:p>
              </w:tc>
              <w:tc>
                <w:tcPr>
                  <w:tcW w:w="720" w:type="dxa"/>
                  <w:tcBorders>
                    <w:tl2br w:val="nil"/>
                    <w:tr2bl w:val="nil"/>
                  </w:tcBorders>
                  <w:shd w:val="clear" w:color="auto" w:fill="auto"/>
                  <w:noWrap/>
                  <w:vAlign w:val="bottom"/>
                </w:tcPr>
                <w:p w14:paraId="12438CAA">
                  <w:pPr>
                    <w:jc w:val="center"/>
                    <w:rPr>
                      <w:rFonts w:hint="default"/>
                      <w:color w:val="auto"/>
                      <w:lang w:val="en-US" w:eastAsia="zh-CN"/>
                    </w:rPr>
                  </w:pPr>
                  <w:r>
                    <w:rPr>
                      <w:rFonts w:hint="eastAsia"/>
                      <w:color w:val="auto"/>
                      <w:lang w:val="en-US" w:eastAsia="zh-CN"/>
                    </w:rPr>
                    <w:t>41.14</w:t>
                  </w:r>
                </w:p>
              </w:tc>
              <w:tc>
                <w:tcPr>
                  <w:tcW w:w="773" w:type="dxa"/>
                  <w:tcBorders>
                    <w:tl2br w:val="nil"/>
                    <w:tr2bl w:val="nil"/>
                  </w:tcBorders>
                  <w:shd w:val="clear" w:color="auto" w:fill="auto"/>
                  <w:noWrap/>
                  <w:vAlign w:val="bottom"/>
                </w:tcPr>
                <w:p w14:paraId="625ED14C">
                  <w:pPr>
                    <w:jc w:val="center"/>
                    <w:rPr>
                      <w:rFonts w:hint="default"/>
                      <w:color w:val="auto"/>
                      <w:lang w:val="en-US" w:eastAsia="zh-CN"/>
                    </w:rPr>
                  </w:pPr>
                  <w:r>
                    <w:rPr>
                      <w:rFonts w:hint="eastAsia"/>
                      <w:color w:val="auto"/>
                      <w:lang w:val="en-US" w:eastAsia="zh-CN"/>
                    </w:rPr>
                    <w:t>23.86</w:t>
                  </w:r>
                </w:p>
              </w:tc>
              <w:tc>
                <w:tcPr>
                  <w:tcW w:w="817" w:type="dxa"/>
                  <w:vMerge w:val="continue"/>
                  <w:tcBorders>
                    <w:tl2br w:val="nil"/>
                    <w:tr2bl w:val="nil"/>
                  </w:tcBorders>
                  <w:shd w:val="clear" w:color="auto" w:fill="auto"/>
                  <w:noWrap/>
                  <w:vAlign w:val="center"/>
                </w:tcPr>
                <w:p w14:paraId="4690A78F">
                  <w:pPr>
                    <w:jc w:val="center"/>
                    <w:rPr>
                      <w:rFonts w:hint="default"/>
                      <w:color w:val="auto"/>
                    </w:rPr>
                  </w:pPr>
                </w:p>
              </w:tc>
            </w:tr>
            <w:tr w14:paraId="3BF30F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6" w:type="dxa"/>
                  <w:vMerge w:val="continue"/>
                  <w:tcBorders>
                    <w:tl2br w:val="nil"/>
                    <w:tr2bl w:val="nil"/>
                  </w:tcBorders>
                  <w:shd w:val="clear" w:color="auto" w:fill="auto"/>
                  <w:noWrap/>
                  <w:vAlign w:val="center"/>
                </w:tcPr>
                <w:p w14:paraId="4A0521BD">
                  <w:pPr>
                    <w:jc w:val="center"/>
                    <w:rPr>
                      <w:rFonts w:hint="default"/>
                      <w:color w:val="auto"/>
                    </w:rPr>
                  </w:pPr>
                </w:p>
              </w:tc>
              <w:tc>
                <w:tcPr>
                  <w:tcW w:w="876" w:type="dxa"/>
                  <w:tcBorders>
                    <w:tl2br w:val="nil"/>
                    <w:tr2bl w:val="nil"/>
                  </w:tcBorders>
                  <w:shd w:val="clear" w:color="auto" w:fill="auto"/>
                  <w:vAlign w:val="center"/>
                </w:tcPr>
                <w:p w14:paraId="7005C94C">
                  <w:pPr>
                    <w:jc w:val="center"/>
                    <w:rPr>
                      <w:rFonts w:hint="default"/>
                      <w:color w:val="auto"/>
                    </w:rPr>
                  </w:pPr>
                  <w:r>
                    <w:rPr>
                      <w:color w:val="auto"/>
                      <w:lang w:val="en-US" w:eastAsia="zh-CN"/>
                    </w:rPr>
                    <w:t>柴油发电机</w:t>
                  </w:r>
                </w:p>
              </w:tc>
              <w:tc>
                <w:tcPr>
                  <w:tcW w:w="755" w:type="dxa"/>
                  <w:tcBorders>
                    <w:tl2br w:val="nil"/>
                    <w:tr2bl w:val="nil"/>
                  </w:tcBorders>
                  <w:shd w:val="clear" w:color="auto" w:fill="auto"/>
                  <w:vAlign w:val="center"/>
                </w:tcPr>
                <w:p w14:paraId="0A634320">
                  <w:pPr>
                    <w:jc w:val="center"/>
                    <w:rPr>
                      <w:rFonts w:hint="default"/>
                      <w:color w:val="auto"/>
                    </w:rPr>
                  </w:pPr>
                  <w:r>
                    <w:rPr>
                      <w:rFonts w:hint="default"/>
                      <w:color w:val="auto"/>
                      <w:lang w:val="en-US" w:eastAsia="zh-CN"/>
                    </w:rPr>
                    <w:t>100</w:t>
                  </w:r>
                </w:p>
              </w:tc>
              <w:tc>
                <w:tcPr>
                  <w:tcW w:w="627" w:type="dxa"/>
                  <w:tcBorders>
                    <w:tl2br w:val="nil"/>
                    <w:tr2bl w:val="nil"/>
                  </w:tcBorders>
                  <w:shd w:val="clear" w:color="auto" w:fill="auto"/>
                  <w:vAlign w:val="center"/>
                </w:tcPr>
                <w:p w14:paraId="4FF7542F">
                  <w:pPr>
                    <w:jc w:val="center"/>
                    <w:rPr>
                      <w:rFonts w:hint="default"/>
                      <w:color w:val="auto"/>
                    </w:rPr>
                  </w:pPr>
                  <w:r>
                    <w:rPr>
                      <w:rFonts w:hint="default"/>
                      <w:color w:val="auto"/>
                      <w:lang w:val="en-US" w:eastAsia="zh-CN"/>
                    </w:rPr>
                    <w:t>1</w:t>
                  </w:r>
                </w:p>
              </w:tc>
              <w:tc>
                <w:tcPr>
                  <w:tcW w:w="853" w:type="dxa"/>
                  <w:tcBorders>
                    <w:tl2br w:val="nil"/>
                    <w:tr2bl w:val="nil"/>
                  </w:tcBorders>
                  <w:shd w:val="clear" w:color="auto" w:fill="auto"/>
                  <w:noWrap/>
                  <w:vAlign w:val="center"/>
                </w:tcPr>
                <w:p w14:paraId="53E322AF">
                  <w:pPr>
                    <w:jc w:val="center"/>
                    <w:rPr>
                      <w:rFonts w:hint="default"/>
                      <w:color w:val="auto"/>
                    </w:rPr>
                  </w:pPr>
                  <w:r>
                    <w:rPr>
                      <w:rFonts w:hint="default"/>
                      <w:color w:val="auto"/>
                      <w:lang w:val="en-US" w:eastAsia="zh-CN"/>
                    </w:rPr>
                    <w:t>100.00</w:t>
                  </w:r>
                </w:p>
              </w:tc>
              <w:tc>
                <w:tcPr>
                  <w:tcW w:w="760" w:type="dxa"/>
                  <w:tcBorders>
                    <w:tl2br w:val="nil"/>
                    <w:tr2bl w:val="nil"/>
                  </w:tcBorders>
                  <w:shd w:val="clear" w:color="auto" w:fill="auto"/>
                  <w:noWrap/>
                  <w:vAlign w:val="center"/>
                </w:tcPr>
                <w:p w14:paraId="0177FA25">
                  <w:pPr>
                    <w:jc w:val="center"/>
                    <w:rPr>
                      <w:rFonts w:hint="default"/>
                      <w:color w:val="auto"/>
                    </w:rPr>
                  </w:pPr>
                  <w:r>
                    <w:rPr>
                      <w:rFonts w:hint="default"/>
                      <w:color w:val="auto"/>
                      <w:lang w:val="en-US" w:eastAsia="zh-CN"/>
                    </w:rPr>
                    <w:t>25.00</w:t>
                  </w:r>
                </w:p>
              </w:tc>
              <w:tc>
                <w:tcPr>
                  <w:tcW w:w="840" w:type="dxa"/>
                  <w:tcBorders>
                    <w:tl2br w:val="nil"/>
                    <w:tr2bl w:val="nil"/>
                  </w:tcBorders>
                  <w:shd w:val="clear" w:color="auto" w:fill="auto"/>
                  <w:vAlign w:val="center"/>
                </w:tcPr>
                <w:p w14:paraId="74A34B3B">
                  <w:pPr>
                    <w:jc w:val="center"/>
                    <w:rPr>
                      <w:rFonts w:hint="default"/>
                      <w:color w:val="auto"/>
                      <w:lang w:val="en-US"/>
                    </w:rPr>
                  </w:pPr>
                  <w:r>
                    <w:rPr>
                      <w:rFonts w:hint="eastAsia"/>
                      <w:color w:val="auto"/>
                      <w:lang w:val="en-US" w:eastAsia="zh-CN"/>
                    </w:rPr>
                    <w:t>120</w:t>
                  </w:r>
                </w:p>
              </w:tc>
              <w:tc>
                <w:tcPr>
                  <w:tcW w:w="720" w:type="dxa"/>
                  <w:tcBorders>
                    <w:tl2br w:val="nil"/>
                    <w:tr2bl w:val="nil"/>
                  </w:tcBorders>
                  <w:shd w:val="clear" w:color="auto" w:fill="auto"/>
                  <w:noWrap/>
                  <w:vAlign w:val="bottom"/>
                </w:tcPr>
                <w:p w14:paraId="651C230A">
                  <w:pPr>
                    <w:jc w:val="center"/>
                    <w:rPr>
                      <w:rFonts w:hint="default"/>
                      <w:color w:val="auto"/>
                      <w:lang w:val="en-US" w:eastAsia="zh-CN"/>
                    </w:rPr>
                  </w:pPr>
                  <w:r>
                    <w:rPr>
                      <w:rFonts w:hint="eastAsia"/>
                      <w:color w:val="auto"/>
                      <w:lang w:val="en-US" w:eastAsia="zh-CN"/>
                    </w:rPr>
                    <w:t>41.58</w:t>
                  </w:r>
                </w:p>
              </w:tc>
              <w:tc>
                <w:tcPr>
                  <w:tcW w:w="773" w:type="dxa"/>
                  <w:tcBorders>
                    <w:tl2br w:val="nil"/>
                    <w:tr2bl w:val="nil"/>
                  </w:tcBorders>
                  <w:shd w:val="clear" w:color="auto" w:fill="auto"/>
                  <w:noWrap/>
                  <w:vAlign w:val="bottom"/>
                </w:tcPr>
                <w:p w14:paraId="53DEC07A">
                  <w:pPr>
                    <w:jc w:val="center"/>
                    <w:rPr>
                      <w:rFonts w:hint="default"/>
                      <w:color w:val="auto"/>
                      <w:lang w:val="en-US" w:eastAsia="zh-CN"/>
                    </w:rPr>
                  </w:pPr>
                  <w:r>
                    <w:rPr>
                      <w:rFonts w:hint="eastAsia"/>
                      <w:color w:val="auto"/>
                      <w:lang w:val="en-US" w:eastAsia="zh-CN"/>
                    </w:rPr>
                    <w:t>33.42</w:t>
                  </w:r>
                </w:p>
              </w:tc>
              <w:tc>
                <w:tcPr>
                  <w:tcW w:w="817" w:type="dxa"/>
                  <w:vMerge w:val="continue"/>
                  <w:tcBorders>
                    <w:tl2br w:val="nil"/>
                    <w:tr2bl w:val="nil"/>
                  </w:tcBorders>
                  <w:shd w:val="clear" w:color="auto" w:fill="auto"/>
                  <w:noWrap/>
                  <w:vAlign w:val="center"/>
                </w:tcPr>
                <w:p w14:paraId="18B3EBF7">
                  <w:pPr>
                    <w:jc w:val="center"/>
                    <w:rPr>
                      <w:rFonts w:hint="default"/>
                      <w:color w:val="auto"/>
                    </w:rPr>
                  </w:pPr>
                </w:p>
              </w:tc>
            </w:tr>
            <w:tr w14:paraId="3F5F75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6" w:type="dxa"/>
                  <w:vMerge w:val="continue"/>
                  <w:tcBorders>
                    <w:tl2br w:val="nil"/>
                    <w:tr2bl w:val="nil"/>
                  </w:tcBorders>
                  <w:shd w:val="clear" w:color="auto" w:fill="auto"/>
                  <w:noWrap/>
                  <w:vAlign w:val="center"/>
                </w:tcPr>
                <w:p w14:paraId="6C4AD1D9">
                  <w:pPr>
                    <w:jc w:val="center"/>
                    <w:rPr>
                      <w:rFonts w:hint="default"/>
                      <w:color w:val="auto"/>
                    </w:rPr>
                  </w:pPr>
                </w:p>
              </w:tc>
              <w:tc>
                <w:tcPr>
                  <w:tcW w:w="876" w:type="dxa"/>
                  <w:tcBorders>
                    <w:tl2br w:val="nil"/>
                    <w:tr2bl w:val="nil"/>
                  </w:tcBorders>
                  <w:shd w:val="clear" w:color="auto" w:fill="auto"/>
                  <w:vAlign w:val="center"/>
                </w:tcPr>
                <w:p w14:paraId="1E628D29">
                  <w:pPr>
                    <w:jc w:val="center"/>
                    <w:rPr>
                      <w:rFonts w:hint="default"/>
                      <w:color w:val="auto"/>
                    </w:rPr>
                  </w:pPr>
                  <w:r>
                    <w:rPr>
                      <w:color w:val="auto"/>
                      <w:lang w:val="en-US" w:eastAsia="zh-CN"/>
                    </w:rPr>
                    <w:t>修井机</w:t>
                  </w:r>
                </w:p>
              </w:tc>
              <w:tc>
                <w:tcPr>
                  <w:tcW w:w="755" w:type="dxa"/>
                  <w:tcBorders>
                    <w:tl2br w:val="nil"/>
                    <w:tr2bl w:val="nil"/>
                  </w:tcBorders>
                  <w:shd w:val="clear" w:color="auto" w:fill="auto"/>
                  <w:vAlign w:val="center"/>
                </w:tcPr>
                <w:p w14:paraId="335880A7">
                  <w:pPr>
                    <w:jc w:val="center"/>
                    <w:rPr>
                      <w:rFonts w:hint="default"/>
                      <w:color w:val="auto"/>
                    </w:rPr>
                  </w:pPr>
                  <w:r>
                    <w:rPr>
                      <w:rFonts w:hint="default"/>
                      <w:color w:val="auto"/>
                      <w:lang w:val="en-US" w:eastAsia="zh-CN"/>
                    </w:rPr>
                    <w:t>90</w:t>
                  </w:r>
                </w:p>
              </w:tc>
              <w:tc>
                <w:tcPr>
                  <w:tcW w:w="627" w:type="dxa"/>
                  <w:tcBorders>
                    <w:tl2br w:val="nil"/>
                    <w:tr2bl w:val="nil"/>
                  </w:tcBorders>
                  <w:shd w:val="clear" w:color="auto" w:fill="auto"/>
                  <w:vAlign w:val="center"/>
                </w:tcPr>
                <w:p w14:paraId="339371F1">
                  <w:pPr>
                    <w:jc w:val="center"/>
                    <w:rPr>
                      <w:rFonts w:hint="default"/>
                      <w:color w:val="auto"/>
                    </w:rPr>
                  </w:pPr>
                  <w:r>
                    <w:rPr>
                      <w:rFonts w:hint="default"/>
                      <w:color w:val="auto"/>
                      <w:lang w:val="en-US" w:eastAsia="zh-CN"/>
                    </w:rPr>
                    <w:t>1</w:t>
                  </w:r>
                </w:p>
              </w:tc>
              <w:tc>
                <w:tcPr>
                  <w:tcW w:w="853" w:type="dxa"/>
                  <w:tcBorders>
                    <w:tl2br w:val="nil"/>
                    <w:tr2bl w:val="nil"/>
                  </w:tcBorders>
                  <w:shd w:val="clear" w:color="auto" w:fill="auto"/>
                  <w:noWrap/>
                  <w:vAlign w:val="center"/>
                </w:tcPr>
                <w:p w14:paraId="6207E95D">
                  <w:pPr>
                    <w:jc w:val="center"/>
                    <w:rPr>
                      <w:rFonts w:hint="default"/>
                      <w:color w:val="auto"/>
                    </w:rPr>
                  </w:pPr>
                  <w:r>
                    <w:rPr>
                      <w:rFonts w:hint="default"/>
                      <w:color w:val="auto"/>
                      <w:lang w:val="en-US" w:eastAsia="zh-CN"/>
                    </w:rPr>
                    <w:t>90.00</w:t>
                  </w:r>
                </w:p>
              </w:tc>
              <w:tc>
                <w:tcPr>
                  <w:tcW w:w="760" w:type="dxa"/>
                  <w:tcBorders>
                    <w:tl2br w:val="nil"/>
                    <w:tr2bl w:val="nil"/>
                  </w:tcBorders>
                  <w:shd w:val="clear" w:color="auto" w:fill="auto"/>
                  <w:noWrap/>
                  <w:vAlign w:val="center"/>
                </w:tcPr>
                <w:p w14:paraId="0FB9B570">
                  <w:pPr>
                    <w:jc w:val="center"/>
                    <w:rPr>
                      <w:rFonts w:hint="default"/>
                      <w:color w:val="auto"/>
                    </w:rPr>
                  </w:pPr>
                  <w:r>
                    <w:rPr>
                      <w:rFonts w:hint="default"/>
                      <w:color w:val="auto"/>
                      <w:lang w:val="en-US" w:eastAsia="zh-CN"/>
                    </w:rPr>
                    <w:t>25.00</w:t>
                  </w:r>
                </w:p>
              </w:tc>
              <w:tc>
                <w:tcPr>
                  <w:tcW w:w="840" w:type="dxa"/>
                  <w:tcBorders>
                    <w:tl2br w:val="nil"/>
                    <w:tr2bl w:val="nil"/>
                  </w:tcBorders>
                  <w:shd w:val="clear" w:color="auto" w:fill="auto"/>
                  <w:vAlign w:val="center"/>
                </w:tcPr>
                <w:p w14:paraId="536967A5">
                  <w:pPr>
                    <w:jc w:val="center"/>
                    <w:rPr>
                      <w:rFonts w:hint="default"/>
                      <w:color w:val="auto"/>
                      <w:lang w:val="en-US"/>
                    </w:rPr>
                  </w:pPr>
                  <w:r>
                    <w:rPr>
                      <w:rFonts w:hint="eastAsia"/>
                      <w:color w:val="auto"/>
                      <w:lang w:val="en-US" w:eastAsia="zh-CN"/>
                    </w:rPr>
                    <w:t>130</w:t>
                  </w:r>
                </w:p>
              </w:tc>
              <w:tc>
                <w:tcPr>
                  <w:tcW w:w="720" w:type="dxa"/>
                  <w:tcBorders>
                    <w:tl2br w:val="nil"/>
                    <w:tr2bl w:val="nil"/>
                  </w:tcBorders>
                  <w:shd w:val="clear" w:color="auto" w:fill="auto"/>
                  <w:noWrap/>
                  <w:vAlign w:val="bottom"/>
                </w:tcPr>
                <w:p w14:paraId="68E610FE">
                  <w:pPr>
                    <w:jc w:val="center"/>
                    <w:rPr>
                      <w:rFonts w:hint="default"/>
                      <w:color w:val="auto"/>
                      <w:lang w:val="en-US" w:eastAsia="zh-CN"/>
                    </w:rPr>
                  </w:pPr>
                  <w:r>
                    <w:rPr>
                      <w:rFonts w:hint="eastAsia"/>
                      <w:color w:val="auto"/>
                      <w:lang w:val="en-US" w:eastAsia="zh-CN"/>
                    </w:rPr>
                    <w:t>42.28</w:t>
                  </w:r>
                </w:p>
              </w:tc>
              <w:tc>
                <w:tcPr>
                  <w:tcW w:w="773" w:type="dxa"/>
                  <w:tcBorders>
                    <w:tl2br w:val="nil"/>
                    <w:tr2bl w:val="nil"/>
                  </w:tcBorders>
                  <w:shd w:val="clear" w:color="auto" w:fill="auto"/>
                  <w:noWrap/>
                  <w:vAlign w:val="bottom"/>
                </w:tcPr>
                <w:p w14:paraId="5877E13D">
                  <w:pPr>
                    <w:jc w:val="center"/>
                    <w:rPr>
                      <w:rFonts w:hint="default"/>
                      <w:color w:val="auto"/>
                      <w:lang w:val="en-US" w:eastAsia="zh-CN"/>
                    </w:rPr>
                  </w:pPr>
                  <w:r>
                    <w:rPr>
                      <w:rFonts w:hint="eastAsia"/>
                      <w:color w:val="auto"/>
                      <w:lang w:val="en-US" w:eastAsia="zh-CN"/>
                    </w:rPr>
                    <w:t>22.72</w:t>
                  </w:r>
                </w:p>
              </w:tc>
              <w:tc>
                <w:tcPr>
                  <w:tcW w:w="817" w:type="dxa"/>
                  <w:vMerge w:val="continue"/>
                  <w:tcBorders>
                    <w:tl2br w:val="nil"/>
                    <w:tr2bl w:val="nil"/>
                  </w:tcBorders>
                  <w:shd w:val="clear" w:color="auto" w:fill="auto"/>
                  <w:noWrap/>
                  <w:vAlign w:val="center"/>
                </w:tcPr>
                <w:p w14:paraId="386CA97F">
                  <w:pPr>
                    <w:jc w:val="center"/>
                    <w:rPr>
                      <w:rFonts w:hint="default"/>
                      <w:color w:val="auto"/>
                    </w:rPr>
                  </w:pPr>
                </w:p>
              </w:tc>
            </w:tr>
            <w:tr w14:paraId="35C3A2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6" w:type="dxa"/>
                  <w:vMerge w:val="continue"/>
                  <w:tcBorders>
                    <w:tl2br w:val="nil"/>
                    <w:tr2bl w:val="nil"/>
                  </w:tcBorders>
                  <w:shd w:val="clear" w:color="auto" w:fill="auto"/>
                  <w:noWrap/>
                  <w:vAlign w:val="center"/>
                </w:tcPr>
                <w:p w14:paraId="020AF7F5">
                  <w:pPr>
                    <w:jc w:val="center"/>
                    <w:rPr>
                      <w:rFonts w:hint="default"/>
                      <w:color w:val="auto"/>
                    </w:rPr>
                  </w:pPr>
                </w:p>
              </w:tc>
              <w:tc>
                <w:tcPr>
                  <w:tcW w:w="876" w:type="dxa"/>
                  <w:tcBorders>
                    <w:tl2br w:val="nil"/>
                    <w:tr2bl w:val="nil"/>
                  </w:tcBorders>
                  <w:shd w:val="clear" w:color="auto" w:fill="auto"/>
                  <w:vAlign w:val="center"/>
                </w:tcPr>
                <w:p w14:paraId="57C60292">
                  <w:pPr>
                    <w:jc w:val="center"/>
                    <w:rPr>
                      <w:rFonts w:hint="default"/>
                      <w:color w:val="auto"/>
                    </w:rPr>
                  </w:pPr>
                  <w:r>
                    <w:rPr>
                      <w:color w:val="auto"/>
                      <w:lang w:val="en-US" w:eastAsia="zh-CN"/>
                    </w:rPr>
                    <w:t>混砂车</w:t>
                  </w:r>
                </w:p>
              </w:tc>
              <w:tc>
                <w:tcPr>
                  <w:tcW w:w="755" w:type="dxa"/>
                  <w:tcBorders>
                    <w:tl2br w:val="nil"/>
                    <w:tr2bl w:val="nil"/>
                  </w:tcBorders>
                  <w:shd w:val="clear" w:color="auto" w:fill="auto"/>
                  <w:vAlign w:val="center"/>
                </w:tcPr>
                <w:p w14:paraId="7BD17CBA">
                  <w:pPr>
                    <w:jc w:val="center"/>
                    <w:rPr>
                      <w:rFonts w:hint="default"/>
                      <w:color w:val="auto"/>
                    </w:rPr>
                  </w:pPr>
                  <w:r>
                    <w:rPr>
                      <w:rFonts w:hint="default"/>
                      <w:color w:val="auto"/>
                      <w:lang w:val="en-US" w:eastAsia="zh-CN"/>
                    </w:rPr>
                    <w:t>90</w:t>
                  </w:r>
                </w:p>
              </w:tc>
              <w:tc>
                <w:tcPr>
                  <w:tcW w:w="627" w:type="dxa"/>
                  <w:tcBorders>
                    <w:tl2br w:val="nil"/>
                    <w:tr2bl w:val="nil"/>
                  </w:tcBorders>
                  <w:shd w:val="clear" w:color="auto" w:fill="auto"/>
                  <w:vAlign w:val="center"/>
                </w:tcPr>
                <w:p w14:paraId="3ACEF3EA">
                  <w:pPr>
                    <w:jc w:val="center"/>
                    <w:rPr>
                      <w:rFonts w:hint="default"/>
                      <w:color w:val="auto"/>
                    </w:rPr>
                  </w:pPr>
                  <w:r>
                    <w:rPr>
                      <w:rFonts w:hint="default"/>
                      <w:color w:val="auto"/>
                      <w:lang w:val="en-US" w:eastAsia="zh-CN"/>
                    </w:rPr>
                    <w:t>1</w:t>
                  </w:r>
                </w:p>
              </w:tc>
              <w:tc>
                <w:tcPr>
                  <w:tcW w:w="853" w:type="dxa"/>
                  <w:tcBorders>
                    <w:tl2br w:val="nil"/>
                    <w:tr2bl w:val="nil"/>
                  </w:tcBorders>
                  <w:shd w:val="clear" w:color="auto" w:fill="auto"/>
                  <w:noWrap/>
                  <w:vAlign w:val="center"/>
                </w:tcPr>
                <w:p w14:paraId="7476DD5B">
                  <w:pPr>
                    <w:jc w:val="center"/>
                    <w:rPr>
                      <w:rFonts w:hint="default"/>
                      <w:color w:val="auto"/>
                    </w:rPr>
                  </w:pPr>
                  <w:r>
                    <w:rPr>
                      <w:rFonts w:hint="default"/>
                      <w:color w:val="auto"/>
                      <w:lang w:val="en-US" w:eastAsia="zh-CN"/>
                    </w:rPr>
                    <w:t>90.00</w:t>
                  </w:r>
                </w:p>
              </w:tc>
              <w:tc>
                <w:tcPr>
                  <w:tcW w:w="760" w:type="dxa"/>
                  <w:tcBorders>
                    <w:tl2br w:val="nil"/>
                    <w:tr2bl w:val="nil"/>
                  </w:tcBorders>
                  <w:shd w:val="clear" w:color="auto" w:fill="auto"/>
                  <w:noWrap/>
                  <w:vAlign w:val="center"/>
                </w:tcPr>
                <w:p w14:paraId="5A3AFCB3">
                  <w:pPr>
                    <w:jc w:val="center"/>
                    <w:rPr>
                      <w:rFonts w:hint="default"/>
                      <w:color w:val="auto"/>
                    </w:rPr>
                  </w:pPr>
                  <w:r>
                    <w:rPr>
                      <w:rFonts w:hint="default"/>
                      <w:color w:val="auto"/>
                      <w:lang w:val="en-US" w:eastAsia="zh-CN"/>
                    </w:rPr>
                    <w:t>25.00</w:t>
                  </w:r>
                </w:p>
              </w:tc>
              <w:tc>
                <w:tcPr>
                  <w:tcW w:w="840" w:type="dxa"/>
                  <w:tcBorders>
                    <w:tl2br w:val="nil"/>
                    <w:tr2bl w:val="nil"/>
                  </w:tcBorders>
                  <w:shd w:val="clear" w:color="auto" w:fill="auto"/>
                  <w:vAlign w:val="center"/>
                </w:tcPr>
                <w:p w14:paraId="1D6B58E8">
                  <w:pPr>
                    <w:jc w:val="center"/>
                    <w:rPr>
                      <w:rFonts w:hint="default"/>
                      <w:color w:val="auto"/>
                      <w:lang w:val="en-US"/>
                    </w:rPr>
                  </w:pPr>
                  <w:r>
                    <w:rPr>
                      <w:rFonts w:hint="eastAsia"/>
                      <w:color w:val="auto"/>
                      <w:lang w:val="en-US" w:eastAsia="zh-CN"/>
                    </w:rPr>
                    <w:t>123</w:t>
                  </w:r>
                </w:p>
              </w:tc>
              <w:tc>
                <w:tcPr>
                  <w:tcW w:w="720" w:type="dxa"/>
                  <w:tcBorders>
                    <w:tl2br w:val="nil"/>
                    <w:tr2bl w:val="nil"/>
                  </w:tcBorders>
                  <w:shd w:val="clear" w:color="auto" w:fill="auto"/>
                  <w:noWrap/>
                  <w:vAlign w:val="bottom"/>
                </w:tcPr>
                <w:p w14:paraId="57A68255">
                  <w:pPr>
                    <w:jc w:val="center"/>
                    <w:rPr>
                      <w:rFonts w:hint="default"/>
                      <w:color w:val="auto"/>
                      <w:lang w:val="en-US" w:eastAsia="zh-CN"/>
                    </w:rPr>
                  </w:pPr>
                  <w:r>
                    <w:rPr>
                      <w:rFonts w:hint="eastAsia"/>
                      <w:color w:val="auto"/>
                      <w:lang w:val="en-US" w:eastAsia="zh-CN"/>
                    </w:rPr>
                    <w:t>41.80</w:t>
                  </w:r>
                </w:p>
              </w:tc>
              <w:tc>
                <w:tcPr>
                  <w:tcW w:w="773" w:type="dxa"/>
                  <w:tcBorders>
                    <w:tl2br w:val="nil"/>
                    <w:tr2bl w:val="nil"/>
                  </w:tcBorders>
                  <w:shd w:val="clear" w:color="auto" w:fill="auto"/>
                  <w:noWrap/>
                  <w:vAlign w:val="bottom"/>
                </w:tcPr>
                <w:p w14:paraId="2881BE61">
                  <w:pPr>
                    <w:jc w:val="center"/>
                    <w:rPr>
                      <w:rFonts w:hint="default"/>
                      <w:color w:val="auto"/>
                      <w:lang w:val="en-US" w:eastAsia="zh-CN"/>
                    </w:rPr>
                  </w:pPr>
                  <w:r>
                    <w:rPr>
                      <w:rFonts w:hint="eastAsia"/>
                      <w:color w:val="auto"/>
                      <w:lang w:val="en-US" w:eastAsia="zh-CN"/>
                    </w:rPr>
                    <w:t>23.20</w:t>
                  </w:r>
                </w:p>
              </w:tc>
              <w:tc>
                <w:tcPr>
                  <w:tcW w:w="817" w:type="dxa"/>
                  <w:vMerge w:val="continue"/>
                  <w:tcBorders>
                    <w:tl2br w:val="nil"/>
                    <w:tr2bl w:val="nil"/>
                  </w:tcBorders>
                  <w:shd w:val="clear" w:color="auto" w:fill="auto"/>
                  <w:noWrap/>
                  <w:vAlign w:val="center"/>
                </w:tcPr>
                <w:p w14:paraId="2E926FE9">
                  <w:pPr>
                    <w:jc w:val="center"/>
                    <w:rPr>
                      <w:rFonts w:hint="default"/>
                      <w:color w:val="auto"/>
                    </w:rPr>
                  </w:pPr>
                </w:p>
              </w:tc>
            </w:tr>
            <w:tr w14:paraId="5E56CA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36" w:type="dxa"/>
                  <w:vMerge w:val="continue"/>
                  <w:tcBorders>
                    <w:tl2br w:val="nil"/>
                    <w:tr2bl w:val="nil"/>
                  </w:tcBorders>
                  <w:shd w:val="clear" w:color="auto" w:fill="auto"/>
                  <w:noWrap/>
                  <w:vAlign w:val="center"/>
                </w:tcPr>
                <w:p w14:paraId="753292B6">
                  <w:pPr>
                    <w:jc w:val="center"/>
                    <w:rPr>
                      <w:rFonts w:hint="default"/>
                      <w:color w:val="auto"/>
                    </w:rPr>
                  </w:pPr>
                </w:p>
              </w:tc>
              <w:tc>
                <w:tcPr>
                  <w:tcW w:w="876" w:type="dxa"/>
                  <w:tcBorders>
                    <w:tl2br w:val="nil"/>
                    <w:tr2bl w:val="nil"/>
                  </w:tcBorders>
                  <w:shd w:val="clear" w:color="auto" w:fill="auto"/>
                  <w:vAlign w:val="center"/>
                </w:tcPr>
                <w:p w14:paraId="3D6F29A9">
                  <w:pPr>
                    <w:jc w:val="center"/>
                    <w:rPr>
                      <w:rFonts w:hint="default"/>
                      <w:color w:val="auto"/>
                    </w:rPr>
                  </w:pPr>
                  <w:r>
                    <w:rPr>
                      <w:color w:val="auto"/>
                      <w:lang w:val="en-US" w:eastAsia="zh-CN"/>
                    </w:rPr>
                    <w:t>管汇车</w:t>
                  </w:r>
                </w:p>
              </w:tc>
              <w:tc>
                <w:tcPr>
                  <w:tcW w:w="755" w:type="dxa"/>
                  <w:tcBorders>
                    <w:tl2br w:val="nil"/>
                    <w:tr2bl w:val="nil"/>
                  </w:tcBorders>
                  <w:shd w:val="clear" w:color="auto" w:fill="auto"/>
                  <w:vAlign w:val="center"/>
                </w:tcPr>
                <w:p w14:paraId="724E8656">
                  <w:pPr>
                    <w:jc w:val="center"/>
                    <w:rPr>
                      <w:rFonts w:hint="default"/>
                      <w:color w:val="auto"/>
                    </w:rPr>
                  </w:pPr>
                  <w:r>
                    <w:rPr>
                      <w:rFonts w:hint="default"/>
                      <w:color w:val="auto"/>
                      <w:lang w:val="en-US" w:eastAsia="zh-CN"/>
                    </w:rPr>
                    <w:t>90</w:t>
                  </w:r>
                </w:p>
              </w:tc>
              <w:tc>
                <w:tcPr>
                  <w:tcW w:w="627" w:type="dxa"/>
                  <w:tcBorders>
                    <w:tl2br w:val="nil"/>
                    <w:tr2bl w:val="nil"/>
                  </w:tcBorders>
                  <w:shd w:val="clear" w:color="auto" w:fill="auto"/>
                  <w:vAlign w:val="center"/>
                </w:tcPr>
                <w:p w14:paraId="7F472655">
                  <w:pPr>
                    <w:jc w:val="center"/>
                    <w:rPr>
                      <w:rFonts w:hint="default"/>
                      <w:color w:val="auto"/>
                    </w:rPr>
                  </w:pPr>
                  <w:r>
                    <w:rPr>
                      <w:rFonts w:hint="default"/>
                      <w:color w:val="auto"/>
                      <w:lang w:val="en-US" w:eastAsia="zh-CN"/>
                    </w:rPr>
                    <w:t>1</w:t>
                  </w:r>
                </w:p>
              </w:tc>
              <w:tc>
                <w:tcPr>
                  <w:tcW w:w="853" w:type="dxa"/>
                  <w:tcBorders>
                    <w:tl2br w:val="nil"/>
                    <w:tr2bl w:val="nil"/>
                  </w:tcBorders>
                  <w:shd w:val="clear" w:color="auto" w:fill="auto"/>
                  <w:noWrap/>
                  <w:vAlign w:val="center"/>
                </w:tcPr>
                <w:p w14:paraId="0EB015F9">
                  <w:pPr>
                    <w:jc w:val="center"/>
                    <w:rPr>
                      <w:rFonts w:hint="default"/>
                      <w:color w:val="auto"/>
                    </w:rPr>
                  </w:pPr>
                  <w:r>
                    <w:rPr>
                      <w:rFonts w:hint="default"/>
                      <w:color w:val="auto"/>
                      <w:lang w:val="en-US" w:eastAsia="zh-CN"/>
                    </w:rPr>
                    <w:t>90.00</w:t>
                  </w:r>
                </w:p>
              </w:tc>
              <w:tc>
                <w:tcPr>
                  <w:tcW w:w="760" w:type="dxa"/>
                  <w:tcBorders>
                    <w:tl2br w:val="nil"/>
                    <w:tr2bl w:val="nil"/>
                  </w:tcBorders>
                  <w:shd w:val="clear" w:color="auto" w:fill="auto"/>
                  <w:noWrap/>
                  <w:vAlign w:val="center"/>
                </w:tcPr>
                <w:p w14:paraId="69ED7DEA">
                  <w:pPr>
                    <w:jc w:val="center"/>
                    <w:rPr>
                      <w:rFonts w:hint="default"/>
                      <w:color w:val="auto"/>
                    </w:rPr>
                  </w:pPr>
                  <w:r>
                    <w:rPr>
                      <w:rFonts w:hint="default"/>
                      <w:color w:val="auto"/>
                      <w:lang w:val="en-US" w:eastAsia="zh-CN"/>
                    </w:rPr>
                    <w:t>25.00</w:t>
                  </w:r>
                </w:p>
              </w:tc>
              <w:tc>
                <w:tcPr>
                  <w:tcW w:w="840" w:type="dxa"/>
                  <w:tcBorders>
                    <w:tl2br w:val="nil"/>
                    <w:tr2bl w:val="nil"/>
                  </w:tcBorders>
                  <w:shd w:val="clear" w:color="auto" w:fill="auto"/>
                  <w:vAlign w:val="center"/>
                </w:tcPr>
                <w:p w14:paraId="0A78DBDA">
                  <w:pPr>
                    <w:jc w:val="center"/>
                    <w:rPr>
                      <w:rFonts w:hint="default"/>
                      <w:color w:val="auto"/>
                      <w:lang w:val="en-US"/>
                    </w:rPr>
                  </w:pPr>
                  <w:r>
                    <w:rPr>
                      <w:rFonts w:hint="eastAsia"/>
                      <w:color w:val="auto"/>
                      <w:lang w:val="en-US" w:eastAsia="zh-CN"/>
                    </w:rPr>
                    <w:t>120</w:t>
                  </w:r>
                </w:p>
              </w:tc>
              <w:tc>
                <w:tcPr>
                  <w:tcW w:w="720" w:type="dxa"/>
                  <w:tcBorders>
                    <w:tl2br w:val="nil"/>
                    <w:tr2bl w:val="nil"/>
                  </w:tcBorders>
                  <w:shd w:val="clear" w:color="auto" w:fill="auto"/>
                  <w:noWrap/>
                  <w:vAlign w:val="bottom"/>
                </w:tcPr>
                <w:p w14:paraId="2D69D785">
                  <w:pPr>
                    <w:jc w:val="center"/>
                    <w:rPr>
                      <w:rFonts w:hint="default"/>
                      <w:color w:val="auto"/>
                      <w:lang w:val="en-US" w:eastAsia="zh-CN"/>
                    </w:rPr>
                  </w:pPr>
                  <w:r>
                    <w:rPr>
                      <w:rFonts w:hint="eastAsia"/>
                      <w:color w:val="auto"/>
                      <w:lang w:val="en-US" w:eastAsia="zh-CN"/>
                    </w:rPr>
                    <w:t>41.58</w:t>
                  </w:r>
                </w:p>
              </w:tc>
              <w:tc>
                <w:tcPr>
                  <w:tcW w:w="773" w:type="dxa"/>
                  <w:tcBorders>
                    <w:tl2br w:val="nil"/>
                    <w:tr2bl w:val="nil"/>
                  </w:tcBorders>
                  <w:shd w:val="clear" w:color="auto" w:fill="auto"/>
                  <w:noWrap/>
                  <w:vAlign w:val="bottom"/>
                </w:tcPr>
                <w:p w14:paraId="2A75100B">
                  <w:pPr>
                    <w:jc w:val="center"/>
                    <w:rPr>
                      <w:rFonts w:hint="default"/>
                      <w:color w:val="auto"/>
                      <w:lang w:val="en-US" w:eastAsia="zh-CN"/>
                    </w:rPr>
                  </w:pPr>
                  <w:r>
                    <w:rPr>
                      <w:rFonts w:hint="eastAsia"/>
                      <w:color w:val="auto"/>
                      <w:lang w:val="en-US" w:eastAsia="zh-CN"/>
                    </w:rPr>
                    <w:t>23.42</w:t>
                  </w:r>
                </w:p>
              </w:tc>
              <w:tc>
                <w:tcPr>
                  <w:tcW w:w="817" w:type="dxa"/>
                  <w:vMerge w:val="continue"/>
                  <w:tcBorders>
                    <w:tl2br w:val="nil"/>
                    <w:tr2bl w:val="nil"/>
                  </w:tcBorders>
                  <w:shd w:val="clear" w:color="auto" w:fill="auto"/>
                  <w:noWrap/>
                  <w:vAlign w:val="center"/>
                </w:tcPr>
                <w:p w14:paraId="479D5F6F">
                  <w:pPr>
                    <w:jc w:val="center"/>
                    <w:rPr>
                      <w:rFonts w:hint="default"/>
                      <w:color w:val="auto"/>
                    </w:rPr>
                  </w:pPr>
                </w:p>
              </w:tc>
            </w:tr>
            <w:tr w14:paraId="40FFA3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36" w:type="dxa"/>
                  <w:vMerge w:val="continue"/>
                  <w:tcBorders>
                    <w:tl2br w:val="nil"/>
                    <w:tr2bl w:val="nil"/>
                  </w:tcBorders>
                  <w:shd w:val="clear" w:color="auto" w:fill="auto"/>
                  <w:noWrap/>
                  <w:vAlign w:val="center"/>
                </w:tcPr>
                <w:p w14:paraId="10516912">
                  <w:pPr>
                    <w:jc w:val="center"/>
                    <w:rPr>
                      <w:rFonts w:hint="default"/>
                      <w:color w:val="auto"/>
                    </w:rPr>
                  </w:pPr>
                </w:p>
              </w:tc>
              <w:tc>
                <w:tcPr>
                  <w:tcW w:w="876" w:type="dxa"/>
                  <w:tcBorders>
                    <w:tl2br w:val="nil"/>
                    <w:tr2bl w:val="nil"/>
                  </w:tcBorders>
                  <w:shd w:val="clear" w:color="auto" w:fill="auto"/>
                  <w:vAlign w:val="center"/>
                </w:tcPr>
                <w:p w14:paraId="5667EF5C">
                  <w:pPr>
                    <w:jc w:val="center"/>
                    <w:rPr>
                      <w:rFonts w:hint="default"/>
                      <w:color w:val="auto"/>
                    </w:rPr>
                  </w:pPr>
                  <w:r>
                    <w:rPr>
                      <w:color w:val="auto"/>
                      <w:lang w:val="en-US" w:eastAsia="zh-CN"/>
                    </w:rPr>
                    <w:t>水泥车</w:t>
                  </w:r>
                </w:p>
              </w:tc>
              <w:tc>
                <w:tcPr>
                  <w:tcW w:w="755" w:type="dxa"/>
                  <w:tcBorders>
                    <w:tl2br w:val="nil"/>
                    <w:tr2bl w:val="nil"/>
                  </w:tcBorders>
                  <w:shd w:val="clear" w:color="auto" w:fill="auto"/>
                  <w:vAlign w:val="center"/>
                </w:tcPr>
                <w:p w14:paraId="0FC893DA">
                  <w:pPr>
                    <w:jc w:val="center"/>
                    <w:rPr>
                      <w:rFonts w:hint="default"/>
                      <w:color w:val="auto"/>
                    </w:rPr>
                  </w:pPr>
                  <w:r>
                    <w:rPr>
                      <w:rFonts w:hint="default"/>
                      <w:color w:val="auto"/>
                      <w:lang w:val="en-US" w:eastAsia="zh-CN"/>
                    </w:rPr>
                    <w:t>90</w:t>
                  </w:r>
                </w:p>
              </w:tc>
              <w:tc>
                <w:tcPr>
                  <w:tcW w:w="627" w:type="dxa"/>
                  <w:tcBorders>
                    <w:tl2br w:val="nil"/>
                    <w:tr2bl w:val="nil"/>
                  </w:tcBorders>
                  <w:shd w:val="clear" w:color="auto" w:fill="auto"/>
                  <w:vAlign w:val="center"/>
                </w:tcPr>
                <w:p w14:paraId="7C104476">
                  <w:pPr>
                    <w:jc w:val="center"/>
                    <w:rPr>
                      <w:rFonts w:hint="default"/>
                      <w:color w:val="auto"/>
                    </w:rPr>
                  </w:pPr>
                  <w:r>
                    <w:rPr>
                      <w:rFonts w:hint="default"/>
                      <w:color w:val="auto"/>
                      <w:lang w:val="en-US" w:eastAsia="zh-CN"/>
                    </w:rPr>
                    <w:t>1</w:t>
                  </w:r>
                </w:p>
              </w:tc>
              <w:tc>
                <w:tcPr>
                  <w:tcW w:w="853" w:type="dxa"/>
                  <w:tcBorders>
                    <w:tl2br w:val="nil"/>
                    <w:tr2bl w:val="nil"/>
                  </w:tcBorders>
                  <w:shd w:val="clear" w:color="auto" w:fill="auto"/>
                  <w:noWrap/>
                  <w:vAlign w:val="center"/>
                </w:tcPr>
                <w:p w14:paraId="38D44F2E">
                  <w:pPr>
                    <w:jc w:val="center"/>
                    <w:rPr>
                      <w:rFonts w:hint="default"/>
                      <w:color w:val="auto"/>
                    </w:rPr>
                  </w:pPr>
                  <w:r>
                    <w:rPr>
                      <w:rFonts w:hint="default"/>
                      <w:color w:val="auto"/>
                      <w:lang w:val="en-US" w:eastAsia="zh-CN"/>
                    </w:rPr>
                    <w:t>90.00</w:t>
                  </w:r>
                </w:p>
              </w:tc>
              <w:tc>
                <w:tcPr>
                  <w:tcW w:w="760" w:type="dxa"/>
                  <w:tcBorders>
                    <w:tl2br w:val="nil"/>
                    <w:tr2bl w:val="nil"/>
                  </w:tcBorders>
                  <w:shd w:val="clear" w:color="auto" w:fill="auto"/>
                  <w:noWrap/>
                  <w:vAlign w:val="center"/>
                </w:tcPr>
                <w:p w14:paraId="2619C64C">
                  <w:pPr>
                    <w:jc w:val="center"/>
                    <w:rPr>
                      <w:rFonts w:hint="default"/>
                      <w:color w:val="auto"/>
                    </w:rPr>
                  </w:pPr>
                  <w:r>
                    <w:rPr>
                      <w:rFonts w:hint="default"/>
                      <w:color w:val="auto"/>
                      <w:lang w:val="en-US" w:eastAsia="zh-CN"/>
                    </w:rPr>
                    <w:t>25.00</w:t>
                  </w:r>
                </w:p>
              </w:tc>
              <w:tc>
                <w:tcPr>
                  <w:tcW w:w="840" w:type="dxa"/>
                  <w:tcBorders>
                    <w:tl2br w:val="nil"/>
                    <w:tr2bl w:val="nil"/>
                  </w:tcBorders>
                  <w:shd w:val="clear" w:color="auto" w:fill="auto"/>
                  <w:vAlign w:val="center"/>
                </w:tcPr>
                <w:p w14:paraId="67673102">
                  <w:pPr>
                    <w:jc w:val="center"/>
                    <w:rPr>
                      <w:rFonts w:hint="default"/>
                      <w:color w:val="auto"/>
                      <w:lang w:val="en-US"/>
                    </w:rPr>
                  </w:pPr>
                  <w:r>
                    <w:rPr>
                      <w:rFonts w:hint="eastAsia"/>
                      <w:color w:val="auto"/>
                      <w:lang w:val="en-US" w:eastAsia="zh-CN"/>
                    </w:rPr>
                    <w:t>122</w:t>
                  </w:r>
                </w:p>
              </w:tc>
              <w:tc>
                <w:tcPr>
                  <w:tcW w:w="720" w:type="dxa"/>
                  <w:tcBorders>
                    <w:tl2br w:val="nil"/>
                    <w:tr2bl w:val="nil"/>
                  </w:tcBorders>
                  <w:shd w:val="clear" w:color="auto" w:fill="auto"/>
                  <w:noWrap/>
                  <w:vAlign w:val="bottom"/>
                </w:tcPr>
                <w:p w14:paraId="5175E435">
                  <w:pPr>
                    <w:jc w:val="center"/>
                    <w:rPr>
                      <w:rFonts w:hint="default"/>
                      <w:color w:val="auto"/>
                      <w:lang w:val="en-US" w:eastAsia="zh-CN"/>
                    </w:rPr>
                  </w:pPr>
                  <w:r>
                    <w:rPr>
                      <w:rFonts w:hint="eastAsia"/>
                      <w:color w:val="auto"/>
                      <w:lang w:val="en-US" w:eastAsia="zh-CN"/>
                    </w:rPr>
                    <w:t>41.73</w:t>
                  </w:r>
                </w:p>
              </w:tc>
              <w:tc>
                <w:tcPr>
                  <w:tcW w:w="773" w:type="dxa"/>
                  <w:tcBorders>
                    <w:tl2br w:val="nil"/>
                    <w:tr2bl w:val="nil"/>
                  </w:tcBorders>
                  <w:shd w:val="clear" w:color="auto" w:fill="auto"/>
                  <w:noWrap/>
                  <w:vAlign w:val="bottom"/>
                </w:tcPr>
                <w:p w14:paraId="27B1294C">
                  <w:pPr>
                    <w:jc w:val="center"/>
                    <w:rPr>
                      <w:rFonts w:hint="default"/>
                      <w:color w:val="auto"/>
                      <w:lang w:val="en-US" w:eastAsia="zh-CN"/>
                    </w:rPr>
                  </w:pPr>
                  <w:r>
                    <w:rPr>
                      <w:rFonts w:hint="eastAsia"/>
                      <w:color w:val="auto"/>
                      <w:lang w:val="en-US" w:eastAsia="zh-CN"/>
                    </w:rPr>
                    <w:t>23.27</w:t>
                  </w:r>
                </w:p>
              </w:tc>
              <w:tc>
                <w:tcPr>
                  <w:tcW w:w="817" w:type="dxa"/>
                  <w:vMerge w:val="continue"/>
                  <w:tcBorders>
                    <w:tl2br w:val="nil"/>
                    <w:tr2bl w:val="nil"/>
                  </w:tcBorders>
                  <w:shd w:val="clear" w:color="auto" w:fill="auto"/>
                  <w:noWrap/>
                  <w:vAlign w:val="center"/>
                </w:tcPr>
                <w:p w14:paraId="19310E62">
                  <w:pPr>
                    <w:jc w:val="center"/>
                    <w:rPr>
                      <w:rFonts w:hint="default"/>
                      <w:color w:val="auto"/>
                    </w:rPr>
                  </w:pPr>
                </w:p>
              </w:tc>
            </w:tr>
            <w:tr w14:paraId="3F1BC3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36" w:type="dxa"/>
                  <w:vMerge w:val="continue"/>
                  <w:tcBorders>
                    <w:tl2br w:val="nil"/>
                    <w:tr2bl w:val="nil"/>
                  </w:tcBorders>
                  <w:shd w:val="clear" w:color="auto" w:fill="auto"/>
                  <w:noWrap/>
                  <w:vAlign w:val="center"/>
                </w:tcPr>
                <w:p w14:paraId="06A2581F">
                  <w:pPr>
                    <w:jc w:val="center"/>
                    <w:rPr>
                      <w:rFonts w:hint="default"/>
                      <w:color w:val="auto"/>
                    </w:rPr>
                  </w:pPr>
                </w:p>
              </w:tc>
              <w:tc>
                <w:tcPr>
                  <w:tcW w:w="876" w:type="dxa"/>
                  <w:tcBorders>
                    <w:tl2br w:val="nil"/>
                    <w:tr2bl w:val="nil"/>
                  </w:tcBorders>
                  <w:shd w:val="clear" w:color="auto" w:fill="auto"/>
                  <w:vAlign w:val="center"/>
                </w:tcPr>
                <w:p w14:paraId="3A3A48AF">
                  <w:pPr>
                    <w:jc w:val="center"/>
                    <w:rPr>
                      <w:rFonts w:hint="default"/>
                      <w:color w:val="auto"/>
                    </w:rPr>
                  </w:pPr>
                  <w:r>
                    <w:rPr>
                      <w:color w:val="auto"/>
                      <w:lang w:val="en-US" w:eastAsia="zh-CN"/>
                    </w:rPr>
                    <w:t>推土机</w:t>
                  </w:r>
                </w:p>
              </w:tc>
              <w:tc>
                <w:tcPr>
                  <w:tcW w:w="755" w:type="dxa"/>
                  <w:tcBorders>
                    <w:tl2br w:val="nil"/>
                    <w:tr2bl w:val="nil"/>
                  </w:tcBorders>
                  <w:shd w:val="clear" w:color="auto" w:fill="auto"/>
                  <w:vAlign w:val="center"/>
                </w:tcPr>
                <w:p w14:paraId="4047CB45">
                  <w:pPr>
                    <w:jc w:val="center"/>
                    <w:rPr>
                      <w:rFonts w:hint="default"/>
                      <w:color w:val="auto"/>
                    </w:rPr>
                  </w:pPr>
                  <w:r>
                    <w:rPr>
                      <w:rFonts w:hint="default"/>
                      <w:color w:val="auto"/>
                      <w:lang w:val="en-US" w:eastAsia="zh-CN"/>
                    </w:rPr>
                    <w:t>105</w:t>
                  </w:r>
                </w:p>
              </w:tc>
              <w:tc>
                <w:tcPr>
                  <w:tcW w:w="627" w:type="dxa"/>
                  <w:tcBorders>
                    <w:tl2br w:val="nil"/>
                    <w:tr2bl w:val="nil"/>
                  </w:tcBorders>
                  <w:shd w:val="clear" w:color="auto" w:fill="auto"/>
                  <w:vAlign w:val="center"/>
                </w:tcPr>
                <w:p w14:paraId="1D94CA73">
                  <w:pPr>
                    <w:jc w:val="center"/>
                    <w:rPr>
                      <w:rFonts w:hint="default"/>
                      <w:color w:val="auto"/>
                    </w:rPr>
                  </w:pPr>
                  <w:r>
                    <w:rPr>
                      <w:rFonts w:hint="default"/>
                      <w:color w:val="auto"/>
                      <w:lang w:val="en-US" w:eastAsia="zh-CN"/>
                    </w:rPr>
                    <w:t>1</w:t>
                  </w:r>
                </w:p>
              </w:tc>
              <w:tc>
                <w:tcPr>
                  <w:tcW w:w="853" w:type="dxa"/>
                  <w:tcBorders>
                    <w:tl2br w:val="nil"/>
                    <w:tr2bl w:val="nil"/>
                  </w:tcBorders>
                  <w:shd w:val="clear" w:color="auto" w:fill="auto"/>
                  <w:noWrap/>
                  <w:vAlign w:val="center"/>
                </w:tcPr>
                <w:p w14:paraId="2B9D4A67">
                  <w:pPr>
                    <w:jc w:val="center"/>
                    <w:rPr>
                      <w:rFonts w:hint="default"/>
                      <w:color w:val="auto"/>
                    </w:rPr>
                  </w:pPr>
                  <w:r>
                    <w:rPr>
                      <w:rFonts w:hint="default"/>
                      <w:color w:val="auto"/>
                      <w:lang w:val="en-US" w:eastAsia="zh-CN"/>
                    </w:rPr>
                    <w:t>105.00</w:t>
                  </w:r>
                </w:p>
              </w:tc>
              <w:tc>
                <w:tcPr>
                  <w:tcW w:w="760" w:type="dxa"/>
                  <w:tcBorders>
                    <w:tl2br w:val="nil"/>
                    <w:tr2bl w:val="nil"/>
                  </w:tcBorders>
                  <w:shd w:val="clear" w:color="auto" w:fill="auto"/>
                  <w:noWrap/>
                  <w:vAlign w:val="center"/>
                </w:tcPr>
                <w:p w14:paraId="5C911773">
                  <w:pPr>
                    <w:jc w:val="center"/>
                    <w:rPr>
                      <w:rFonts w:hint="default"/>
                      <w:color w:val="auto"/>
                    </w:rPr>
                  </w:pPr>
                  <w:r>
                    <w:rPr>
                      <w:rFonts w:hint="default"/>
                      <w:color w:val="auto"/>
                      <w:lang w:val="en-US" w:eastAsia="zh-CN"/>
                    </w:rPr>
                    <w:t>25.00</w:t>
                  </w:r>
                </w:p>
              </w:tc>
              <w:tc>
                <w:tcPr>
                  <w:tcW w:w="840" w:type="dxa"/>
                  <w:tcBorders>
                    <w:tl2br w:val="nil"/>
                    <w:tr2bl w:val="nil"/>
                  </w:tcBorders>
                  <w:shd w:val="clear" w:color="auto" w:fill="auto"/>
                  <w:vAlign w:val="center"/>
                </w:tcPr>
                <w:p w14:paraId="66FBF401">
                  <w:pPr>
                    <w:jc w:val="center"/>
                    <w:rPr>
                      <w:rFonts w:hint="default"/>
                      <w:color w:val="auto"/>
                      <w:lang w:val="en-US"/>
                    </w:rPr>
                  </w:pPr>
                  <w:r>
                    <w:rPr>
                      <w:rFonts w:hint="eastAsia"/>
                      <w:color w:val="auto"/>
                      <w:lang w:val="en-US" w:eastAsia="zh-CN"/>
                    </w:rPr>
                    <w:t>125</w:t>
                  </w:r>
                </w:p>
              </w:tc>
              <w:tc>
                <w:tcPr>
                  <w:tcW w:w="720" w:type="dxa"/>
                  <w:tcBorders>
                    <w:tl2br w:val="nil"/>
                    <w:tr2bl w:val="nil"/>
                  </w:tcBorders>
                  <w:shd w:val="clear" w:color="auto" w:fill="auto"/>
                  <w:noWrap/>
                  <w:vAlign w:val="bottom"/>
                </w:tcPr>
                <w:p w14:paraId="38CDDF3F">
                  <w:pPr>
                    <w:jc w:val="center"/>
                    <w:rPr>
                      <w:rFonts w:hint="default"/>
                      <w:color w:val="auto"/>
                      <w:lang w:val="en-US" w:eastAsia="zh-CN"/>
                    </w:rPr>
                  </w:pPr>
                  <w:r>
                    <w:rPr>
                      <w:rFonts w:hint="eastAsia"/>
                      <w:color w:val="auto"/>
                      <w:lang w:val="en-US" w:eastAsia="zh-CN"/>
                    </w:rPr>
                    <w:t>41.94</w:t>
                  </w:r>
                </w:p>
              </w:tc>
              <w:tc>
                <w:tcPr>
                  <w:tcW w:w="773" w:type="dxa"/>
                  <w:tcBorders>
                    <w:tl2br w:val="nil"/>
                    <w:tr2bl w:val="nil"/>
                  </w:tcBorders>
                  <w:shd w:val="clear" w:color="auto" w:fill="auto"/>
                  <w:noWrap/>
                  <w:vAlign w:val="bottom"/>
                </w:tcPr>
                <w:p w14:paraId="1D851CB0">
                  <w:pPr>
                    <w:jc w:val="center"/>
                    <w:rPr>
                      <w:rFonts w:hint="default"/>
                      <w:color w:val="auto"/>
                      <w:lang w:val="en-US" w:eastAsia="zh-CN"/>
                    </w:rPr>
                  </w:pPr>
                  <w:r>
                    <w:rPr>
                      <w:rFonts w:hint="eastAsia"/>
                      <w:color w:val="auto"/>
                      <w:lang w:val="en-US" w:eastAsia="zh-CN"/>
                    </w:rPr>
                    <w:t>38.06</w:t>
                  </w:r>
                </w:p>
              </w:tc>
              <w:tc>
                <w:tcPr>
                  <w:tcW w:w="817" w:type="dxa"/>
                  <w:vMerge w:val="continue"/>
                  <w:tcBorders>
                    <w:tl2br w:val="nil"/>
                    <w:tr2bl w:val="nil"/>
                  </w:tcBorders>
                  <w:shd w:val="clear" w:color="auto" w:fill="auto"/>
                  <w:noWrap/>
                  <w:vAlign w:val="center"/>
                </w:tcPr>
                <w:p w14:paraId="18377BDE">
                  <w:pPr>
                    <w:jc w:val="center"/>
                    <w:rPr>
                      <w:rFonts w:hint="default"/>
                      <w:color w:val="auto"/>
                    </w:rPr>
                  </w:pPr>
                </w:p>
              </w:tc>
            </w:tr>
            <w:tr w14:paraId="73557F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6" w:type="dxa"/>
                  <w:vMerge w:val="continue"/>
                  <w:tcBorders>
                    <w:tl2br w:val="nil"/>
                    <w:tr2bl w:val="nil"/>
                  </w:tcBorders>
                  <w:shd w:val="clear" w:color="auto" w:fill="auto"/>
                  <w:noWrap/>
                  <w:vAlign w:val="center"/>
                </w:tcPr>
                <w:p w14:paraId="059B9812">
                  <w:pPr>
                    <w:jc w:val="center"/>
                    <w:rPr>
                      <w:rFonts w:hint="default"/>
                      <w:color w:val="auto"/>
                    </w:rPr>
                  </w:pPr>
                </w:p>
              </w:tc>
              <w:tc>
                <w:tcPr>
                  <w:tcW w:w="876" w:type="dxa"/>
                  <w:tcBorders>
                    <w:tl2br w:val="nil"/>
                    <w:tr2bl w:val="nil"/>
                  </w:tcBorders>
                  <w:shd w:val="clear" w:color="auto" w:fill="auto"/>
                  <w:vAlign w:val="center"/>
                </w:tcPr>
                <w:p w14:paraId="00D61F25">
                  <w:pPr>
                    <w:jc w:val="center"/>
                    <w:rPr>
                      <w:rFonts w:hint="default"/>
                      <w:color w:val="auto"/>
                    </w:rPr>
                  </w:pPr>
                  <w:r>
                    <w:rPr>
                      <w:color w:val="auto"/>
                      <w:lang w:val="en-US" w:eastAsia="zh-CN"/>
                    </w:rPr>
                    <w:t>挖掘机</w:t>
                  </w:r>
                </w:p>
              </w:tc>
              <w:tc>
                <w:tcPr>
                  <w:tcW w:w="755" w:type="dxa"/>
                  <w:tcBorders>
                    <w:tl2br w:val="nil"/>
                    <w:tr2bl w:val="nil"/>
                  </w:tcBorders>
                  <w:shd w:val="clear" w:color="auto" w:fill="auto"/>
                  <w:vAlign w:val="center"/>
                </w:tcPr>
                <w:p w14:paraId="73A1012E">
                  <w:pPr>
                    <w:jc w:val="center"/>
                    <w:rPr>
                      <w:rFonts w:hint="default"/>
                      <w:color w:val="auto"/>
                    </w:rPr>
                  </w:pPr>
                  <w:r>
                    <w:rPr>
                      <w:rFonts w:hint="default"/>
                      <w:color w:val="auto"/>
                      <w:lang w:val="en-US" w:eastAsia="zh-CN"/>
                    </w:rPr>
                    <w:t>95</w:t>
                  </w:r>
                </w:p>
              </w:tc>
              <w:tc>
                <w:tcPr>
                  <w:tcW w:w="627" w:type="dxa"/>
                  <w:tcBorders>
                    <w:tl2br w:val="nil"/>
                    <w:tr2bl w:val="nil"/>
                  </w:tcBorders>
                  <w:shd w:val="clear" w:color="auto" w:fill="auto"/>
                  <w:vAlign w:val="center"/>
                </w:tcPr>
                <w:p w14:paraId="1E73F8B8">
                  <w:pPr>
                    <w:jc w:val="center"/>
                    <w:rPr>
                      <w:rFonts w:hint="default"/>
                      <w:color w:val="auto"/>
                    </w:rPr>
                  </w:pPr>
                  <w:r>
                    <w:rPr>
                      <w:rFonts w:hint="default"/>
                      <w:color w:val="auto"/>
                      <w:lang w:val="en-US" w:eastAsia="zh-CN"/>
                    </w:rPr>
                    <w:t>1</w:t>
                  </w:r>
                </w:p>
              </w:tc>
              <w:tc>
                <w:tcPr>
                  <w:tcW w:w="853" w:type="dxa"/>
                  <w:tcBorders>
                    <w:tl2br w:val="nil"/>
                    <w:tr2bl w:val="nil"/>
                  </w:tcBorders>
                  <w:shd w:val="clear" w:color="auto" w:fill="auto"/>
                  <w:noWrap/>
                  <w:vAlign w:val="center"/>
                </w:tcPr>
                <w:p w14:paraId="06318CEE">
                  <w:pPr>
                    <w:jc w:val="center"/>
                    <w:rPr>
                      <w:rFonts w:hint="default"/>
                      <w:color w:val="auto"/>
                    </w:rPr>
                  </w:pPr>
                  <w:r>
                    <w:rPr>
                      <w:rFonts w:hint="default"/>
                      <w:color w:val="auto"/>
                      <w:lang w:val="en-US" w:eastAsia="zh-CN"/>
                    </w:rPr>
                    <w:t>95.00</w:t>
                  </w:r>
                </w:p>
              </w:tc>
              <w:tc>
                <w:tcPr>
                  <w:tcW w:w="760" w:type="dxa"/>
                  <w:tcBorders>
                    <w:tl2br w:val="nil"/>
                    <w:tr2bl w:val="nil"/>
                  </w:tcBorders>
                  <w:shd w:val="clear" w:color="auto" w:fill="auto"/>
                  <w:noWrap/>
                  <w:vAlign w:val="center"/>
                </w:tcPr>
                <w:p w14:paraId="716AE326">
                  <w:pPr>
                    <w:jc w:val="center"/>
                    <w:rPr>
                      <w:rFonts w:hint="default"/>
                      <w:color w:val="auto"/>
                    </w:rPr>
                  </w:pPr>
                  <w:r>
                    <w:rPr>
                      <w:rFonts w:hint="default"/>
                      <w:color w:val="auto"/>
                      <w:lang w:val="en-US" w:eastAsia="zh-CN"/>
                    </w:rPr>
                    <w:t>25.00</w:t>
                  </w:r>
                </w:p>
              </w:tc>
              <w:tc>
                <w:tcPr>
                  <w:tcW w:w="840" w:type="dxa"/>
                  <w:tcBorders>
                    <w:tl2br w:val="nil"/>
                    <w:tr2bl w:val="nil"/>
                  </w:tcBorders>
                  <w:shd w:val="clear" w:color="auto" w:fill="auto"/>
                  <w:vAlign w:val="center"/>
                </w:tcPr>
                <w:p w14:paraId="5E408C3A">
                  <w:pPr>
                    <w:jc w:val="center"/>
                    <w:rPr>
                      <w:rFonts w:hint="default"/>
                      <w:color w:val="auto"/>
                      <w:lang w:val="en-US"/>
                    </w:rPr>
                  </w:pPr>
                  <w:r>
                    <w:rPr>
                      <w:rFonts w:hint="eastAsia"/>
                      <w:color w:val="auto"/>
                      <w:lang w:val="en-US" w:eastAsia="zh-CN"/>
                    </w:rPr>
                    <w:t>128</w:t>
                  </w:r>
                </w:p>
              </w:tc>
              <w:tc>
                <w:tcPr>
                  <w:tcW w:w="720" w:type="dxa"/>
                  <w:tcBorders>
                    <w:tl2br w:val="nil"/>
                    <w:tr2bl w:val="nil"/>
                  </w:tcBorders>
                  <w:shd w:val="clear" w:color="auto" w:fill="auto"/>
                  <w:noWrap/>
                  <w:vAlign w:val="bottom"/>
                </w:tcPr>
                <w:p w14:paraId="70721FB8">
                  <w:pPr>
                    <w:jc w:val="center"/>
                    <w:rPr>
                      <w:rFonts w:hint="default"/>
                      <w:color w:val="auto"/>
                      <w:lang w:val="en-US" w:eastAsia="zh-CN"/>
                    </w:rPr>
                  </w:pPr>
                  <w:r>
                    <w:rPr>
                      <w:rFonts w:hint="eastAsia"/>
                      <w:color w:val="auto"/>
                      <w:lang w:val="en-US" w:eastAsia="zh-CN"/>
                    </w:rPr>
                    <w:t>42.14</w:t>
                  </w:r>
                </w:p>
              </w:tc>
              <w:tc>
                <w:tcPr>
                  <w:tcW w:w="773" w:type="dxa"/>
                  <w:tcBorders>
                    <w:tl2br w:val="nil"/>
                    <w:tr2bl w:val="nil"/>
                  </w:tcBorders>
                  <w:shd w:val="clear" w:color="auto" w:fill="auto"/>
                  <w:noWrap/>
                  <w:vAlign w:val="bottom"/>
                </w:tcPr>
                <w:p w14:paraId="41F7BCDA">
                  <w:pPr>
                    <w:jc w:val="center"/>
                    <w:rPr>
                      <w:rFonts w:hint="default"/>
                      <w:color w:val="auto"/>
                      <w:lang w:val="en-US" w:eastAsia="zh-CN"/>
                    </w:rPr>
                  </w:pPr>
                  <w:r>
                    <w:rPr>
                      <w:rFonts w:hint="eastAsia"/>
                      <w:color w:val="auto"/>
                      <w:lang w:val="en-US" w:eastAsia="zh-CN"/>
                    </w:rPr>
                    <w:t>27.86</w:t>
                  </w:r>
                </w:p>
              </w:tc>
              <w:tc>
                <w:tcPr>
                  <w:tcW w:w="817" w:type="dxa"/>
                  <w:vMerge w:val="continue"/>
                  <w:tcBorders>
                    <w:tl2br w:val="nil"/>
                    <w:tr2bl w:val="nil"/>
                  </w:tcBorders>
                  <w:shd w:val="clear" w:color="auto" w:fill="auto"/>
                  <w:noWrap/>
                  <w:vAlign w:val="center"/>
                </w:tcPr>
                <w:p w14:paraId="481591C0">
                  <w:pPr>
                    <w:jc w:val="center"/>
                    <w:rPr>
                      <w:rFonts w:hint="default"/>
                      <w:color w:val="auto"/>
                    </w:rPr>
                  </w:pPr>
                </w:p>
              </w:tc>
            </w:tr>
            <w:tr w14:paraId="5C498C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6" w:type="dxa"/>
                  <w:vMerge w:val="continue"/>
                  <w:tcBorders>
                    <w:tl2br w:val="nil"/>
                    <w:tr2bl w:val="nil"/>
                  </w:tcBorders>
                  <w:shd w:val="clear" w:color="auto" w:fill="auto"/>
                  <w:noWrap/>
                  <w:vAlign w:val="center"/>
                </w:tcPr>
                <w:p w14:paraId="5948EF89">
                  <w:pPr>
                    <w:jc w:val="center"/>
                    <w:rPr>
                      <w:rFonts w:hint="default"/>
                      <w:color w:val="auto"/>
                    </w:rPr>
                  </w:pPr>
                </w:p>
              </w:tc>
              <w:tc>
                <w:tcPr>
                  <w:tcW w:w="876" w:type="dxa"/>
                  <w:tcBorders>
                    <w:tl2br w:val="nil"/>
                    <w:tr2bl w:val="nil"/>
                  </w:tcBorders>
                  <w:shd w:val="clear" w:color="auto" w:fill="auto"/>
                  <w:vAlign w:val="center"/>
                </w:tcPr>
                <w:p w14:paraId="736E97CB">
                  <w:pPr>
                    <w:jc w:val="center"/>
                    <w:rPr>
                      <w:rFonts w:hint="default"/>
                      <w:color w:val="auto"/>
                    </w:rPr>
                  </w:pPr>
                  <w:r>
                    <w:rPr>
                      <w:color w:val="auto"/>
                      <w:lang w:val="en-US" w:eastAsia="zh-CN"/>
                    </w:rPr>
                    <w:t>通井机</w:t>
                  </w:r>
                </w:p>
              </w:tc>
              <w:tc>
                <w:tcPr>
                  <w:tcW w:w="755" w:type="dxa"/>
                  <w:tcBorders>
                    <w:tl2br w:val="nil"/>
                    <w:tr2bl w:val="nil"/>
                  </w:tcBorders>
                  <w:shd w:val="clear" w:color="auto" w:fill="auto"/>
                  <w:vAlign w:val="center"/>
                </w:tcPr>
                <w:p w14:paraId="1C725F29">
                  <w:pPr>
                    <w:jc w:val="center"/>
                    <w:rPr>
                      <w:rFonts w:hint="default"/>
                      <w:color w:val="auto"/>
                    </w:rPr>
                  </w:pPr>
                  <w:r>
                    <w:rPr>
                      <w:rFonts w:hint="default"/>
                      <w:color w:val="auto"/>
                      <w:lang w:val="en-US" w:eastAsia="zh-CN"/>
                    </w:rPr>
                    <w:t>85</w:t>
                  </w:r>
                </w:p>
              </w:tc>
              <w:tc>
                <w:tcPr>
                  <w:tcW w:w="627" w:type="dxa"/>
                  <w:tcBorders>
                    <w:tl2br w:val="nil"/>
                    <w:tr2bl w:val="nil"/>
                  </w:tcBorders>
                  <w:shd w:val="clear" w:color="auto" w:fill="auto"/>
                  <w:vAlign w:val="center"/>
                </w:tcPr>
                <w:p w14:paraId="7FE4F72E">
                  <w:pPr>
                    <w:jc w:val="center"/>
                    <w:rPr>
                      <w:rFonts w:hint="default"/>
                      <w:color w:val="auto"/>
                    </w:rPr>
                  </w:pPr>
                  <w:r>
                    <w:rPr>
                      <w:rFonts w:hint="default"/>
                      <w:color w:val="auto"/>
                      <w:lang w:val="en-US" w:eastAsia="zh-CN"/>
                    </w:rPr>
                    <w:t>1</w:t>
                  </w:r>
                </w:p>
              </w:tc>
              <w:tc>
                <w:tcPr>
                  <w:tcW w:w="853" w:type="dxa"/>
                  <w:tcBorders>
                    <w:tl2br w:val="nil"/>
                    <w:tr2bl w:val="nil"/>
                  </w:tcBorders>
                  <w:shd w:val="clear" w:color="auto" w:fill="auto"/>
                  <w:noWrap/>
                  <w:vAlign w:val="center"/>
                </w:tcPr>
                <w:p w14:paraId="10F5CE4E">
                  <w:pPr>
                    <w:jc w:val="center"/>
                    <w:rPr>
                      <w:rFonts w:hint="default"/>
                      <w:color w:val="auto"/>
                    </w:rPr>
                  </w:pPr>
                  <w:r>
                    <w:rPr>
                      <w:rFonts w:hint="default"/>
                      <w:color w:val="auto"/>
                      <w:lang w:val="en-US" w:eastAsia="zh-CN"/>
                    </w:rPr>
                    <w:t>85.00</w:t>
                  </w:r>
                </w:p>
              </w:tc>
              <w:tc>
                <w:tcPr>
                  <w:tcW w:w="760" w:type="dxa"/>
                  <w:tcBorders>
                    <w:tl2br w:val="nil"/>
                    <w:tr2bl w:val="nil"/>
                  </w:tcBorders>
                  <w:shd w:val="clear" w:color="auto" w:fill="auto"/>
                  <w:noWrap/>
                  <w:vAlign w:val="center"/>
                </w:tcPr>
                <w:p w14:paraId="6CFD9B49">
                  <w:pPr>
                    <w:jc w:val="center"/>
                    <w:rPr>
                      <w:rFonts w:hint="default"/>
                      <w:color w:val="auto"/>
                    </w:rPr>
                  </w:pPr>
                  <w:r>
                    <w:rPr>
                      <w:rFonts w:hint="default"/>
                      <w:color w:val="auto"/>
                      <w:lang w:val="en-US" w:eastAsia="zh-CN"/>
                    </w:rPr>
                    <w:t>25.00</w:t>
                  </w:r>
                </w:p>
              </w:tc>
              <w:tc>
                <w:tcPr>
                  <w:tcW w:w="840" w:type="dxa"/>
                  <w:tcBorders>
                    <w:tl2br w:val="nil"/>
                    <w:tr2bl w:val="nil"/>
                  </w:tcBorders>
                  <w:shd w:val="clear" w:color="auto" w:fill="auto"/>
                  <w:vAlign w:val="center"/>
                </w:tcPr>
                <w:p w14:paraId="766E96AA">
                  <w:pPr>
                    <w:jc w:val="center"/>
                    <w:rPr>
                      <w:rFonts w:hint="default"/>
                      <w:color w:val="auto"/>
                      <w:lang w:val="en-US"/>
                    </w:rPr>
                  </w:pPr>
                  <w:r>
                    <w:rPr>
                      <w:rFonts w:hint="eastAsia"/>
                      <w:color w:val="auto"/>
                      <w:lang w:val="en-US" w:eastAsia="zh-CN"/>
                    </w:rPr>
                    <w:t>124</w:t>
                  </w:r>
                </w:p>
              </w:tc>
              <w:tc>
                <w:tcPr>
                  <w:tcW w:w="720" w:type="dxa"/>
                  <w:tcBorders>
                    <w:tl2br w:val="nil"/>
                    <w:tr2bl w:val="nil"/>
                  </w:tcBorders>
                  <w:shd w:val="clear" w:color="auto" w:fill="auto"/>
                  <w:noWrap/>
                  <w:vAlign w:val="bottom"/>
                </w:tcPr>
                <w:p w14:paraId="4673E608">
                  <w:pPr>
                    <w:jc w:val="center"/>
                    <w:rPr>
                      <w:rFonts w:hint="default"/>
                      <w:color w:val="auto"/>
                      <w:lang w:val="en-US" w:eastAsia="zh-CN"/>
                    </w:rPr>
                  </w:pPr>
                  <w:r>
                    <w:rPr>
                      <w:rFonts w:hint="eastAsia"/>
                      <w:color w:val="auto"/>
                      <w:lang w:val="en-US" w:eastAsia="zh-CN"/>
                    </w:rPr>
                    <w:t>41.87</w:t>
                  </w:r>
                </w:p>
              </w:tc>
              <w:tc>
                <w:tcPr>
                  <w:tcW w:w="773" w:type="dxa"/>
                  <w:tcBorders>
                    <w:tl2br w:val="nil"/>
                    <w:tr2bl w:val="nil"/>
                  </w:tcBorders>
                  <w:shd w:val="clear" w:color="auto" w:fill="auto"/>
                  <w:noWrap/>
                  <w:vAlign w:val="bottom"/>
                </w:tcPr>
                <w:p w14:paraId="060BF0F8">
                  <w:pPr>
                    <w:jc w:val="center"/>
                    <w:rPr>
                      <w:rFonts w:hint="default"/>
                      <w:color w:val="auto"/>
                      <w:lang w:val="en-US" w:eastAsia="zh-CN"/>
                    </w:rPr>
                  </w:pPr>
                  <w:r>
                    <w:rPr>
                      <w:rFonts w:hint="eastAsia"/>
                      <w:color w:val="auto"/>
                      <w:lang w:val="en-US" w:eastAsia="zh-CN"/>
                    </w:rPr>
                    <w:t>18.13</w:t>
                  </w:r>
                </w:p>
              </w:tc>
              <w:tc>
                <w:tcPr>
                  <w:tcW w:w="817" w:type="dxa"/>
                  <w:vMerge w:val="continue"/>
                  <w:tcBorders>
                    <w:tl2br w:val="nil"/>
                    <w:tr2bl w:val="nil"/>
                  </w:tcBorders>
                  <w:shd w:val="clear" w:color="auto" w:fill="auto"/>
                  <w:noWrap/>
                  <w:vAlign w:val="center"/>
                </w:tcPr>
                <w:p w14:paraId="27E04384">
                  <w:pPr>
                    <w:jc w:val="center"/>
                    <w:rPr>
                      <w:rFonts w:hint="default"/>
                      <w:color w:val="auto"/>
                    </w:rPr>
                  </w:pPr>
                </w:p>
              </w:tc>
            </w:tr>
            <w:tr w14:paraId="258A1D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36" w:type="dxa"/>
                  <w:vMerge w:val="continue"/>
                  <w:tcBorders>
                    <w:tl2br w:val="nil"/>
                    <w:tr2bl w:val="nil"/>
                  </w:tcBorders>
                  <w:shd w:val="clear" w:color="auto" w:fill="auto"/>
                  <w:noWrap/>
                  <w:vAlign w:val="center"/>
                </w:tcPr>
                <w:p w14:paraId="50582665">
                  <w:pPr>
                    <w:jc w:val="center"/>
                    <w:rPr>
                      <w:rFonts w:hint="default"/>
                      <w:color w:val="auto"/>
                    </w:rPr>
                  </w:pPr>
                </w:p>
              </w:tc>
              <w:tc>
                <w:tcPr>
                  <w:tcW w:w="876" w:type="dxa"/>
                  <w:tcBorders>
                    <w:tl2br w:val="nil"/>
                    <w:tr2bl w:val="nil"/>
                  </w:tcBorders>
                  <w:shd w:val="clear" w:color="auto" w:fill="auto"/>
                  <w:vAlign w:val="center"/>
                </w:tcPr>
                <w:p w14:paraId="77590F79">
                  <w:pPr>
                    <w:jc w:val="center"/>
                    <w:rPr>
                      <w:rFonts w:hint="default"/>
                      <w:color w:val="auto"/>
                    </w:rPr>
                  </w:pPr>
                  <w:r>
                    <w:rPr>
                      <w:color w:val="auto"/>
                      <w:lang w:val="en-US" w:eastAsia="zh-CN"/>
                    </w:rPr>
                    <w:t>压裂车</w:t>
                  </w:r>
                </w:p>
              </w:tc>
              <w:tc>
                <w:tcPr>
                  <w:tcW w:w="755" w:type="dxa"/>
                  <w:tcBorders>
                    <w:tl2br w:val="nil"/>
                    <w:tr2bl w:val="nil"/>
                  </w:tcBorders>
                  <w:shd w:val="clear" w:color="auto" w:fill="auto"/>
                  <w:vAlign w:val="center"/>
                </w:tcPr>
                <w:p w14:paraId="29190432">
                  <w:pPr>
                    <w:jc w:val="center"/>
                    <w:rPr>
                      <w:rFonts w:hint="default"/>
                      <w:color w:val="auto"/>
                      <w:lang w:val="en-US"/>
                    </w:rPr>
                  </w:pPr>
                  <w:r>
                    <w:rPr>
                      <w:rFonts w:hint="default"/>
                      <w:color w:val="auto"/>
                      <w:lang w:val="en-US" w:eastAsia="zh-CN"/>
                    </w:rPr>
                    <w:t>1</w:t>
                  </w:r>
                  <w:r>
                    <w:rPr>
                      <w:rFonts w:hint="eastAsia"/>
                      <w:color w:val="auto"/>
                      <w:lang w:val="en-US" w:eastAsia="zh-CN"/>
                    </w:rPr>
                    <w:t>00</w:t>
                  </w:r>
                </w:p>
              </w:tc>
              <w:tc>
                <w:tcPr>
                  <w:tcW w:w="627" w:type="dxa"/>
                  <w:tcBorders>
                    <w:tl2br w:val="nil"/>
                    <w:tr2bl w:val="nil"/>
                  </w:tcBorders>
                  <w:shd w:val="clear" w:color="auto" w:fill="auto"/>
                  <w:vAlign w:val="center"/>
                </w:tcPr>
                <w:p w14:paraId="1852F8AF">
                  <w:pPr>
                    <w:jc w:val="center"/>
                    <w:rPr>
                      <w:rFonts w:hint="default"/>
                      <w:color w:val="auto"/>
                    </w:rPr>
                  </w:pPr>
                  <w:r>
                    <w:rPr>
                      <w:rFonts w:hint="default"/>
                      <w:color w:val="auto"/>
                      <w:lang w:val="en-US" w:eastAsia="zh-CN"/>
                    </w:rPr>
                    <w:t>1</w:t>
                  </w:r>
                </w:p>
              </w:tc>
              <w:tc>
                <w:tcPr>
                  <w:tcW w:w="853" w:type="dxa"/>
                  <w:tcBorders>
                    <w:tl2br w:val="nil"/>
                    <w:tr2bl w:val="nil"/>
                  </w:tcBorders>
                  <w:shd w:val="clear" w:color="auto" w:fill="auto"/>
                  <w:noWrap/>
                  <w:vAlign w:val="center"/>
                </w:tcPr>
                <w:p w14:paraId="4481D86E">
                  <w:pPr>
                    <w:jc w:val="center"/>
                    <w:rPr>
                      <w:rFonts w:hint="default"/>
                      <w:color w:val="auto"/>
                    </w:rPr>
                  </w:pPr>
                  <w:r>
                    <w:rPr>
                      <w:rFonts w:hint="default"/>
                      <w:color w:val="auto"/>
                      <w:lang w:val="en-US" w:eastAsia="zh-CN"/>
                    </w:rPr>
                    <w:t>1</w:t>
                  </w:r>
                  <w:r>
                    <w:rPr>
                      <w:rFonts w:hint="eastAsia"/>
                      <w:color w:val="auto"/>
                      <w:lang w:val="en-US" w:eastAsia="zh-CN"/>
                    </w:rPr>
                    <w:t>00</w:t>
                  </w:r>
                  <w:r>
                    <w:rPr>
                      <w:rFonts w:hint="default"/>
                      <w:color w:val="auto"/>
                      <w:lang w:val="en-US" w:eastAsia="zh-CN"/>
                    </w:rPr>
                    <w:t>.00</w:t>
                  </w:r>
                </w:p>
              </w:tc>
              <w:tc>
                <w:tcPr>
                  <w:tcW w:w="760" w:type="dxa"/>
                  <w:tcBorders>
                    <w:tl2br w:val="nil"/>
                    <w:tr2bl w:val="nil"/>
                  </w:tcBorders>
                  <w:shd w:val="clear" w:color="auto" w:fill="auto"/>
                  <w:noWrap/>
                  <w:vAlign w:val="center"/>
                </w:tcPr>
                <w:p w14:paraId="7C9FDE65">
                  <w:pPr>
                    <w:jc w:val="center"/>
                    <w:rPr>
                      <w:rFonts w:hint="default"/>
                      <w:color w:val="auto"/>
                    </w:rPr>
                  </w:pPr>
                  <w:r>
                    <w:rPr>
                      <w:rFonts w:hint="default"/>
                      <w:color w:val="auto"/>
                      <w:lang w:val="en-US" w:eastAsia="zh-CN"/>
                    </w:rPr>
                    <w:t>25.00</w:t>
                  </w:r>
                </w:p>
              </w:tc>
              <w:tc>
                <w:tcPr>
                  <w:tcW w:w="840" w:type="dxa"/>
                  <w:tcBorders>
                    <w:tl2br w:val="nil"/>
                    <w:tr2bl w:val="nil"/>
                  </w:tcBorders>
                  <w:shd w:val="clear" w:color="auto" w:fill="auto"/>
                  <w:vAlign w:val="center"/>
                </w:tcPr>
                <w:p w14:paraId="2813C7C4">
                  <w:pPr>
                    <w:jc w:val="center"/>
                    <w:rPr>
                      <w:rFonts w:hint="default"/>
                      <w:color w:val="auto"/>
                      <w:lang w:val="en-US"/>
                    </w:rPr>
                  </w:pPr>
                  <w:r>
                    <w:rPr>
                      <w:rFonts w:hint="eastAsia"/>
                      <w:color w:val="auto"/>
                      <w:lang w:val="en-US" w:eastAsia="zh-CN"/>
                    </w:rPr>
                    <w:t>131</w:t>
                  </w:r>
                </w:p>
              </w:tc>
              <w:tc>
                <w:tcPr>
                  <w:tcW w:w="720" w:type="dxa"/>
                  <w:tcBorders>
                    <w:tl2br w:val="nil"/>
                    <w:tr2bl w:val="nil"/>
                  </w:tcBorders>
                  <w:shd w:val="clear" w:color="auto" w:fill="auto"/>
                  <w:noWrap/>
                  <w:vAlign w:val="bottom"/>
                </w:tcPr>
                <w:p w14:paraId="6E29963E">
                  <w:pPr>
                    <w:jc w:val="center"/>
                    <w:rPr>
                      <w:rFonts w:hint="default"/>
                      <w:color w:val="auto"/>
                      <w:lang w:val="en-US" w:eastAsia="zh-CN"/>
                    </w:rPr>
                  </w:pPr>
                  <w:r>
                    <w:rPr>
                      <w:rFonts w:hint="eastAsia"/>
                      <w:color w:val="auto"/>
                      <w:lang w:val="en-US" w:eastAsia="zh-CN"/>
                    </w:rPr>
                    <w:t>42.35</w:t>
                  </w:r>
                </w:p>
              </w:tc>
              <w:tc>
                <w:tcPr>
                  <w:tcW w:w="773" w:type="dxa"/>
                  <w:tcBorders>
                    <w:tl2br w:val="nil"/>
                    <w:tr2bl w:val="nil"/>
                  </w:tcBorders>
                  <w:shd w:val="clear" w:color="auto" w:fill="auto"/>
                  <w:noWrap/>
                  <w:vAlign w:val="bottom"/>
                </w:tcPr>
                <w:p w14:paraId="680CDB39">
                  <w:pPr>
                    <w:jc w:val="center"/>
                    <w:rPr>
                      <w:rFonts w:hint="default"/>
                      <w:color w:val="auto"/>
                      <w:lang w:val="en-US" w:eastAsia="zh-CN"/>
                    </w:rPr>
                  </w:pPr>
                  <w:r>
                    <w:rPr>
                      <w:rFonts w:hint="eastAsia"/>
                      <w:color w:val="auto"/>
                      <w:lang w:val="en-US" w:eastAsia="zh-CN"/>
                    </w:rPr>
                    <w:t>32.65</w:t>
                  </w:r>
                </w:p>
              </w:tc>
              <w:tc>
                <w:tcPr>
                  <w:tcW w:w="817" w:type="dxa"/>
                  <w:vMerge w:val="continue"/>
                  <w:tcBorders>
                    <w:tl2br w:val="nil"/>
                    <w:tr2bl w:val="nil"/>
                  </w:tcBorders>
                  <w:shd w:val="clear" w:color="auto" w:fill="auto"/>
                  <w:noWrap/>
                  <w:vAlign w:val="center"/>
                </w:tcPr>
                <w:p w14:paraId="49F869A9">
                  <w:pPr>
                    <w:jc w:val="center"/>
                    <w:rPr>
                      <w:rFonts w:hint="default"/>
                      <w:color w:val="auto"/>
                    </w:rPr>
                  </w:pPr>
                </w:p>
              </w:tc>
            </w:tr>
            <w:tr w14:paraId="561A1B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36" w:type="dxa"/>
                  <w:vMerge w:val="restart"/>
                  <w:tcBorders>
                    <w:tl2br w:val="nil"/>
                    <w:tr2bl w:val="nil"/>
                  </w:tcBorders>
                  <w:shd w:val="clear" w:color="auto" w:fill="auto"/>
                  <w:noWrap/>
                  <w:vAlign w:val="center"/>
                </w:tcPr>
                <w:p w14:paraId="422CFCC4">
                  <w:pPr>
                    <w:jc w:val="center"/>
                    <w:rPr>
                      <w:rFonts w:hint="eastAsia"/>
                      <w:color w:val="auto"/>
                      <w:lang w:val="en-US" w:eastAsia="zh-CN"/>
                    </w:rPr>
                  </w:pPr>
                  <w:r>
                    <w:rPr>
                      <w:rFonts w:hint="eastAsia"/>
                      <w:color w:val="auto"/>
                      <w:lang w:val="en-US" w:eastAsia="zh-CN"/>
                    </w:rPr>
                    <w:t>余</w:t>
                  </w:r>
                </w:p>
                <w:p w14:paraId="5934394A">
                  <w:pPr>
                    <w:jc w:val="center"/>
                    <w:rPr>
                      <w:rFonts w:hint="eastAsia"/>
                      <w:color w:val="auto"/>
                      <w:lang w:val="en-US" w:eastAsia="zh-CN"/>
                    </w:rPr>
                  </w:pPr>
                  <w:r>
                    <w:rPr>
                      <w:rFonts w:hint="eastAsia"/>
                      <w:color w:val="auto"/>
                      <w:lang w:val="en-US" w:eastAsia="zh-CN"/>
                    </w:rPr>
                    <w:t>家</w:t>
                  </w:r>
                </w:p>
                <w:p w14:paraId="623D2B02">
                  <w:pPr>
                    <w:jc w:val="center"/>
                    <w:rPr>
                      <w:rFonts w:hint="default" w:eastAsia="宋体"/>
                      <w:color w:val="auto"/>
                      <w:lang w:val="en-US" w:eastAsia="zh-CN"/>
                    </w:rPr>
                  </w:pPr>
                  <w:r>
                    <w:rPr>
                      <w:rFonts w:hint="eastAsia"/>
                      <w:color w:val="auto"/>
                      <w:lang w:val="en-US" w:eastAsia="zh-CN"/>
                    </w:rPr>
                    <w:t>庄（沙86斜）</w:t>
                  </w:r>
                </w:p>
              </w:tc>
              <w:tc>
                <w:tcPr>
                  <w:tcW w:w="876" w:type="dxa"/>
                  <w:tcBorders>
                    <w:tl2br w:val="nil"/>
                    <w:tr2bl w:val="nil"/>
                  </w:tcBorders>
                  <w:shd w:val="clear" w:color="auto" w:fill="auto"/>
                  <w:vAlign w:val="center"/>
                </w:tcPr>
                <w:p w14:paraId="524AF8A2">
                  <w:pPr>
                    <w:jc w:val="center"/>
                    <w:rPr>
                      <w:color w:val="auto"/>
                      <w:lang w:val="en-US" w:eastAsia="zh-CN"/>
                    </w:rPr>
                  </w:pPr>
                  <w:r>
                    <w:rPr>
                      <w:color w:val="auto"/>
                      <w:lang w:val="en-US" w:eastAsia="zh-CN"/>
                    </w:rPr>
                    <w:t>钻机</w:t>
                  </w:r>
                </w:p>
              </w:tc>
              <w:tc>
                <w:tcPr>
                  <w:tcW w:w="755" w:type="dxa"/>
                  <w:tcBorders>
                    <w:tl2br w:val="nil"/>
                    <w:tr2bl w:val="nil"/>
                  </w:tcBorders>
                  <w:shd w:val="clear" w:color="auto" w:fill="auto"/>
                  <w:vAlign w:val="center"/>
                </w:tcPr>
                <w:p w14:paraId="6A0FE923">
                  <w:pPr>
                    <w:jc w:val="center"/>
                    <w:rPr>
                      <w:rFonts w:hint="default"/>
                      <w:color w:val="auto"/>
                      <w:lang w:val="en-US" w:eastAsia="zh-CN"/>
                    </w:rPr>
                  </w:pPr>
                  <w:r>
                    <w:rPr>
                      <w:rFonts w:hint="default"/>
                      <w:color w:val="auto"/>
                      <w:lang w:val="en-US" w:eastAsia="zh-CN"/>
                    </w:rPr>
                    <w:t>85</w:t>
                  </w:r>
                </w:p>
              </w:tc>
              <w:tc>
                <w:tcPr>
                  <w:tcW w:w="627" w:type="dxa"/>
                  <w:tcBorders>
                    <w:tl2br w:val="nil"/>
                    <w:tr2bl w:val="nil"/>
                  </w:tcBorders>
                  <w:shd w:val="clear" w:color="auto" w:fill="auto"/>
                  <w:vAlign w:val="center"/>
                </w:tcPr>
                <w:p w14:paraId="71DDFD34">
                  <w:pPr>
                    <w:jc w:val="center"/>
                    <w:rPr>
                      <w:rFonts w:hint="default"/>
                      <w:color w:val="auto"/>
                      <w:lang w:val="en-US" w:eastAsia="zh-CN"/>
                    </w:rPr>
                  </w:pPr>
                  <w:r>
                    <w:rPr>
                      <w:rFonts w:hint="default"/>
                      <w:color w:val="auto"/>
                      <w:lang w:val="en-US" w:eastAsia="zh-CN"/>
                    </w:rPr>
                    <w:t>1</w:t>
                  </w:r>
                </w:p>
              </w:tc>
              <w:tc>
                <w:tcPr>
                  <w:tcW w:w="853" w:type="dxa"/>
                  <w:tcBorders>
                    <w:tl2br w:val="nil"/>
                    <w:tr2bl w:val="nil"/>
                  </w:tcBorders>
                  <w:shd w:val="clear" w:color="auto" w:fill="auto"/>
                  <w:noWrap/>
                  <w:vAlign w:val="center"/>
                </w:tcPr>
                <w:p w14:paraId="4CF4454E">
                  <w:pPr>
                    <w:jc w:val="center"/>
                    <w:rPr>
                      <w:rFonts w:hint="default"/>
                      <w:color w:val="auto"/>
                      <w:lang w:val="en-US" w:eastAsia="zh-CN"/>
                    </w:rPr>
                  </w:pPr>
                  <w:r>
                    <w:rPr>
                      <w:rFonts w:hint="default"/>
                      <w:color w:val="auto"/>
                      <w:lang w:val="en-US" w:eastAsia="zh-CN"/>
                    </w:rPr>
                    <w:t>85.00</w:t>
                  </w:r>
                </w:p>
              </w:tc>
              <w:tc>
                <w:tcPr>
                  <w:tcW w:w="760" w:type="dxa"/>
                  <w:tcBorders>
                    <w:tl2br w:val="nil"/>
                    <w:tr2bl w:val="nil"/>
                  </w:tcBorders>
                  <w:shd w:val="clear" w:color="auto" w:fill="auto"/>
                  <w:noWrap/>
                  <w:vAlign w:val="center"/>
                </w:tcPr>
                <w:p w14:paraId="2F28AE76">
                  <w:pPr>
                    <w:jc w:val="center"/>
                    <w:rPr>
                      <w:rFonts w:hint="default"/>
                      <w:color w:val="auto"/>
                      <w:lang w:val="en-US" w:eastAsia="zh-CN"/>
                    </w:rPr>
                  </w:pPr>
                  <w:r>
                    <w:rPr>
                      <w:rFonts w:hint="default"/>
                      <w:color w:val="auto"/>
                      <w:lang w:val="en-US" w:eastAsia="zh-CN"/>
                    </w:rPr>
                    <w:t>25.00</w:t>
                  </w:r>
                </w:p>
              </w:tc>
              <w:tc>
                <w:tcPr>
                  <w:tcW w:w="840" w:type="dxa"/>
                  <w:tcBorders>
                    <w:tl2br w:val="nil"/>
                    <w:tr2bl w:val="nil"/>
                  </w:tcBorders>
                  <w:shd w:val="clear" w:color="auto" w:fill="auto"/>
                  <w:vAlign w:val="center"/>
                </w:tcPr>
                <w:p w14:paraId="0E805821">
                  <w:pPr>
                    <w:jc w:val="center"/>
                    <w:rPr>
                      <w:rFonts w:hint="default"/>
                      <w:color w:val="auto"/>
                      <w:lang w:val="en-US" w:eastAsia="zh-CN"/>
                    </w:rPr>
                  </w:pPr>
                  <w:r>
                    <w:rPr>
                      <w:rFonts w:hint="eastAsia"/>
                      <w:color w:val="auto"/>
                      <w:lang w:val="en-US" w:eastAsia="zh-CN"/>
                    </w:rPr>
                    <w:t>71</w:t>
                  </w:r>
                </w:p>
              </w:tc>
              <w:tc>
                <w:tcPr>
                  <w:tcW w:w="720" w:type="dxa"/>
                  <w:tcBorders>
                    <w:tl2br w:val="nil"/>
                    <w:tr2bl w:val="nil"/>
                  </w:tcBorders>
                  <w:shd w:val="clear" w:color="auto" w:fill="auto"/>
                  <w:noWrap/>
                  <w:vAlign w:val="bottom"/>
                </w:tcPr>
                <w:p w14:paraId="7EDB58A0">
                  <w:pPr>
                    <w:jc w:val="center"/>
                    <w:rPr>
                      <w:rFonts w:hint="eastAsia"/>
                      <w:color w:val="auto"/>
                      <w:lang w:val="en-US" w:eastAsia="zh-CN"/>
                    </w:rPr>
                  </w:pPr>
                  <w:r>
                    <w:rPr>
                      <w:rFonts w:hint="eastAsia"/>
                      <w:color w:val="auto"/>
                      <w:lang w:val="en-US" w:eastAsia="zh-CN"/>
                    </w:rPr>
                    <w:t>37.03</w:t>
                  </w:r>
                </w:p>
              </w:tc>
              <w:tc>
                <w:tcPr>
                  <w:tcW w:w="773" w:type="dxa"/>
                  <w:tcBorders>
                    <w:tl2br w:val="nil"/>
                    <w:tr2bl w:val="nil"/>
                  </w:tcBorders>
                  <w:shd w:val="clear" w:color="auto" w:fill="auto"/>
                  <w:noWrap/>
                  <w:vAlign w:val="bottom"/>
                </w:tcPr>
                <w:p w14:paraId="4B5AE69E">
                  <w:pPr>
                    <w:jc w:val="center"/>
                    <w:rPr>
                      <w:rFonts w:hint="eastAsia"/>
                      <w:color w:val="auto"/>
                      <w:lang w:val="en-US" w:eastAsia="zh-CN"/>
                    </w:rPr>
                  </w:pPr>
                  <w:r>
                    <w:rPr>
                      <w:rFonts w:hint="eastAsia"/>
                      <w:color w:val="auto"/>
                      <w:lang w:val="en-US" w:eastAsia="zh-CN"/>
                    </w:rPr>
                    <w:t>22.97</w:t>
                  </w:r>
                </w:p>
              </w:tc>
              <w:tc>
                <w:tcPr>
                  <w:tcW w:w="817" w:type="dxa"/>
                  <w:vMerge w:val="restart"/>
                  <w:tcBorders>
                    <w:tl2br w:val="nil"/>
                    <w:tr2bl w:val="nil"/>
                  </w:tcBorders>
                  <w:shd w:val="clear" w:color="auto" w:fill="auto"/>
                  <w:noWrap/>
                  <w:vAlign w:val="center"/>
                </w:tcPr>
                <w:p w14:paraId="24301FE9">
                  <w:pPr>
                    <w:jc w:val="center"/>
                    <w:rPr>
                      <w:rFonts w:hint="default" w:eastAsia="宋体"/>
                      <w:color w:val="auto"/>
                      <w:lang w:val="en-US" w:eastAsia="zh-CN"/>
                    </w:rPr>
                  </w:pPr>
                  <w:r>
                    <w:rPr>
                      <w:rFonts w:hint="eastAsia"/>
                      <w:color w:val="auto"/>
                      <w:lang w:val="en-US" w:eastAsia="zh-CN"/>
                    </w:rPr>
                    <w:t>43.60</w:t>
                  </w:r>
                </w:p>
              </w:tc>
            </w:tr>
            <w:tr w14:paraId="7F87F1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6" w:type="dxa"/>
                  <w:vMerge w:val="continue"/>
                  <w:tcBorders>
                    <w:tl2br w:val="nil"/>
                    <w:tr2bl w:val="nil"/>
                  </w:tcBorders>
                  <w:shd w:val="clear" w:color="auto" w:fill="auto"/>
                  <w:noWrap/>
                  <w:vAlign w:val="center"/>
                </w:tcPr>
                <w:p w14:paraId="67D106C5">
                  <w:pPr>
                    <w:jc w:val="center"/>
                    <w:rPr>
                      <w:rFonts w:hint="default"/>
                      <w:color w:val="auto"/>
                    </w:rPr>
                  </w:pPr>
                </w:p>
              </w:tc>
              <w:tc>
                <w:tcPr>
                  <w:tcW w:w="876" w:type="dxa"/>
                  <w:tcBorders>
                    <w:tl2br w:val="nil"/>
                    <w:tr2bl w:val="nil"/>
                  </w:tcBorders>
                  <w:shd w:val="clear" w:color="auto" w:fill="auto"/>
                  <w:vAlign w:val="center"/>
                </w:tcPr>
                <w:p w14:paraId="7751F374">
                  <w:pPr>
                    <w:jc w:val="center"/>
                    <w:rPr>
                      <w:color w:val="auto"/>
                      <w:lang w:val="en-US" w:eastAsia="zh-CN"/>
                    </w:rPr>
                  </w:pPr>
                  <w:r>
                    <w:rPr>
                      <w:color w:val="auto"/>
                      <w:lang w:val="en-US" w:eastAsia="zh-CN"/>
                    </w:rPr>
                    <w:t>钻井泵</w:t>
                  </w:r>
                </w:p>
              </w:tc>
              <w:tc>
                <w:tcPr>
                  <w:tcW w:w="755" w:type="dxa"/>
                  <w:tcBorders>
                    <w:tl2br w:val="nil"/>
                    <w:tr2bl w:val="nil"/>
                  </w:tcBorders>
                  <w:shd w:val="clear" w:color="auto" w:fill="auto"/>
                  <w:vAlign w:val="center"/>
                </w:tcPr>
                <w:p w14:paraId="6931921A">
                  <w:pPr>
                    <w:jc w:val="center"/>
                    <w:rPr>
                      <w:rFonts w:hint="default"/>
                      <w:color w:val="auto"/>
                      <w:lang w:val="en-US" w:eastAsia="zh-CN"/>
                    </w:rPr>
                  </w:pPr>
                  <w:r>
                    <w:rPr>
                      <w:rFonts w:hint="default"/>
                      <w:color w:val="auto"/>
                      <w:lang w:val="en-US" w:eastAsia="zh-CN"/>
                    </w:rPr>
                    <w:t>90</w:t>
                  </w:r>
                </w:p>
              </w:tc>
              <w:tc>
                <w:tcPr>
                  <w:tcW w:w="627" w:type="dxa"/>
                  <w:tcBorders>
                    <w:tl2br w:val="nil"/>
                    <w:tr2bl w:val="nil"/>
                  </w:tcBorders>
                  <w:shd w:val="clear" w:color="auto" w:fill="auto"/>
                  <w:vAlign w:val="center"/>
                </w:tcPr>
                <w:p w14:paraId="704EB45B">
                  <w:pPr>
                    <w:jc w:val="center"/>
                    <w:rPr>
                      <w:rFonts w:hint="default"/>
                      <w:color w:val="auto"/>
                      <w:lang w:val="en-US" w:eastAsia="zh-CN"/>
                    </w:rPr>
                  </w:pPr>
                  <w:r>
                    <w:rPr>
                      <w:rFonts w:hint="default"/>
                      <w:color w:val="auto"/>
                      <w:lang w:val="en-US" w:eastAsia="zh-CN"/>
                    </w:rPr>
                    <w:t>1</w:t>
                  </w:r>
                </w:p>
              </w:tc>
              <w:tc>
                <w:tcPr>
                  <w:tcW w:w="853" w:type="dxa"/>
                  <w:tcBorders>
                    <w:tl2br w:val="nil"/>
                    <w:tr2bl w:val="nil"/>
                  </w:tcBorders>
                  <w:shd w:val="clear" w:color="auto" w:fill="auto"/>
                  <w:noWrap/>
                  <w:vAlign w:val="center"/>
                </w:tcPr>
                <w:p w14:paraId="446520A3">
                  <w:pPr>
                    <w:jc w:val="center"/>
                    <w:rPr>
                      <w:rFonts w:hint="default"/>
                      <w:color w:val="auto"/>
                      <w:lang w:val="en-US" w:eastAsia="zh-CN"/>
                    </w:rPr>
                  </w:pPr>
                  <w:r>
                    <w:rPr>
                      <w:rFonts w:hint="default"/>
                      <w:color w:val="auto"/>
                      <w:lang w:val="en-US" w:eastAsia="zh-CN"/>
                    </w:rPr>
                    <w:t>90.00</w:t>
                  </w:r>
                </w:p>
              </w:tc>
              <w:tc>
                <w:tcPr>
                  <w:tcW w:w="760" w:type="dxa"/>
                  <w:tcBorders>
                    <w:tl2br w:val="nil"/>
                    <w:tr2bl w:val="nil"/>
                  </w:tcBorders>
                  <w:shd w:val="clear" w:color="auto" w:fill="auto"/>
                  <w:noWrap/>
                  <w:vAlign w:val="center"/>
                </w:tcPr>
                <w:p w14:paraId="25FBBB57">
                  <w:pPr>
                    <w:jc w:val="center"/>
                    <w:rPr>
                      <w:rFonts w:hint="default"/>
                      <w:color w:val="auto"/>
                      <w:lang w:val="en-US" w:eastAsia="zh-CN"/>
                    </w:rPr>
                  </w:pPr>
                  <w:r>
                    <w:rPr>
                      <w:rFonts w:hint="default"/>
                      <w:color w:val="auto"/>
                      <w:lang w:val="en-US" w:eastAsia="zh-CN"/>
                    </w:rPr>
                    <w:t>25.00</w:t>
                  </w:r>
                </w:p>
              </w:tc>
              <w:tc>
                <w:tcPr>
                  <w:tcW w:w="840" w:type="dxa"/>
                  <w:tcBorders>
                    <w:tl2br w:val="nil"/>
                    <w:tr2bl w:val="nil"/>
                  </w:tcBorders>
                  <w:shd w:val="clear" w:color="auto" w:fill="auto"/>
                  <w:vAlign w:val="center"/>
                </w:tcPr>
                <w:p w14:paraId="740207B9">
                  <w:pPr>
                    <w:jc w:val="center"/>
                    <w:rPr>
                      <w:rFonts w:hint="default"/>
                      <w:color w:val="auto"/>
                      <w:lang w:val="en-US" w:eastAsia="zh-CN"/>
                    </w:rPr>
                  </w:pPr>
                  <w:r>
                    <w:rPr>
                      <w:rFonts w:hint="eastAsia"/>
                      <w:color w:val="auto"/>
                      <w:lang w:val="en-US" w:eastAsia="zh-CN"/>
                    </w:rPr>
                    <w:t>74</w:t>
                  </w:r>
                </w:p>
              </w:tc>
              <w:tc>
                <w:tcPr>
                  <w:tcW w:w="720" w:type="dxa"/>
                  <w:tcBorders>
                    <w:tl2br w:val="nil"/>
                    <w:tr2bl w:val="nil"/>
                  </w:tcBorders>
                  <w:shd w:val="clear" w:color="auto" w:fill="auto"/>
                  <w:noWrap/>
                  <w:vAlign w:val="bottom"/>
                </w:tcPr>
                <w:p w14:paraId="6A28D038">
                  <w:pPr>
                    <w:jc w:val="center"/>
                    <w:rPr>
                      <w:rFonts w:hint="eastAsia"/>
                      <w:color w:val="auto"/>
                      <w:lang w:val="en-US" w:eastAsia="zh-CN"/>
                    </w:rPr>
                  </w:pPr>
                  <w:r>
                    <w:rPr>
                      <w:rFonts w:hint="eastAsia"/>
                      <w:color w:val="auto"/>
                      <w:lang w:val="en-US" w:eastAsia="zh-CN"/>
                    </w:rPr>
                    <w:t>37.38</w:t>
                  </w:r>
                </w:p>
              </w:tc>
              <w:tc>
                <w:tcPr>
                  <w:tcW w:w="773" w:type="dxa"/>
                  <w:tcBorders>
                    <w:tl2br w:val="nil"/>
                    <w:tr2bl w:val="nil"/>
                  </w:tcBorders>
                  <w:shd w:val="clear" w:color="auto" w:fill="auto"/>
                  <w:noWrap/>
                  <w:vAlign w:val="bottom"/>
                </w:tcPr>
                <w:p w14:paraId="50EE3ED5">
                  <w:pPr>
                    <w:jc w:val="center"/>
                    <w:rPr>
                      <w:rFonts w:hint="eastAsia"/>
                      <w:color w:val="auto"/>
                      <w:lang w:val="en-US" w:eastAsia="zh-CN"/>
                    </w:rPr>
                  </w:pPr>
                  <w:r>
                    <w:rPr>
                      <w:rFonts w:hint="eastAsia"/>
                      <w:color w:val="auto"/>
                      <w:lang w:val="en-US" w:eastAsia="zh-CN"/>
                    </w:rPr>
                    <w:t>27.62</w:t>
                  </w:r>
                </w:p>
              </w:tc>
              <w:tc>
                <w:tcPr>
                  <w:tcW w:w="817" w:type="dxa"/>
                  <w:vMerge w:val="continue"/>
                  <w:tcBorders>
                    <w:tl2br w:val="nil"/>
                    <w:tr2bl w:val="nil"/>
                  </w:tcBorders>
                  <w:shd w:val="clear" w:color="auto" w:fill="auto"/>
                  <w:noWrap/>
                  <w:vAlign w:val="center"/>
                </w:tcPr>
                <w:p w14:paraId="112342E0">
                  <w:pPr>
                    <w:jc w:val="center"/>
                    <w:rPr>
                      <w:rFonts w:hint="default"/>
                      <w:color w:val="auto"/>
                    </w:rPr>
                  </w:pPr>
                </w:p>
              </w:tc>
            </w:tr>
            <w:tr w14:paraId="0DA031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6" w:type="dxa"/>
                  <w:vMerge w:val="continue"/>
                  <w:tcBorders>
                    <w:tl2br w:val="nil"/>
                    <w:tr2bl w:val="nil"/>
                  </w:tcBorders>
                  <w:shd w:val="clear" w:color="auto" w:fill="auto"/>
                  <w:noWrap/>
                  <w:vAlign w:val="center"/>
                </w:tcPr>
                <w:p w14:paraId="62917800">
                  <w:pPr>
                    <w:jc w:val="center"/>
                    <w:rPr>
                      <w:rFonts w:hint="default"/>
                      <w:color w:val="auto"/>
                    </w:rPr>
                  </w:pPr>
                </w:p>
              </w:tc>
              <w:tc>
                <w:tcPr>
                  <w:tcW w:w="876" w:type="dxa"/>
                  <w:tcBorders>
                    <w:tl2br w:val="nil"/>
                    <w:tr2bl w:val="nil"/>
                  </w:tcBorders>
                  <w:shd w:val="clear" w:color="auto" w:fill="auto"/>
                  <w:vAlign w:val="center"/>
                </w:tcPr>
                <w:p w14:paraId="111F5767">
                  <w:pPr>
                    <w:jc w:val="center"/>
                    <w:rPr>
                      <w:color w:val="auto"/>
                      <w:lang w:val="en-US" w:eastAsia="zh-CN"/>
                    </w:rPr>
                  </w:pPr>
                  <w:r>
                    <w:rPr>
                      <w:color w:val="auto"/>
                      <w:lang w:val="en-US" w:eastAsia="zh-CN"/>
                    </w:rPr>
                    <w:t>振动筛</w:t>
                  </w:r>
                </w:p>
              </w:tc>
              <w:tc>
                <w:tcPr>
                  <w:tcW w:w="755" w:type="dxa"/>
                  <w:tcBorders>
                    <w:tl2br w:val="nil"/>
                    <w:tr2bl w:val="nil"/>
                  </w:tcBorders>
                  <w:shd w:val="clear" w:color="auto" w:fill="auto"/>
                  <w:vAlign w:val="center"/>
                </w:tcPr>
                <w:p w14:paraId="5BA24E36">
                  <w:pPr>
                    <w:jc w:val="center"/>
                    <w:rPr>
                      <w:rFonts w:hint="default"/>
                      <w:color w:val="auto"/>
                      <w:lang w:val="en-US" w:eastAsia="zh-CN"/>
                    </w:rPr>
                  </w:pPr>
                  <w:r>
                    <w:rPr>
                      <w:rFonts w:hint="default"/>
                      <w:color w:val="auto"/>
                      <w:lang w:val="en-US" w:eastAsia="zh-CN"/>
                    </w:rPr>
                    <w:t>90</w:t>
                  </w:r>
                </w:p>
              </w:tc>
              <w:tc>
                <w:tcPr>
                  <w:tcW w:w="627" w:type="dxa"/>
                  <w:tcBorders>
                    <w:tl2br w:val="nil"/>
                    <w:tr2bl w:val="nil"/>
                  </w:tcBorders>
                  <w:shd w:val="clear" w:color="auto" w:fill="auto"/>
                  <w:vAlign w:val="center"/>
                </w:tcPr>
                <w:p w14:paraId="37E2F154">
                  <w:pPr>
                    <w:jc w:val="center"/>
                    <w:rPr>
                      <w:rFonts w:hint="default"/>
                      <w:color w:val="auto"/>
                      <w:lang w:val="en-US" w:eastAsia="zh-CN"/>
                    </w:rPr>
                  </w:pPr>
                  <w:r>
                    <w:rPr>
                      <w:rFonts w:hint="default"/>
                      <w:color w:val="auto"/>
                      <w:lang w:val="en-US" w:eastAsia="zh-CN"/>
                    </w:rPr>
                    <w:t>1</w:t>
                  </w:r>
                </w:p>
              </w:tc>
              <w:tc>
                <w:tcPr>
                  <w:tcW w:w="853" w:type="dxa"/>
                  <w:tcBorders>
                    <w:tl2br w:val="nil"/>
                    <w:tr2bl w:val="nil"/>
                  </w:tcBorders>
                  <w:shd w:val="clear" w:color="auto" w:fill="auto"/>
                  <w:noWrap/>
                  <w:vAlign w:val="center"/>
                </w:tcPr>
                <w:p w14:paraId="71007A05">
                  <w:pPr>
                    <w:jc w:val="center"/>
                    <w:rPr>
                      <w:rFonts w:hint="default"/>
                      <w:color w:val="auto"/>
                      <w:lang w:val="en-US" w:eastAsia="zh-CN"/>
                    </w:rPr>
                  </w:pPr>
                  <w:r>
                    <w:rPr>
                      <w:rFonts w:hint="default"/>
                      <w:color w:val="auto"/>
                      <w:lang w:val="en-US" w:eastAsia="zh-CN"/>
                    </w:rPr>
                    <w:t>90.00</w:t>
                  </w:r>
                </w:p>
              </w:tc>
              <w:tc>
                <w:tcPr>
                  <w:tcW w:w="760" w:type="dxa"/>
                  <w:tcBorders>
                    <w:tl2br w:val="nil"/>
                    <w:tr2bl w:val="nil"/>
                  </w:tcBorders>
                  <w:shd w:val="clear" w:color="auto" w:fill="auto"/>
                  <w:noWrap/>
                  <w:vAlign w:val="center"/>
                </w:tcPr>
                <w:p w14:paraId="7D3C9FB7">
                  <w:pPr>
                    <w:jc w:val="center"/>
                    <w:rPr>
                      <w:rFonts w:hint="default"/>
                      <w:color w:val="auto"/>
                      <w:lang w:val="en-US" w:eastAsia="zh-CN"/>
                    </w:rPr>
                  </w:pPr>
                  <w:r>
                    <w:rPr>
                      <w:rFonts w:hint="default"/>
                      <w:color w:val="auto"/>
                      <w:lang w:val="en-US" w:eastAsia="zh-CN"/>
                    </w:rPr>
                    <w:t>25.00</w:t>
                  </w:r>
                </w:p>
              </w:tc>
              <w:tc>
                <w:tcPr>
                  <w:tcW w:w="840" w:type="dxa"/>
                  <w:tcBorders>
                    <w:tl2br w:val="nil"/>
                    <w:tr2bl w:val="nil"/>
                  </w:tcBorders>
                  <w:shd w:val="clear" w:color="auto" w:fill="auto"/>
                  <w:vAlign w:val="center"/>
                </w:tcPr>
                <w:p w14:paraId="53117EFE">
                  <w:pPr>
                    <w:jc w:val="center"/>
                    <w:rPr>
                      <w:rFonts w:hint="default"/>
                      <w:color w:val="auto"/>
                      <w:lang w:val="en-US" w:eastAsia="zh-CN"/>
                    </w:rPr>
                  </w:pPr>
                  <w:r>
                    <w:rPr>
                      <w:rFonts w:hint="eastAsia"/>
                      <w:color w:val="auto"/>
                      <w:lang w:val="en-US" w:eastAsia="zh-CN"/>
                    </w:rPr>
                    <w:t>76</w:t>
                  </w:r>
                </w:p>
              </w:tc>
              <w:tc>
                <w:tcPr>
                  <w:tcW w:w="720" w:type="dxa"/>
                  <w:tcBorders>
                    <w:tl2br w:val="nil"/>
                    <w:tr2bl w:val="nil"/>
                  </w:tcBorders>
                  <w:shd w:val="clear" w:color="auto" w:fill="auto"/>
                  <w:noWrap/>
                  <w:vAlign w:val="bottom"/>
                </w:tcPr>
                <w:p w14:paraId="1C29AF89">
                  <w:pPr>
                    <w:jc w:val="center"/>
                    <w:rPr>
                      <w:rFonts w:hint="eastAsia"/>
                      <w:color w:val="auto"/>
                      <w:lang w:val="en-US" w:eastAsia="zh-CN"/>
                    </w:rPr>
                  </w:pPr>
                  <w:r>
                    <w:rPr>
                      <w:rFonts w:hint="eastAsia"/>
                      <w:color w:val="auto"/>
                      <w:lang w:val="en-US" w:eastAsia="zh-CN"/>
                    </w:rPr>
                    <w:t>37.62</w:t>
                  </w:r>
                </w:p>
              </w:tc>
              <w:tc>
                <w:tcPr>
                  <w:tcW w:w="773" w:type="dxa"/>
                  <w:tcBorders>
                    <w:tl2br w:val="nil"/>
                    <w:tr2bl w:val="nil"/>
                  </w:tcBorders>
                  <w:shd w:val="clear" w:color="auto" w:fill="auto"/>
                  <w:noWrap/>
                  <w:vAlign w:val="bottom"/>
                </w:tcPr>
                <w:p w14:paraId="7E1255E3">
                  <w:pPr>
                    <w:jc w:val="center"/>
                    <w:rPr>
                      <w:rFonts w:hint="eastAsia"/>
                      <w:color w:val="auto"/>
                      <w:lang w:val="en-US" w:eastAsia="zh-CN"/>
                    </w:rPr>
                  </w:pPr>
                  <w:r>
                    <w:rPr>
                      <w:rFonts w:hint="eastAsia"/>
                      <w:color w:val="auto"/>
                      <w:lang w:val="en-US" w:eastAsia="zh-CN"/>
                    </w:rPr>
                    <w:t>27.38</w:t>
                  </w:r>
                </w:p>
              </w:tc>
              <w:tc>
                <w:tcPr>
                  <w:tcW w:w="817" w:type="dxa"/>
                  <w:vMerge w:val="continue"/>
                  <w:tcBorders>
                    <w:tl2br w:val="nil"/>
                    <w:tr2bl w:val="nil"/>
                  </w:tcBorders>
                  <w:shd w:val="clear" w:color="auto" w:fill="auto"/>
                  <w:noWrap/>
                  <w:vAlign w:val="center"/>
                </w:tcPr>
                <w:p w14:paraId="722AD137">
                  <w:pPr>
                    <w:jc w:val="center"/>
                    <w:rPr>
                      <w:rFonts w:hint="default"/>
                      <w:color w:val="auto"/>
                    </w:rPr>
                  </w:pPr>
                </w:p>
              </w:tc>
            </w:tr>
            <w:tr w14:paraId="4C425E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6" w:type="dxa"/>
                  <w:vMerge w:val="continue"/>
                  <w:tcBorders>
                    <w:tl2br w:val="nil"/>
                    <w:tr2bl w:val="nil"/>
                  </w:tcBorders>
                  <w:shd w:val="clear" w:color="auto" w:fill="auto"/>
                  <w:noWrap/>
                  <w:vAlign w:val="center"/>
                </w:tcPr>
                <w:p w14:paraId="102D1C55">
                  <w:pPr>
                    <w:jc w:val="center"/>
                    <w:rPr>
                      <w:rFonts w:hint="default"/>
                      <w:color w:val="auto"/>
                    </w:rPr>
                  </w:pPr>
                </w:p>
              </w:tc>
              <w:tc>
                <w:tcPr>
                  <w:tcW w:w="876" w:type="dxa"/>
                  <w:tcBorders>
                    <w:tl2br w:val="nil"/>
                    <w:tr2bl w:val="nil"/>
                  </w:tcBorders>
                  <w:shd w:val="clear" w:color="auto" w:fill="auto"/>
                  <w:vAlign w:val="center"/>
                </w:tcPr>
                <w:p w14:paraId="6CE9ABD3">
                  <w:pPr>
                    <w:jc w:val="center"/>
                    <w:rPr>
                      <w:color w:val="auto"/>
                      <w:lang w:val="en-US" w:eastAsia="zh-CN"/>
                    </w:rPr>
                  </w:pPr>
                  <w:r>
                    <w:rPr>
                      <w:color w:val="auto"/>
                      <w:lang w:val="en-US" w:eastAsia="zh-CN"/>
                    </w:rPr>
                    <w:t>除砂器</w:t>
                  </w:r>
                </w:p>
              </w:tc>
              <w:tc>
                <w:tcPr>
                  <w:tcW w:w="755" w:type="dxa"/>
                  <w:tcBorders>
                    <w:tl2br w:val="nil"/>
                    <w:tr2bl w:val="nil"/>
                  </w:tcBorders>
                  <w:shd w:val="clear" w:color="auto" w:fill="auto"/>
                  <w:vAlign w:val="center"/>
                </w:tcPr>
                <w:p w14:paraId="25F790FB">
                  <w:pPr>
                    <w:jc w:val="center"/>
                    <w:rPr>
                      <w:rFonts w:hint="default"/>
                      <w:color w:val="auto"/>
                      <w:lang w:val="en-US" w:eastAsia="zh-CN"/>
                    </w:rPr>
                  </w:pPr>
                  <w:r>
                    <w:rPr>
                      <w:rFonts w:hint="default"/>
                      <w:color w:val="auto"/>
                      <w:lang w:val="en-US" w:eastAsia="zh-CN"/>
                    </w:rPr>
                    <w:t>90</w:t>
                  </w:r>
                </w:p>
              </w:tc>
              <w:tc>
                <w:tcPr>
                  <w:tcW w:w="627" w:type="dxa"/>
                  <w:tcBorders>
                    <w:tl2br w:val="nil"/>
                    <w:tr2bl w:val="nil"/>
                  </w:tcBorders>
                  <w:shd w:val="clear" w:color="auto" w:fill="auto"/>
                  <w:vAlign w:val="center"/>
                </w:tcPr>
                <w:p w14:paraId="6E3ECD50">
                  <w:pPr>
                    <w:jc w:val="center"/>
                    <w:rPr>
                      <w:rFonts w:hint="default"/>
                      <w:color w:val="auto"/>
                      <w:lang w:val="en-US" w:eastAsia="zh-CN"/>
                    </w:rPr>
                  </w:pPr>
                  <w:r>
                    <w:rPr>
                      <w:rFonts w:hint="default"/>
                      <w:color w:val="auto"/>
                      <w:lang w:val="en-US" w:eastAsia="zh-CN"/>
                    </w:rPr>
                    <w:t>1</w:t>
                  </w:r>
                </w:p>
              </w:tc>
              <w:tc>
                <w:tcPr>
                  <w:tcW w:w="853" w:type="dxa"/>
                  <w:tcBorders>
                    <w:tl2br w:val="nil"/>
                    <w:tr2bl w:val="nil"/>
                  </w:tcBorders>
                  <w:shd w:val="clear" w:color="auto" w:fill="auto"/>
                  <w:noWrap/>
                  <w:vAlign w:val="center"/>
                </w:tcPr>
                <w:p w14:paraId="01AEFFFA">
                  <w:pPr>
                    <w:jc w:val="center"/>
                    <w:rPr>
                      <w:rFonts w:hint="default"/>
                      <w:color w:val="auto"/>
                      <w:lang w:val="en-US" w:eastAsia="zh-CN"/>
                    </w:rPr>
                  </w:pPr>
                  <w:r>
                    <w:rPr>
                      <w:rFonts w:hint="default"/>
                      <w:color w:val="auto"/>
                      <w:lang w:val="en-US" w:eastAsia="zh-CN"/>
                    </w:rPr>
                    <w:t>90.00</w:t>
                  </w:r>
                </w:p>
              </w:tc>
              <w:tc>
                <w:tcPr>
                  <w:tcW w:w="760" w:type="dxa"/>
                  <w:tcBorders>
                    <w:tl2br w:val="nil"/>
                    <w:tr2bl w:val="nil"/>
                  </w:tcBorders>
                  <w:shd w:val="clear" w:color="auto" w:fill="auto"/>
                  <w:noWrap/>
                  <w:vAlign w:val="center"/>
                </w:tcPr>
                <w:p w14:paraId="0D0D53E9">
                  <w:pPr>
                    <w:jc w:val="center"/>
                    <w:rPr>
                      <w:rFonts w:hint="default"/>
                      <w:color w:val="auto"/>
                      <w:lang w:val="en-US" w:eastAsia="zh-CN"/>
                    </w:rPr>
                  </w:pPr>
                  <w:r>
                    <w:rPr>
                      <w:rFonts w:hint="default"/>
                      <w:color w:val="auto"/>
                      <w:lang w:val="en-US" w:eastAsia="zh-CN"/>
                    </w:rPr>
                    <w:t>25.00</w:t>
                  </w:r>
                </w:p>
              </w:tc>
              <w:tc>
                <w:tcPr>
                  <w:tcW w:w="840" w:type="dxa"/>
                  <w:tcBorders>
                    <w:tl2br w:val="nil"/>
                    <w:tr2bl w:val="nil"/>
                  </w:tcBorders>
                  <w:shd w:val="clear" w:color="auto" w:fill="auto"/>
                  <w:vAlign w:val="center"/>
                </w:tcPr>
                <w:p w14:paraId="3C1661BE">
                  <w:pPr>
                    <w:jc w:val="center"/>
                    <w:rPr>
                      <w:rFonts w:hint="default"/>
                      <w:color w:val="auto"/>
                      <w:lang w:val="en-US" w:eastAsia="zh-CN"/>
                    </w:rPr>
                  </w:pPr>
                  <w:r>
                    <w:rPr>
                      <w:rFonts w:hint="eastAsia"/>
                      <w:color w:val="auto"/>
                      <w:lang w:val="en-US" w:eastAsia="zh-CN"/>
                    </w:rPr>
                    <w:t>77</w:t>
                  </w:r>
                </w:p>
              </w:tc>
              <w:tc>
                <w:tcPr>
                  <w:tcW w:w="720" w:type="dxa"/>
                  <w:tcBorders>
                    <w:tl2br w:val="nil"/>
                    <w:tr2bl w:val="nil"/>
                  </w:tcBorders>
                  <w:shd w:val="clear" w:color="auto" w:fill="auto"/>
                  <w:noWrap/>
                  <w:vAlign w:val="bottom"/>
                </w:tcPr>
                <w:p w14:paraId="72E18AB2">
                  <w:pPr>
                    <w:jc w:val="center"/>
                    <w:rPr>
                      <w:rFonts w:hint="eastAsia"/>
                      <w:color w:val="auto"/>
                      <w:lang w:val="en-US" w:eastAsia="zh-CN"/>
                    </w:rPr>
                  </w:pPr>
                  <w:r>
                    <w:rPr>
                      <w:rFonts w:hint="eastAsia"/>
                      <w:color w:val="auto"/>
                      <w:lang w:val="en-US" w:eastAsia="zh-CN"/>
                    </w:rPr>
                    <w:t>37.73</w:t>
                  </w:r>
                </w:p>
              </w:tc>
              <w:tc>
                <w:tcPr>
                  <w:tcW w:w="773" w:type="dxa"/>
                  <w:tcBorders>
                    <w:tl2br w:val="nil"/>
                    <w:tr2bl w:val="nil"/>
                  </w:tcBorders>
                  <w:shd w:val="clear" w:color="auto" w:fill="auto"/>
                  <w:noWrap/>
                  <w:vAlign w:val="bottom"/>
                </w:tcPr>
                <w:p w14:paraId="57326C34">
                  <w:pPr>
                    <w:jc w:val="center"/>
                    <w:rPr>
                      <w:rFonts w:hint="eastAsia"/>
                      <w:color w:val="auto"/>
                      <w:lang w:val="en-US" w:eastAsia="zh-CN"/>
                    </w:rPr>
                  </w:pPr>
                  <w:r>
                    <w:rPr>
                      <w:rFonts w:hint="eastAsia"/>
                      <w:color w:val="auto"/>
                      <w:lang w:val="en-US" w:eastAsia="zh-CN"/>
                    </w:rPr>
                    <w:t>27.27</w:t>
                  </w:r>
                </w:p>
              </w:tc>
              <w:tc>
                <w:tcPr>
                  <w:tcW w:w="817" w:type="dxa"/>
                  <w:vMerge w:val="continue"/>
                  <w:tcBorders>
                    <w:tl2br w:val="nil"/>
                    <w:tr2bl w:val="nil"/>
                  </w:tcBorders>
                  <w:shd w:val="clear" w:color="auto" w:fill="auto"/>
                  <w:noWrap/>
                  <w:vAlign w:val="center"/>
                </w:tcPr>
                <w:p w14:paraId="6F6AF839">
                  <w:pPr>
                    <w:jc w:val="center"/>
                    <w:rPr>
                      <w:rFonts w:hint="default"/>
                      <w:color w:val="auto"/>
                    </w:rPr>
                  </w:pPr>
                </w:p>
              </w:tc>
            </w:tr>
            <w:tr w14:paraId="0D8EE1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36" w:type="dxa"/>
                  <w:vMerge w:val="continue"/>
                  <w:tcBorders>
                    <w:tl2br w:val="nil"/>
                    <w:tr2bl w:val="nil"/>
                  </w:tcBorders>
                  <w:shd w:val="clear" w:color="auto" w:fill="auto"/>
                  <w:noWrap/>
                  <w:vAlign w:val="center"/>
                </w:tcPr>
                <w:p w14:paraId="610C2958">
                  <w:pPr>
                    <w:jc w:val="center"/>
                    <w:rPr>
                      <w:rFonts w:hint="default"/>
                      <w:color w:val="auto"/>
                    </w:rPr>
                  </w:pPr>
                </w:p>
              </w:tc>
              <w:tc>
                <w:tcPr>
                  <w:tcW w:w="876" w:type="dxa"/>
                  <w:tcBorders>
                    <w:tl2br w:val="nil"/>
                    <w:tr2bl w:val="nil"/>
                  </w:tcBorders>
                  <w:shd w:val="clear" w:color="auto" w:fill="auto"/>
                  <w:vAlign w:val="center"/>
                </w:tcPr>
                <w:p w14:paraId="60812EEC">
                  <w:pPr>
                    <w:jc w:val="center"/>
                    <w:rPr>
                      <w:color w:val="auto"/>
                      <w:lang w:val="en-US" w:eastAsia="zh-CN"/>
                    </w:rPr>
                  </w:pPr>
                  <w:r>
                    <w:rPr>
                      <w:color w:val="auto"/>
                      <w:lang w:val="en-US" w:eastAsia="zh-CN"/>
                    </w:rPr>
                    <w:t>离心器</w:t>
                  </w:r>
                </w:p>
              </w:tc>
              <w:tc>
                <w:tcPr>
                  <w:tcW w:w="755" w:type="dxa"/>
                  <w:tcBorders>
                    <w:tl2br w:val="nil"/>
                    <w:tr2bl w:val="nil"/>
                  </w:tcBorders>
                  <w:shd w:val="clear" w:color="auto" w:fill="auto"/>
                  <w:vAlign w:val="center"/>
                </w:tcPr>
                <w:p w14:paraId="7BA45598">
                  <w:pPr>
                    <w:jc w:val="center"/>
                    <w:rPr>
                      <w:rFonts w:hint="default"/>
                      <w:color w:val="auto"/>
                      <w:lang w:val="en-US" w:eastAsia="zh-CN"/>
                    </w:rPr>
                  </w:pPr>
                  <w:r>
                    <w:rPr>
                      <w:rFonts w:hint="default"/>
                      <w:color w:val="auto"/>
                      <w:lang w:val="en-US" w:eastAsia="zh-CN"/>
                    </w:rPr>
                    <w:t>80</w:t>
                  </w:r>
                </w:p>
              </w:tc>
              <w:tc>
                <w:tcPr>
                  <w:tcW w:w="627" w:type="dxa"/>
                  <w:tcBorders>
                    <w:tl2br w:val="nil"/>
                    <w:tr2bl w:val="nil"/>
                  </w:tcBorders>
                  <w:shd w:val="clear" w:color="auto" w:fill="auto"/>
                  <w:vAlign w:val="center"/>
                </w:tcPr>
                <w:p w14:paraId="7A0276A3">
                  <w:pPr>
                    <w:jc w:val="center"/>
                    <w:rPr>
                      <w:rFonts w:hint="default"/>
                      <w:color w:val="auto"/>
                      <w:lang w:val="en-US" w:eastAsia="zh-CN"/>
                    </w:rPr>
                  </w:pPr>
                  <w:r>
                    <w:rPr>
                      <w:rFonts w:hint="default"/>
                      <w:color w:val="auto"/>
                      <w:lang w:val="en-US" w:eastAsia="zh-CN"/>
                    </w:rPr>
                    <w:t>1</w:t>
                  </w:r>
                </w:p>
              </w:tc>
              <w:tc>
                <w:tcPr>
                  <w:tcW w:w="853" w:type="dxa"/>
                  <w:tcBorders>
                    <w:tl2br w:val="nil"/>
                    <w:tr2bl w:val="nil"/>
                  </w:tcBorders>
                  <w:shd w:val="clear" w:color="auto" w:fill="auto"/>
                  <w:noWrap/>
                  <w:vAlign w:val="center"/>
                </w:tcPr>
                <w:p w14:paraId="2B52E658">
                  <w:pPr>
                    <w:jc w:val="center"/>
                    <w:rPr>
                      <w:rFonts w:hint="default"/>
                      <w:color w:val="auto"/>
                      <w:lang w:val="en-US" w:eastAsia="zh-CN"/>
                    </w:rPr>
                  </w:pPr>
                  <w:r>
                    <w:rPr>
                      <w:rFonts w:hint="default"/>
                      <w:color w:val="auto"/>
                      <w:lang w:val="en-US" w:eastAsia="zh-CN"/>
                    </w:rPr>
                    <w:t>80.00</w:t>
                  </w:r>
                </w:p>
              </w:tc>
              <w:tc>
                <w:tcPr>
                  <w:tcW w:w="760" w:type="dxa"/>
                  <w:tcBorders>
                    <w:tl2br w:val="nil"/>
                    <w:tr2bl w:val="nil"/>
                  </w:tcBorders>
                  <w:shd w:val="clear" w:color="auto" w:fill="auto"/>
                  <w:noWrap/>
                  <w:vAlign w:val="center"/>
                </w:tcPr>
                <w:p w14:paraId="78D657CC">
                  <w:pPr>
                    <w:jc w:val="center"/>
                    <w:rPr>
                      <w:rFonts w:hint="default"/>
                      <w:color w:val="auto"/>
                      <w:lang w:val="en-US" w:eastAsia="zh-CN"/>
                    </w:rPr>
                  </w:pPr>
                  <w:r>
                    <w:rPr>
                      <w:rFonts w:hint="default"/>
                      <w:color w:val="auto"/>
                      <w:lang w:val="en-US" w:eastAsia="zh-CN"/>
                    </w:rPr>
                    <w:t>25.00</w:t>
                  </w:r>
                </w:p>
              </w:tc>
              <w:tc>
                <w:tcPr>
                  <w:tcW w:w="840" w:type="dxa"/>
                  <w:tcBorders>
                    <w:tl2br w:val="nil"/>
                    <w:tr2bl w:val="nil"/>
                  </w:tcBorders>
                  <w:shd w:val="clear" w:color="auto" w:fill="auto"/>
                  <w:vAlign w:val="center"/>
                </w:tcPr>
                <w:p w14:paraId="43FD166D">
                  <w:pPr>
                    <w:jc w:val="center"/>
                    <w:rPr>
                      <w:rFonts w:hint="default"/>
                      <w:color w:val="auto"/>
                      <w:lang w:val="en-US" w:eastAsia="zh-CN"/>
                    </w:rPr>
                  </w:pPr>
                  <w:r>
                    <w:rPr>
                      <w:rFonts w:hint="eastAsia"/>
                      <w:color w:val="auto"/>
                      <w:lang w:val="en-US" w:eastAsia="zh-CN"/>
                    </w:rPr>
                    <w:t>85</w:t>
                  </w:r>
                </w:p>
              </w:tc>
              <w:tc>
                <w:tcPr>
                  <w:tcW w:w="720" w:type="dxa"/>
                  <w:tcBorders>
                    <w:tl2br w:val="nil"/>
                    <w:tr2bl w:val="nil"/>
                  </w:tcBorders>
                  <w:shd w:val="clear" w:color="auto" w:fill="auto"/>
                  <w:noWrap/>
                  <w:vAlign w:val="bottom"/>
                </w:tcPr>
                <w:p w14:paraId="169DAA94">
                  <w:pPr>
                    <w:jc w:val="center"/>
                    <w:rPr>
                      <w:rFonts w:hint="eastAsia"/>
                      <w:color w:val="auto"/>
                      <w:lang w:val="en-US" w:eastAsia="zh-CN"/>
                    </w:rPr>
                  </w:pPr>
                  <w:r>
                    <w:rPr>
                      <w:rFonts w:hint="eastAsia"/>
                      <w:color w:val="auto"/>
                      <w:lang w:val="en-US" w:eastAsia="zh-CN"/>
                    </w:rPr>
                    <w:t>38.59</w:t>
                  </w:r>
                </w:p>
              </w:tc>
              <w:tc>
                <w:tcPr>
                  <w:tcW w:w="773" w:type="dxa"/>
                  <w:tcBorders>
                    <w:tl2br w:val="nil"/>
                    <w:tr2bl w:val="nil"/>
                  </w:tcBorders>
                  <w:shd w:val="clear" w:color="auto" w:fill="auto"/>
                  <w:noWrap/>
                  <w:vAlign w:val="bottom"/>
                </w:tcPr>
                <w:p w14:paraId="001D730F">
                  <w:pPr>
                    <w:jc w:val="center"/>
                    <w:rPr>
                      <w:rFonts w:hint="eastAsia"/>
                      <w:color w:val="auto"/>
                      <w:lang w:val="en-US" w:eastAsia="zh-CN"/>
                    </w:rPr>
                  </w:pPr>
                  <w:r>
                    <w:rPr>
                      <w:rFonts w:hint="eastAsia"/>
                      <w:color w:val="auto"/>
                      <w:lang w:val="en-US" w:eastAsia="zh-CN"/>
                    </w:rPr>
                    <w:t>16.41</w:t>
                  </w:r>
                </w:p>
              </w:tc>
              <w:tc>
                <w:tcPr>
                  <w:tcW w:w="817" w:type="dxa"/>
                  <w:vMerge w:val="continue"/>
                  <w:tcBorders>
                    <w:tl2br w:val="nil"/>
                    <w:tr2bl w:val="nil"/>
                  </w:tcBorders>
                  <w:shd w:val="clear" w:color="auto" w:fill="auto"/>
                  <w:noWrap/>
                  <w:vAlign w:val="center"/>
                </w:tcPr>
                <w:p w14:paraId="48F3A023">
                  <w:pPr>
                    <w:jc w:val="center"/>
                    <w:rPr>
                      <w:rFonts w:hint="default"/>
                      <w:color w:val="auto"/>
                    </w:rPr>
                  </w:pPr>
                </w:p>
              </w:tc>
            </w:tr>
            <w:tr w14:paraId="0A82DB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36" w:type="dxa"/>
                  <w:vMerge w:val="continue"/>
                  <w:tcBorders>
                    <w:tl2br w:val="nil"/>
                    <w:tr2bl w:val="nil"/>
                  </w:tcBorders>
                  <w:shd w:val="clear" w:color="auto" w:fill="auto"/>
                  <w:noWrap/>
                  <w:vAlign w:val="center"/>
                </w:tcPr>
                <w:p w14:paraId="1757B8EE">
                  <w:pPr>
                    <w:jc w:val="center"/>
                    <w:rPr>
                      <w:rFonts w:hint="default"/>
                      <w:color w:val="auto"/>
                    </w:rPr>
                  </w:pPr>
                </w:p>
              </w:tc>
              <w:tc>
                <w:tcPr>
                  <w:tcW w:w="876" w:type="dxa"/>
                  <w:tcBorders>
                    <w:tl2br w:val="nil"/>
                    <w:tr2bl w:val="nil"/>
                  </w:tcBorders>
                  <w:shd w:val="clear" w:color="auto" w:fill="auto"/>
                  <w:vAlign w:val="center"/>
                </w:tcPr>
                <w:p w14:paraId="22AFC990">
                  <w:pPr>
                    <w:jc w:val="center"/>
                    <w:rPr>
                      <w:color w:val="auto"/>
                      <w:lang w:val="en-US" w:eastAsia="zh-CN"/>
                    </w:rPr>
                  </w:pPr>
                  <w:r>
                    <w:rPr>
                      <w:color w:val="auto"/>
                      <w:lang w:val="en-US" w:eastAsia="zh-CN"/>
                    </w:rPr>
                    <w:t>除气器</w:t>
                  </w:r>
                </w:p>
              </w:tc>
              <w:tc>
                <w:tcPr>
                  <w:tcW w:w="755" w:type="dxa"/>
                  <w:tcBorders>
                    <w:tl2br w:val="nil"/>
                    <w:tr2bl w:val="nil"/>
                  </w:tcBorders>
                  <w:shd w:val="clear" w:color="auto" w:fill="auto"/>
                  <w:vAlign w:val="center"/>
                </w:tcPr>
                <w:p w14:paraId="563D8543">
                  <w:pPr>
                    <w:jc w:val="center"/>
                    <w:rPr>
                      <w:rFonts w:hint="default"/>
                      <w:color w:val="auto"/>
                      <w:lang w:val="en-US" w:eastAsia="zh-CN"/>
                    </w:rPr>
                  </w:pPr>
                  <w:r>
                    <w:rPr>
                      <w:rFonts w:hint="default"/>
                      <w:color w:val="auto"/>
                      <w:lang w:val="en-US" w:eastAsia="zh-CN"/>
                    </w:rPr>
                    <w:t>80</w:t>
                  </w:r>
                </w:p>
              </w:tc>
              <w:tc>
                <w:tcPr>
                  <w:tcW w:w="627" w:type="dxa"/>
                  <w:tcBorders>
                    <w:tl2br w:val="nil"/>
                    <w:tr2bl w:val="nil"/>
                  </w:tcBorders>
                  <w:shd w:val="clear" w:color="auto" w:fill="auto"/>
                  <w:vAlign w:val="center"/>
                </w:tcPr>
                <w:p w14:paraId="57805D8F">
                  <w:pPr>
                    <w:jc w:val="center"/>
                    <w:rPr>
                      <w:rFonts w:hint="default"/>
                      <w:color w:val="auto"/>
                      <w:lang w:val="en-US" w:eastAsia="zh-CN"/>
                    </w:rPr>
                  </w:pPr>
                  <w:r>
                    <w:rPr>
                      <w:rFonts w:hint="default"/>
                      <w:color w:val="auto"/>
                      <w:lang w:val="en-US" w:eastAsia="zh-CN"/>
                    </w:rPr>
                    <w:t>1</w:t>
                  </w:r>
                </w:p>
              </w:tc>
              <w:tc>
                <w:tcPr>
                  <w:tcW w:w="853" w:type="dxa"/>
                  <w:tcBorders>
                    <w:tl2br w:val="nil"/>
                    <w:tr2bl w:val="nil"/>
                  </w:tcBorders>
                  <w:shd w:val="clear" w:color="auto" w:fill="auto"/>
                  <w:noWrap/>
                  <w:vAlign w:val="center"/>
                </w:tcPr>
                <w:p w14:paraId="2DADBBD5">
                  <w:pPr>
                    <w:jc w:val="center"/>
                    <w:rPr>
                      <w:rFonts w:hint="default"/>
                      <w:color w:val="auto"/>
                      <w:lang w:val="en-US" w:eastAsia="zh-CN"/>
                    </w:rPr>
                  </w:pPr>
                  <w:r>
                    <w:rPr>
                      <w:rFonts w:hint="default"/>
                      <w:color w:val="auto"/>
                      <w:lang w:val="en-US" w:eastAsia="zh-CN"/>
                    </w:rPr>
                    <w:t>80.00</w:t>
                  </w:r>
                </w:p>
              </w:tc>
              <w:tc>
                <w:tcPr>
                  <w:tcW w:w="760" w:type="dxa"/>
                  <w:tcBorders>
                    <w:tl2br w:val="nil"/>
                    <w:tr2bl w:val="nil"/>
                  </w:tcBorders>
                  <w:shd w:val="clear" w:color="auto" w:fill="auto"/>
                  <w:noWrap/>
                  <w:vAlign w:val="center"/>
                </w:tcPr>
                <w:p w14:paraId="79D1B07E">
                  <w:pPr>
                    <w:jc w:val="center"/>
                    <w:rPr>
                      <w:rFonts w:hint="default"/>
                      <w:color w:val="auto"/>
                      <w:lang w:val="en-US" w:eastAsia="zh-CN"/>
                    </w:rPr>
                  </w:pPr>
                  <w:r>
                    <w:rPr>
                      <w:rFonts w:hint="default"/>
                      <w:color w:val="auto"/>
                      <w:lang w:val="en-US" w:eastAsia="zh-CN"/>
                    </w:rPr>
                    <w:t>25.00</w:t>
                  </w:r>
                </w:p>
              </w:tc>
              <w:tc>
                <w:tcPr>
                  <w:tcW w:w="840" w:type="dxa"/>
                  <w:tcBorders>
                    <w:tl2br w:val="nil"/>
                    <w:tr2bl w:val="nil"/>
                  </w:tcBorders>
                  <w:shd w:val="clear" w:color="auto" w:fill="auto"/>
                  <w:vAlign w:val="center"/>
                </w:tcPr>
                <w:p w14:paraId="740E97D1">
                  <w:pPr>
                    <w:jc w:val="center"/>
                    <w:rPr>
                      <w:rFonts w:hint="default"/>
                      <w:color w:val="auto"/>
                      <w:lang w:val="en-US" w:eastAsia="zh-CN"/>
                    </w:rPr>
                  </w:pPr>
                  <w:r>
                    <w:rPr>
                      <w:rFonts w:hint="eastAsia"/>
                      <w:color w:val="auto"/>
                      <w:lang w:val="en-US" w:eastAsia="zh-CN"/>
                    </w:rPr>
                    <w:t>88</w:t>
                  </w:r>
                </w:p>
              </w:tc>
              <w:tc>
                <w:tcPr>
                  <w:tcW w:w="720" w:type="dxa"/>
                  <w:tcBorders>
                    <w:tl2br w:val="nil"/>
                    <w:tr2bl w:val="nil"/>
                  </w:tcBorders>
                  <w:shd w:val="clear" w:color="auto" w:fill="auto"/>
                  <w:noWrap/>
                  <w:vAlign w:val="bottom"/>
                </w:tcPr>
                <w:p w14:paraId="48FDAE1F">
                  <w:pPr>
                    <w:jc w:val="center"/>
                    <w:rPr>
                      <w:rFonts w:hint="eastAsia"/>
                      <w:color w:val="auto"/>
                      <w:lang w:val="en-US" w:eastAsia="zh-CN"/>
                    </w:rPr>
                  </w:pPr>
                  <w:r>
                    <w:rPr>
                      <w:rFonts w:hint="eastAsia"/>
                      <w:color w:val="auto"/>
                      <w:lang w:val="en-US" w:eastAsia="zh-CN"/>
                    </w:rPr>
                    <w:t>38.89</w:t>
                  </w:r>
                </w:p>
              </w:tc>
              <w:tc>
                <w:tcPr>
                  <w:tcW w:w="773" w:type="dxa"/>
                  <w:tcBorders>
                    <w:tl2br w:val="nil"/>
                    <w:tr2bl w:val="nil"/>
                  </w:tcBorders>
                  <w:shd w:val="clear" w:color="auto" w:fill="auto"/>
                  <w:noWrap/>
                  <w:vAlign w:val="bottom"/>
                </w:tcPr>
                <w:p w14:paraId="6F41C82B">
                  <w:pPr>
                    <w:jc w:val="center"/>
                    <w:rPr>
                      <w:rFonts w:hint="eastAsia"/>
                      <w:color w:val="auto"/>
                      <w:lang w:val="en-US" w:eastAsia="zh-CN"/>
                    </w:rPr>
                  </w:pPr>
                  <w:r>
                    <w:rPr>
                      <w:rFonts w:hint="eastAsia"/>
                      <w:color w:val="auto"/>
                      <w:lang w:val="en-US" w:eastAsia="zh-CN"/>
                    </w:rPr>
                    <w:t>16.11</w:t>
                  </w:r>
                </w:p>
              </w:tc>
              <w:tc>
                <w:tcPr>
                  <w:tcW w:w="817" w:type="dxa"/>
                  <w:vMerge w:val="continue"/>
                  <w:tcBorders>
                    <w:tl2br w:val="nil"/>
                    <w:tr2bl w:val="nil"/>
                  </w:tcBorders>
                  <w:shd w:val="clear" w:color="auto" w:fill="auto"/>
                  <w:noWrap/>
                  <w:vAlign w:val="center"/>
                </w:tcPr>
                <w:p w14:paraId="287ED9D9">
                  <w:pPr>
                    <w:jc w:val="center"/>
                    <w:rPr>
                      <w:rFonts w:hint="default"/>
                      <w:color w:val="auto"/>
                    </w:rPr>
                  </w:pPr>
                </w:p>
              </w:tc>
            </w:tr>
            <w:tr w14:paraId="43087C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36" w:type="dxa"/>
                  <w:vMerge w:val="continue"/>
                  <w:tcBorders>
                    <w:tl2br w:val="nil"/>
                    <w:tr2bl w:val="nil"/>
                  </w:tcBorders>
                  <w:shd w:val="clear" w:color="auto" w:fill="auto"/>
                  <w:noWrap/>
                  <w:vAlign w:val="center"/>
                </w:tcPr>
                <w:p w14:paraId="484B66BB">
                  <w:pPr>
                    <w:jc w:val="center"/>
                    <w:rPr>
                      <w:rFonts w:hint="default"/>
                      <w:color w:val="auto"/>
                    </w:rPr>
                  </w:pPr>
                </w:p>
              </w:tc>
              <w:tc>
                <w:tcPr>
                  <w:tcW w:w="876" w:type="dxa"/>
                  <w:tcBorders>
                    <w:tl2br w:val="nil"/>
                    <w:tr2bl w:val="nil"/>
                  </w:tcBorders>
                  <w:shd w:val="clear" w:color="auto" w:fill="auto"/>
                  <w:vAlign w:val="center"/>
                </w:tcPr>
                <w:p w14:paraId="4DF5868F">
                  <w:pPr>
                    <w:jc w:val="center"/>
                    <w:rPr>
                      <w:color w:val="auto"/>
                      <w:lang w:val="en-US" w:eastAsia="zh-CN"/>
                    </w:rPr>
                  </w:pPr>
                  <w:r>
                    <w:rPr>
                      <w:color w:val="auto"/>
                      <w:lang w:val="en-US" w:eastAsia="zh-CN"/>
                    </w:rPr>
                    <w:t>泥浆泵</w:t>
                  </w:r>
                </w:p>
              </w:tc>
              <w:tc>
                <w:tcPr>
                  <w:tcW w:w="755" w:type="dxa"/>
                  <w:tcBorders>
                    <w:tl2br w:val="nil"/>
                    <w:tr2bl w:val="nil"/>
                  </w:tcBorders>
                  <w:shd w:val="clear" w:color="auto" w:fill="auto"/>
                  <w:vAlign w:val="center"/>
                </w:tcPr>
                <w:p w14:paraId="24E940D8">
                  <w:pPr>
                    <w:jc w:val="center"/>
                    <w:rPr>
                      <w:rFonts w:hint="default"/>
                      <w:color w:val="auto"/>
                      <w:lang w:val="en-US" w:eastAsia="zh-CN"/>
                    </w:rPr>
                  </w:pPr>
                  <w:r>
                    <w:rPr>
                      <w:rFonts w:hint="default"/>
                      <w:color w:val="auto"/>
                      <w:lang w:val="en-US" w:eastAsia="zh-CN"/>
                    </w:rPr>
                    <w:t>90</w:t>
                  </w:r>
                </w:p>
              </w:tc>
              <w:tc>
                <w:tcPr>
                  <w:tcW w:w="627" w:type="dxa"/>
                  <w:tcBorders>
                    <w:tl2br w:val="nil"/>
                    <w:tr2bl w:val="nil"/>
                  </w:tcBorders>
                  <w:shd w:val="clear" w:color="auto" w:fill="auto"/>
                  <w:vAlign w:val="center"/>
                </w:tcPr>
                <w:p w14:paraId="1EEC3856">
                  <w:pPr>
                    <w:jc w:val="center"/>
                    <w:rPr>
                      <w:rFonts w:hint="default"/>
                      <w:color w:val="auto"/>
                      <w:lang w:val="en-US" w:eastAsia="zh-CN"/>
                    </w:rPr>
                  </w:pPr>
                  <w:r>
                    <w:rPr>
                      <w:rFonts w:hint="default"/>
                      <w:color w:val="auto"/>
                      <w:lang w:val="en-US" w:eastAsia="zh-CN"/>
                    </w:rPr>
                    <w:t>1</w:t>
                  </w:r>
                </w:p>
              </w:tc>
              <w:tc>
                <w:tcPr>
                  <w:tcW w:w="853" w:type="dxa"/>
                  <w:tcBorders>
                    <w:tl2br w:val="nil"/>
                    <w:tr2bl w:val="nil"/>
                  </w:tcBorders>
                  <w:shd w:val="clear" w:color="auto" w:fill="auto"/>
                  <w:noWrap/>
                  <w:vAlign w:val="center"/>
                </w:tcPr>
                <w:p w14:paraId="6359C0C0">
                  <w:pPr>
                    <w:jc w:val="center"/>
                    <w:rPr>
                      <w:rFonts w:hint="default"/>
                      <w:color w:val="auto"/>
                      <w:lang w:val="en-US" w:eastAsia="zh-CN"/>
                    </w:rPr>
                  </w:pPr>
                  <w:r>
                    <w:rPr>
                      <w:rFonts w:hint="default"/>
                      <w:color w:val="auto"/>
                      <w:lang w:val="en-US" w:eastAsia="zh-CN"/>
                    </w:rPr>
                    <w:t>90.00</w:t>
                  </w:r>
                </w:p>
              </w:tc>
              <w:tc>
                <w:tcPr>
                  <w:tcW w:w="760" w:type="dxa"/>
                  <w:tcBorders>
                    <w:tl2br w:val="nil"/>
                    <w:tr2bl w:val="nil"/>
                  </w:tcBorders>
                  <w:shd w:val="clear" w:color="auto" w:fill="auto"/>
                  <w:noWrap/>
                  <w:vAlign w:val="center"/>
                </w:tcPr>
                <w:p w14:paraId="4C4A3E5B">
                  <w:pPr>
                    <w:jc w:val="center"/>
                    <w:rPr>
                      <w:rFonts w:hint="default"/>
                      <w:color w:val="auto"/>
                      <w:lang w:val="en-US" w:eastAsia="zh-CN"/>
                    </w:rPr>
                  </w:pPr>
                  <w:r>
                    <w:rPr>
                      <w:rFonts w:hint="default"/>
                      <w:color w:val="auto"/>
                      <w:lang w:val="en-US" w:eastAsia="zh-CN"/>
                    </w:rPr>
                    <w:t>25.00</w:t>
                  </w:r>
                </w:p>
              </w:tc>
              <w:tc>
                <w:tcPr>
                  <w:tcW w:w="840" w:type="dxa"/>
                  <w:tcBorders>
                    <w:tl2br w:val="nil"/>
                    <w:tr2bl w:val="nil"/>
                  </w:tcBorders>
                  <w:shd w:val="clear" w:color="auto" w:fill="auto"/>
                  <w:vAlign w:val="center"/>
                </w:tcPr>
                <w:p w14:paraId="3EC7F30F">
                  <w:pPr>
                    <w:jc w:val="center"/>
                    <w:rPr>
                      <w:rFonts w:hint="default"/>
                      <w:color w:val="auto"/>
                      <w:lang w:val="en-US" w:eastAsia="zh-CN"/>
                    </w:rPr>
                  </w:pPr>
                  <w:r>
                    <w:rPr>
                      <w:rFonts w:hint="eastAsia"/>
                      <w:color w:val="auto"/>
                      <w:lang w:val="en-US" w:eastAsia="zh-CN"/>
                    </w:rPr>
                    <w:t>76</w:t>
                  </w:r>
                </w:p>
              </w:tc>
              <w:tc>
                <w:tcPr>
                  <w:tcW w:w="720" w:type="dxa"/>
                  <w:tcBorders>
                    <w:tl2br w:val="nil"/>
                    <w:tr2bl w:val="nil"/>
                  </w:tcBorders>
                  <w:shd w:val="clear" w:color="auto" w:fill="auto"/>
                  <w:noWrap/>
                  <w:vAlign w:val="bottom"/>
                </w:tcPr>
                <w:p w14:paraId="33635BC2">
                  <w:pPr>
                    <w:jc w:val="center"/>
                    <w:rPr>
                      <w:rFonts w:hint="eastAsia"/>
                      <w:color w:val="auto"/>
                      <w:lang w:val="en-US" w:eastAsia="zh-CN"/>
                    </w:rPr>
                  </w:pPr>
                  <w:r>
                    <w:rPr>
                      <w:rFonts w:hint="eastAsia"/>
                      <w:color w:val="auto"/>
                      <w:lang w:val="en-US" w:eastAsia="zh-CN"/>
                    </w:rPr>
                    <w:t>37.62</w:t>
                  </w:r>
                </w:p>
              </w:tc>
              <w:tc>
                <w:tcPr>
                  <w:tcW w:w="773" w:type="dxa"/>
                  <w:tcBorders>
                    <w:tl2br w:val="nil"/>
                    <w:tr2bl w:val="nil"/>
                  </w:tcBorders>
                  <w:shd w:val="clear" w:color="auto" w:fill="auto"/>
                  <w:noWrap/>
                  <w:vAlign w:val="bottom"/>
                </w:tcPr>
                <w:p w14:paraId="70A63943">
                  <w:pPr>
                    <w:jc w:val="center"/>
                    <w:rPr>
                      <w:rFonts w:hint="eastAsia"/>
                      <w:color w:val="auto"/>
                      <w:lang w:val="en-US" w:eastAsia="zh-CN"/>
                    </w:rPr>
                  </w:pPr>
                  <w:r>
                    <w:rPr>
                      <w:rFonts w:hint="eastAsia"/>
                      <w:color w:val="auto"/>
                      <w:lang w:val="en-US" w:eastAsia="zh-CN"/>
                    </w:rPr>
                    <w:t>27.38</w:t>
                  </w:r>
                </w:p>
              </w:tc>
              <w:tc>
                <w:tcPr>
                  <w:tcW w:w="817" w:type="dxa"/>
                  <w:vMerge w:val="continue"/>
                  <w:tcBorders>
                    <w:tl2br w:val="nil"/>
                    <w:tr2bl w:val="nil"/>
                  </w:tcBorders>
                  <w:shd w:val="clear" w:color="auto" w:fill="auto"/>
                  <w:noWrap/>
                  <w:vAlign w:val="center"/>
                </w:tcPr>
                <w:p w14:paraId="1F7D5584">
                  <w:pPr>
                    <w:jc w:val="center"/>
                    <w:rPr>
                      <w:rFonts w:hint="default"/>
                      <w:color w:val="auto"/>
                    </w:rPr>
                  </w:pPr>
                </w:p>
              </w:tc>
            </w:tr>
            <w:tr w14:paraId="22D49F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6" w:type="dxa"/>
                  <w:vMerge w:val="continue"/>
                  <w:tcBorders>
                    <w:tl2br w:val="nil"/>
                    <w:tr2bl w:val="nil"/>
                  </w:tcBorders>
                  <w:shd w:val="clear" w:color="auto" w:fill="auto"/>
                  <w:noWrap/>
                  <w:vAlign w:val="center"/>
                </w:tcPr>
                <w:p w14:paraId="1D7E6BF8">
                  <w:pPr>
                    <w:jc w:val="center"/>
                    <w:rPr>
                      <w:rFonts w:hint="default"/>
                      <w:color w:val="auto"/>
                    </w:rPr>
                  </w:pPr>
                </w:p>
              </w:tc>
              <w:tc>
                <w:tcPr>
                  <w:tcW w:w="876" w:type="dxa"/>
                  <w:tcBorders>
                    <w:tl2br w:val="nil"/>
                    <w:tr2bl w:val="nil"/>
                  </w:tcBorders>
                  <w:shd w:val="clear" w:color="auto" w:fill="auto"/>
                  <w:vAlign w:val="center"/>
                </w:tcPr>
                <w:p w14:paraId="5599050E">
                  <w:pPr>
                    <w:jc w:val="center"/>
                    <w:rPr>
                      <w:color w:val="auto"/>
                      <w:lang w:val="en-US" w:eastAsia="zh-CN"/>
                    </w:rPr>
                  </w:pPr>
                  <w:r>
                    <w:rPr>
                      <w:color w:val="auto"/>
                      <w:lang w:val="en-US" w:eastAsia="zh-CN"/>
                    </w:rPr>
                    <w:t>柴油发电机</w:t>
                  </w:r>
                </w:p>
              </w:tc>
              <w:tc>
                <w:tcPr>
                  <w:tcW w:w="755" w:type="dxa"/>
                  <w:tcBorders>
                    <w:tl2br w:val="nil"/>
                    <w:tr2bl w:val="nil"/>
                  </w:tcBorders>
                  <w:shd w:val="clear" w:color="auto" w:fill="auto"/>
                  <w:vAlign w:val="center"/>
                </w:tcPr>
                <w:p w14:paraId="4F0EF7C7">
                  <w:pPr>
                    <w:jc w:val="center"/>
                    <w:rPr>
                      <w:rFonts w:hint="default"/>
                      <w:color w:val="auto"/>
                      <w:lang w:val="en-US" w:eastAsia="zh-CN"/>
                    </w:rPr>
                  </w:pPr>
                  <w:r>
                    <w:rPr>
                      <w:rFonts w:hint="default"/>
                      <w:color w:val="auto"/>
                      <w:lang w:val="en-US" w:eastAsia="zh-CN"/>
                    </w:rPr>
                    <w:t>100</w:t>
                  </w:r>
                </w:p>
              </w:tc>
              <w:tc>
                <w:tcPr>
                  <w:tcW w:w="627" w:type="dxa"/>
                  <w:tcBorders>
                    <w:tl2br w:val="nil"/>
                    <w:tr2bl w:val="nil"/>
                  </w:tcBorders>
                  <w:shd w:val="clear" w:color="auto" w:fill="auto"/>
                  <w:vAlign w:val="center"/>
                </w:tcPr>
                <w:p w14:paraId="7B02152D">
                  <w:pPr>
                    <w:jc w:val="center"/>
                    <w:rPr>
                      <w:rFonts w:hint="default"/>
                      <w:color w:val="auto"/>
                      <w:lang w:val="en-US" w:eastAsia="zh-CN"/>
                    </w:rPr>
                  </w:pPr>
                  <w:r>
                    <w:rPr>
                      <w:rFonts w:hint="default"/>
                      <w:color w:val="auto"/>
                      <w:lang w:val="en-US" w:eastAsia="zh-CN"/>
                    </w:rPr>
                    <w:t>1</w:t>
                  </w:r>
                </w:p>
              </w:tc>
              <w:tc>
                <w:tcPr>
                  <w:tcW w:w="853" w:type="dxa"/>
                  <w:tcBorders>
                    <w:tl2br w:val="nil"/>
                    <w:tr2bl w:val="nil"/>
                  </w:tcBorders>
                  <w:shd w:val="clear" w:color="auto" w:fill="auto"/>
                  <w:noWrap/>
                  <w:vAlign w:val="center"/>
                </w:tcPr>
                <w:p w14:paraId="6E6A3313">
                  <w:pPr>
                    <w:jc w:val="center"/>
                    <w:rPr>
                      <w:rFonts w:hint="default"/>
                      <w:color w:val="auto"/>
                      <w:lang w:val="en-US" w:eastAsia="zh-CN"/>
                    </w:rPr>
                  </w:pPr>
                  <w:r>
                    <w:rPr>
                      <w:rFonts w:hint="default"/>
                      <w:color w:val="auto"/>
                      <w:lang w:val="en-US" w:eastAsia="zh-CN"/>
                    </w:rPr>
                    <w:t>100.00</w:t>
                  </w:r>
                </w:p>
              </w:tc>
              <w:tc>
                <w:tcPr>
                  <w:tcW w:w="760" w:type="dxa"/>
                  <w:tcBorders>
                    <w:tl2br w:val="nil"/>
                    <w:tr2bl w:val="nil"/>
                  </w:tcBorders>
                  <w:shd w:val="clear" w:color="auto" w:fill="auto"/>
                  <w:noWrap/>
                  <w:vAlign w:val="center"/>
                </w:tcPr>
                <w:p w14:paraId="157AF54A">
                  <w:pPr>
                    <w:jc w:val="center"/>
                    <w:rPr>
                      <w:rFonts w:hint="default"/>
                      <w:color w:val="auto"/>
                      <w:lang w:val="en-US" w:eastAsia="zh-CN"/>
                    </w:rPr>
                  </w:pPr>
                  <w:r>
                    <w:rPr>
                      <w:rFonts w:hint="default"/>
                      <w:color w:val="auto"/>
                      <w:lang w:val="en-US" w:eastAsia="zh-CN"/>
                    </w:rPr>
                    <w:t>25.00</w:t>
                  </w:r>
                </w:p>
              </w:tc>
              <w:tc>
                <w:tcPr>
                  <w:tcW w:w="840" w:type="dxa"/>
                  <w:tcBorders>
                    <w:tl2br w:val="nil"/>
                    <w:tr2bl w:val="nil"/>
                  </w:tcBorders>
                  <w:shd w:val="clear" w:color="auto" w:fill="auto"/>
                  <w:vAlign w:val="center"/>
                </w:tcPr>
                <w:p w14:paraId="550D1E02">
                  <w:pPr>
                    <w:jc w:val="center"/>
                    <w:rPr>
                      <w:rFonts w:hint="default"/>
                      <w:color w:val="auto"/>
                      <w:lang w:val="en-US" w:eastAsia="zh-CN"/>
                    </w:rPr>
                  </w:pPr>
                  <w:r>
                    <w:rPr>
                      <w:rFonts w:hint="eastAsia"/>
                      <w:color w:val="auto"/>
                      <w:lang w:val="en-US" w:eastAsia="zh-CN"/>
                    </w:rPr>
                    <w:t>83</w:t>
                  </w:r>
                </w:p>
              </w:tc>
              <w:tc>
                <w:tcPr>
                  <w:tcW w:w="720" w:type="dxa"/>
                  <w:tcBorders>
                    <w:tl2br w:val="nil"/>
                    <w:tr2bl w:val="nil"/>
                  </w:tcBorders>
                  <w:shd w:val="clear" w:color="auto" w:fill="auto"/>
                  <w:noWrap/>
                  <w:vAlign w:val="bottom"/>
                </w:tcPr>
                <w:p w14:paraId="2CD33506">
                  <w:pPr>
                    <w:jc w:val="center"/>
                    <w:rPr>
                      <w:rFonts w:hint="eastAsia"/>
                      <w:color w:val="auto"/>
                      <w:lang w:val="en-US" w:eastAsia="zh-CN"/>
                    </w:rPr>
                  </w:pPr>
                  <w:r>
                    <w:rPr>
                      <w:rFonts w:hint="eastAsia"/>
                      <w:color w:val="auto"/>
                      <w:lang w:val="en-US" w:eastAsia="zh-CN"/>
                    </w:rPr>
                    <w:t>38.38</w:t>
                  </w:r>
                </w:p>
              </w:tc>
              <w:tc>
                <w:tcPr>
                  <w:tcW w:w="773" w:type="dxa"/>
                  <w:tcBorders>
                    <w:tl2br w:val="nil"/>
                    <w:tr2bl w:val="nil"/>
                  </w:tcBorders>
                  <w:shd w:val="clear" w:color="auto" w:fill="auto"/>
                  <w:noWrap/>
                  <w:vAlign w:val="bottom"/>
                </w:tcPr>
                <w:p w14:paraId="6B9F367E">
                  <w:pPr>
                    <w:jc w:val="center"/>
                    <w:rPr>
                      <w:rFonts w:hint="eastAsia"/>
                      <w:color w:val="auto"/>
                      <w:lang w:val="en-US" w:eastAsia="zh-CN"/>
                    </w:rPr>
                  </w:pPr>
                  <w:r>
                    <w:rPr>
                      <w:rFonts w:hint="eastAsia"/>
                      <w:color w:val="auto"/>
                      <w:lang w:val="en-US" w:eastAsia="zh-CN"/>
                    </w:rPr>
                    <w:t>36.62</w:t>
                  </w:r>
                </w:p>
              </w:tc>
              <w:tc>
                <w:tcPr>
                  <w:tcW w:w="817" w:type="dxa"/>
                  <w:vMerge w:val="continue"/>
                  <w:tcBorders>
                    <w:tl2br w:val="nil"/>
                    <w:tr2bl w:val="nil"/>
                  </w:tcBorders>
                  <w:shd w:val="clear" w:color="auto" w:fill="auto"/>
                  <w:noWrap/>
                  <w:vAlign w:val="center"/>
                </w:tcPr>
                <w:p w14:paraId="37EB972F">
                  <w:pPr>
                    <w:jc w:val="center"/>
                    <w:rPr>
                      <w:rFonts w:hint="default"/>
                      <w:color w:val="auto"/>
                    </w:rPr>
                  </w:pPr>
                </w:p>
              </w:tc>
            </w:tr>
            <w:tr w14:paraId="702FEA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36" w:type="dxa"/>
                  <w:vMerge w:val="continue"/>
                  <w:tcBorders>
                    <w:tl2br w:val="nil"/>
                    <w:tr2bl w:val="nil"/>
                  </w:tcBorders>
                  <w:shd w:val="clear" w:color="auto" w:fill="auto"/>
                  <w:noWrap/>
                  <w:vAlign w:val="center"/>
                </w:tcPr>
                <w:p w14:paraId="3FA46900">
                  <w:pPr>
                    <w:jc w:val="center"/>
                    <w:rPr>
                      <w:rFonts w:hint="default"/>
                      <w:color w:val="auto"/>
                    </w:rPr>
                  </w:pPr>
                </w:p>
              </w:tc>
              <w:tc>
                <w:tcPr>
                  <w:tcW w:w="876" w:type="dxa"/>
                  <w:tcBorders>
                    <w:tl2br w:val="nil"/>
                    <w:tr2bl w:val="nil"/>
                  </w:tcBorders>
                  <w:shd w:val="clear" w:color="auto" w:fill="auto"/>
                  <w:vAlign w:val="center"/>
                </w:tcPr>
                <w:p w14:paraId="396E1AC6">
                  <w:pPr>
                    <w:jc w:val="center"/>
                    <w:rPr>
                      <w:color w:val="auto"/>
                      <w:lang w:val="en-US" w:eastAsia="zh-CN"/>
                    </w:rPr>
                  </w:pPr>
                  <w:r>
                    <w:rPr>
                      <w:color w:val="auto"/>
                      <w:lang w:val="en-US" w:eastAsia="zh-CN"/>
                    </w:rPr>
                    <w:t>修井机</w:t>
                  </w:r>
                </w:p>
              </w:tc>
              <w:tc>
                <w:tcPr>
                  <w:tcW w:w="755" w:type="dxa"/>
                  <w:tcBorders>
                    <w:tl2br w:val="nil"/>
                    <w:tr2bl w:val="nil"/>
                  </w:tcBorders>
                  <w:shd w:val="clear" w:color="auto" w:fill="auto"/>
                  <w:vAlign w:val="center"/>
                </w:tcPr>
                <w:p w14:paraId="1930489D">
                  <w:pPr>
                    <w:jc w:val="center"/>
                    <w:rPr>
                      <w:rFonts w:hint="default"/>
                      <w:color w:val="auto"/>
                      <w:lang w:val="en-US" w:eastAsia="zh-CN"/>
                    </w:rPr>
                  </w:pPr>
                  <w:r>
                    <w:rPr>
                      <w:rFonts w:hint="default"/>
                      <w:color w:val="auto"/>
                      <w:lang w:val="en-US" w:eastAsia="zh-CN"/>
                    </w:rPr>
                    <w:t>90</w:t>
                  </w:r>
                </w:p>
              </w:tc>
              <w:tc>
                <w:tcPr>
                  <w:tcW w:w="627" w:type="dxa"/>
                  <w:tcBorders>
                    <w:tl2br w:val="nil"/>
                    <w:tr2bl w:val="nil"/>
                  </w:tcBorders>
                  <w:shd w:val="clear" w:color="auto" w:fill="auto"/>
                  <w:vAlign w:val="center"/>
                </w:tcPr>
                <w:p w14:paraId="47D98F20">
                  <w:pPr>
                    <w:jc w:val="center"/>
                    <w:rPr>
                      <w:rFonts w:hint="default"/>
                      <w:color w:val="auto"/>
                      <w:lang w:val="en-US" w:eastAsia="zh-CN"/>
                    </w:rPr>
                  </w:pPr>
                  <w:r>
                    <w:rPr>
                      <w:rFonts w:hint="default"/>
                      <w:color w:val="auto"/>
                      <w:lang w:val="en-US" w:eastAsia="zh-CN"/>
                    </w:rPr>
                    <w:t>1</w:t>
                  </w:r>
                </w:p>
              </w:tc>
              <w:tc>
                <w:tcPr>
                  <w:tcW w:w="853" w:type="dxa"/>
                  <w:tcBorders>
                    <w:tl2br w:val="nil"/>
                    <w:tr2bl w:val="nil"/>
                  </w:tcBorders>
                  <w:shd w:val="clear" w:color="auto" w:fill="auto"/>
                  <w:noWrap/>
                  <w:vAlign w:val="center"/>
                </w:tcPr>
                <w:p w14:paraId="78AA76DF">
                  <w:pPr>
                    <w:jc w:val="center"/>
                    <w:rPr>
                      <w:rFonts w:hint="default"/>
                      <w:color w:val="auto"/>
                      <w:lang w:val="en-US" w:eastAsia="zh-CN"/>
                    </w:rPr>
                  </w:pPr>
                  <w:r>
                    <w:rPr>
                      <w:rFonts w:hint="default"/>
                      <w:color w:val="auto"/>
                      <w:lang w:val="en-US" w:eastAsia="zh-CN"/>
                    </w:rPr>
                    <w:t>90.00</w:t>
                  </w:r>
                </w:p>
              </w:tc>
              <w:tc>
                <w:tcPr>
                  <w:tcW w:w="760" w:type="dxa"/>
                  <w:tcBorders>
                    <w:tl2br w:val="nil"/>
                    <w:tr2bl w:val="nil"/>
                  </w:tcBorders>
                  <w:shd w:val="clear" w:color="auto" w:fill="auto"/>
                  <w:noWrap/>
                  <w:vAlign w:val="center"/>
                </w:tcPr>
                <w:p w14:paraId="051E68F6">
                  <w:pPr>
                    <w:jc w:val="center"/>
                    <w:rPr>
                      <w:rFonts w:hint="default"/>
                      <w:color w:val="auto"/>
                      <w:lang w:val="en-US" w:eastAsia="zh-CN"/>
                    </w:rPr>
                  </w:pPr>
                  <w:r>
                    <w:rPr>
                      <w:rFonts w:hint="default"/>
                      <w:color w:val="auto"/>
                      <w:lang w:val="en-US" w:eastAsia="zh-CN"/>
                    </w:rPr>
                    <w:t>25.00</w:t>
                  </w:r>
                </w:p>
              </w:tc>
              <w:tc>
                <w:tcPr>
                  <w:tcW w:w="840" w:type="dxa"/>
                  <w:tcBorders>
                    <w:tl2br w:val="nil"/>
                    <w:tr2bl w:val="nil"/>
                  </w:tcBorders>
                  <w:shd w:val="clear" w:color="auto" w:fill="auto"/>
                  <w:vAlign w:val="center"/>
                </w:tcPr>
                <w:p w14:paraId="153D58B2">
                  <w:pPr>
                    <w:jc w:val="center"/>
                    <w:rPr>
                      <w:rFonts w:hint="default"/>
                      <w:color w:val="auto"/>
                      <w:lang w:val="en-US" w:eastAsia="zh-CN"/>
                    </w:rPr>
                  </w:pPr>
                  <w:r>
                    <w:rPr>
                      <w:rFonts w:hint="eastAsia"/>
                      <w:color w:val="auto"/>
                      <w:lang w:val="en-US" w:eastAsia="zh-CN"/>
                    </w:rPr>
                    <w:t>86</w:t>
                  </w:r>
                </w:p>
              </w:tc>
              <w:tc>
                <w:tcPr>
                  <w:tcW w:w="720" w:type="dxa"/>
                  <w:tcBorders>
                    <w:tl2br w:val="nil"/>
                    <w:tr2bl w:val="nil"/>
                  </w:tcBorders>
                  <w:shd w:val="clear" w:color="auto" w:fill="auto"/>
                  <w:noWrap/>
                  <w:vAlign w:val="bottom"/>
                </w:tcPr>
                <w:p w14:paraId="5A7E7E6E">
                  <w:pPr>
                    <w:jc w:val="center"/>
                    <w:rPr>
                      <w:rFonts w:hint="eastAsia"/>
                      <w:color w:val="auto"/>
                      <w:lang w:val="en-US" w:eastAsia="zh-CN"/>
                    </w:rPr>
                  </w:pPr>
                  <w:r>
                    <w:rPr>
                      <w:rFonts w:hint="eastAsia"/>
                      <w:color w:val="auto"/>
                      <w:lang w:val="en-US" w:eastAsia="zh-CN"/>
                    </w:rPr>
                    <w:t>38.69</w:t>
                  </w:r>
                </w:p>
              </w:tc>
              <w:tc>
                <w:tcPr>
                  <w:tcW w:w="773" w:type="dxa"/>
                  <w:tcBorders>
                    <w:tl2br w:val="nil"/>
                    <w:tr2bl w:val="nil"/>
                  </w:tcBorders>
                  <w:shd w:val="clear" w:color="auto" w:fill="auto"/>
                  <w:noWrap/>
                  <w:vAlign w:val="bottom"/>
                </w:tcPr>
                <w:p w14:paraId="4BB4C3EF">
                  <w:pPr>
                    <w:jc w:val="center"/>
                    <w:rPr>
                      <w:rFonts w:hint="eastAsia"/>
                      <w:color w:val="auto"/>
                      <w:lang w:val="en-US" w:eastAsia="zh-CN"/>
                    </w:rPr>
                  </w:pPr>
                  <w:r>
                    <w:rPr>
                      <w:rFonts w:hint="eastAsia"/>
                      <w:color w:val="auto"/>
                      <w:lang w:val="en-US" w:eastAsia="zh-CN"/>
                    </w:rPr>
                    <w:t>26.31</w:t>
                  </w:r>
                </w:p>
              </w:tc>
              <w:tc>
                <w:tcPr>
                  <w:tcW w:w="817" w:type="dxa"/>
                  <w:vMerge w:val="continue"/>
                  <w:tcBorders>
                    <w:tl2br w:val="nil"/>
                    <w:tr2bl w:val="nil"/>
                  </w:tcBorders>
                  <w:shd w:val="clear" w:color="auto" w:fill="auto"/>
                  <w:noWrap/>
                  <w:vAlign w:val="center"/>
                </w:tcPr>
                <w:p w14:paraId="65A8A132">
                  <w:pPr>
                    <w:jc w:val="center"/>
                    <w:rPr>
                      <w:rFonts w:hint="default"/>
                      <w:color w:val="auto"/>
                    </w:rPr>
                  </w:pPr>
                </w:p>
              </w:tc>
            </w:tr>
            <w:tr w14:paraId="4091D2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36" w:type="dxa"/>
                  <w:vMerge w:val="continue"/>
                  <w:tcBorders>
                    <w:tl2br w:val="nil"/>
                    <w:tr2bl w:val="nil"/>
                  </w:tcBorders>
                  <w:shd w:val="clear" w:color="auto" w:fill="auto"/>
                  <w:noWrap/>
                  <w:vAlign w:val="center"/>
                </w:tcPr>
                <w:p w14:paraId="4EDC0737">
                  <w:pPr>
                    <w:jc w:val="center"/>
                    <w:rPr>
                      <w:rFonts w:hint="default"/>
                      <w:color w:val="auto"/>
                    </w:rPr>
                  </w:pPr>
                </w:p>
              </w:tc>
              <w:tc>
                <w:tcPr>
                  <w:tcW w:w="876" w:type="dxa"/>
                  <w:tcBorders>
                    <w:tl2br w:val="nil"/>
                    <w:tr2bl w:val="nil"/>
                  </w:tcBorders>
                  <w:shd w:val="clear" w:color="auto" w:fill="auto"/>
                  <w:vAlign w:val="center"/>
                </w:tcPr>
                <w:p w14:paraId="1B163E85">
                  <w:pPr>
                    <w:jc w:val="center"/>
                    <w:rPr>
                      <w:color w:val="auto"/>
                      <w:lang w:val="en-US" w:eastAsia="zh-CN"/>
                    </w:rPr>
                  </w:pPr>
                  <w:r>
                    <w:rPr>
                      <w:color w:val="auto"/>
                      <w:lang w:val="en-US" w:eastAsia="zh-CN"/>
                    </w:rPr>
                    <w:t>混砂车</w:t>
                  </w:r>
                </w:p>
              </w:tc>
              <w:tc>
                <w:tcPr>
                  <w:tcW w:w="755" w:type="dxa"/>
                  <w:tcBorders>
                    <w:tl2br w:val="nil"/>
                    <w:tr2bl w:val="nil"/>
                  </w:tcBorders>
                  <w:shd w:val="clear" w:color="auto" w:fill="auto"/>
                  <w:vAlign w:val="center"/>
                </w:tcPr>
                <w:p w14:paraId="74EB6AFA">
                  <w:pPr>
                    <w:jc w:val="center"/>
                    <w:rPr>
                      <w:rFonts w:hint="default"/>
                      <w:color w:val="auto"/>
                      <w:lang w:val="en-US" w:eastAsia="zh-CN"/>
                    </w:rPr>
                  </w:pPr>
                  <w:r>
                    <w:rPr>
                      <w:rFonts w:hint="default"/>
                      <w:color w:val="auto"/>
                      <w:lang w:val="en-US" w:eastAsia="zh-CN"/>
                    </w:rPr>
                    <w:t>90</w:t>
                  </w:r>
                </w:p>
              </w:tc>
              <w:tc>
                <w:tcPr>
                  <w:tcW w:w="627" w:type="dxa"/>
                  <w:tcBorders>
                    <w:tl2br w:val="nil"/>
                    <w:tr2bl w:val="nil"/>
                  </w:tcBorders>
                  <w:shd w:val="clear" w:color="auto" w:fill="auto"/>
                  <w:vAlign w:val="center"/>
                </w:tcPr>
                <w:p w14:paraId="67FB14D5">
                  <w:pPr>
                    <w:jc w:val="center"/>
                    <w:rPr>
                      <w:rFonts w:hint="default"/>
                      <w:color w:val="auto"/>
                      <w:lang w:val="en-US" w:eastAsia="zh-CN"/>
                    </w:rPr>
                  </w:pPr>
                  <w:r>
                    <w:rPr>
                      <w:rFonts w:hint="default"/>
                      <w:color w:val="auto"/>
                      <w:lang w:val="en-US" w:eastAsia="zh-CN"/>
                    </w:rPr>
                    <w:t>1</w:t>
                  </w:r>
                </w:p>
              </w:tc>
              <w:tc>
                <w:tcPr>
                  <w:tcW w:w="853" w:type="dxa"/>
                  <w:tcBorders>
                    <w:tl2br w:val="nil"/>
                    <w:tr2bl w:val="nil"/>
                  </w:tcBorders>
                  <w:shd w:val="clear" w:color="auto" w:fill="auto"/>
                  <w:noWrap/>
                  <w:vAlign w:val="center"/>
                </w:tcPr>
                <w:p w14:paraId="206C4289">
                  <w:pPr>
                    <w:jc w:val="center"/>
                    <w:rPr>
                      <w:rFonts w:hint="default"/>
                      <w:color w:val="auto"/>
                      <w:lang w:val="en-US" w:eastAsia="zh-CN"/>
                    </w:rPr>
                  </w:pPr>
                  <w:r>
                    <w:rPr>
                      <w:rFonts w:hint="default"/>
                      <w:color w:val="auto"/>
                      <w:lang w:val="en-US" w:eastAsia="zh-CN"/>
                    </w:rPr>
                    <w:t>90.00</w:t>
                  </w:r>
                </w:p>
              </w:tc>
              <w:tc>
                <w:tcPr>
                  <w:tcW w:w="760" w:type="dxa"/>
                  <w:tcBorders>
                    <w:tl2br w:val="nil"/>
                    <w:tr2bl w:val="nil"/>
                  </w:tcBorders>
                  <w:shd w:val="clear" w:color="auto" w:fill="auto"/>
                  <w:noWrap/>
                  <w:vAlign w:val="center"/>
                </w:tcPr>
                <w:p w14:paraId="43E3168D">
                  <w:pPr>
                    <w:jc w:val="center"/>
                    <w:rPr>
                      <w:rFonts w:hint="default"/>
                      <w:color w:val="auto"/>
                      <w:lang w:val="en-US" w:eastAsia="zh-CN"/>
                    </w:rPr>
                  </w:pPr>
                  <w:r>
                    <w:rPr>
                      <w:rFonts w:hint="default"/>
                      <w:color w:val="auto"/>
                      <w:lang w:val="en-US" w:eastAsia="zh-CN"/>
                    </w:rPr>
                    <w:t>25.00</w:t>
                  </w:r>
                </w:p>
              </w:tc>
              <w:tc>
                <w:tcPr>
                  <w:tcW w:w="840" w:type="dxa"/>
                  <w:tcBorders>
                    <w:tl2br w:val="nil"/>
                    <w:tr2bl w:val="nil"/>
                  </w:tcBorders>
                  <w:shd w:val="clear" w:color="auto" w:fill="auto"/>
                  <w:vAlign w:val="center"/>
                </w:tcPr>
                <w:p w14:paraId="5585063F">
                  <w:pPr>
                    <w:jc w:val="center"/>
                    <w:rPr>
                      <w:rFonts w:hint="default"/>
                      <w:color w:val="auto"/>
                      <w:lang w:val="en-US" w:eastAsia="zh-CN"/>
                    </w:rPr>
                  </w:pPr>
                  <w:r>
                    <w:rPr>
                      <w:rFonts w:hint="eastAsia"/>
                      <w:color w:val="auto"/>
                      <w:lang w:val="en-US" w:eastAsia="zh-CN"/>
                    </w:rPr>
                    <w:t>81</w:t>
                  </w:r>
                </w:p>
              </w:tc>
              <w:tc>
                <w:tcPr>
                  <w:tcW w:w="720" w:type="dxa"/>
                  <w:tcBorders>
                    <w:tl2br w:val="nil"/>
                    <w:tr2bl w:val="nil"/>
                  </w:tcBorders>
                  <w:shd w:val="clear" w:color="auto" w:fill="auto"/>
                  <w:noWrap/>
                  <w:vAlign w:val="bottom"/>
                </w:tcPr>
                <w:p w14:paraId="251F06DE">
                  <w:pPr>
                    <w:jc w:val="center"/>
                    <w:rPr>
                      <w:rFonts w:hint="eastAsia"/>
                      <w:color w:val="auto"/>
                      <w:lang w:val="en-US" w:eastAsia="zh-CN"/>
                    </w:rPr>
                  </w:pPr>
                  <w:r>
                    <w:rPr>
                      <w:rFonts w:hint="eastAsia"/>
                      <w:color w:val="auto"/>
                      <w:lang w:val="en-US" w:eastAsia="zh-CN"/>
                    </w:rPr>
                    <w:t>38.17</w:t>
                  </w:r>
                </w:p>
              </w:tc>
              <w:tc>
                <w:tcPr>
                  <w:tcW w:w="773" w:type="dxa"/>
                  <w:tcBorders>
                    <w:tl2br w:val="nil"/>
                    <w:tr2bl w:val="nil"/>
                  </w:tcBorders>
                  <w:shd w:val="clear" w:color="auto" w:fill="auto"/>
                  <w:noWrap/>
                  <w:vAlign w:val="bottom"/>
                </w:tcPr>
                <w:p w14:paraId="0FDD92CA">
                  <w:pPr>
                    <w:jc w:val="center"/>
                    <w:rPr>
                      <w:rFonts w:hint="eastAsia"/>
                      <w:color w:val="auto"/>
                      <w:lang w:val="en-US" w:eastAsia="zh-CN"/>
                    </w:rPr>
                  </w:pPr>
                  <w:r>
                    <w:rPr>
                      <w:rFonts w:hint="eastAsia"/>
                      <w:color w:val="auto"/>
                      <w:lang w:val="en-US" w:eastAsia="zh-CN"/>
                    </w:rPr>
                    <w:t>26.83</w:t>
                  </w:r>
                </w:p>
              </w:tc>
              <w:tc>
                <w:tcPr>
                  <w:tcW w:w="817" w:type="dxa"/>
                  <w:vMerge w:val="continue"/>
                  <w:tcBorders>
                    <w:tl2br w:val="nil"/>
                    <w:tr2bl w:val="nil"/>
                  </w:tcBorders>
                  <w:shd w:val="clear" w:color="auto" w:fill="auto"/>
                  <w:noWrap/>
                  <w:vAlign w:val="center"/>
                </w:tcPr>
                <w:p w14:paraId="3607EEDC">
                  <w:pPr>
                    <w:jc w:val="center"/>
                    <w:rPr>
                      <w:rFonts w:hint="default"/>
                      <w:color w:val="auto"/>
                    </w:rPr>
                  </w:pPr>
                </w:p>
              </w:tc>
            </w:tr>
            <w:tr w14:paraId="717513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6" w:type="dxa"/>
                  <w:vMerge w:val="continue"/>
                  <w:tcBorders>
                    <w:tl2br w:val="nil"/>
                    <w:tr2bl w:val="nil"/>
                  </w:tcBorders>
                  <w:shd w:val="clear" w:color="auto" w:fill="auto"/>
                  <w:noWrap/>
                  <w:vAlign w:val="center"/>
                </w:tcPr>
                <w:p w14:paraId="68F9880E">
                  <w:pPr>
                    <w:jc w:val="center"/>
                    <w:rPr>
                      <w:rFonts w:hint="default"/>
                      <w:color w:val="auto"/>
                    </w:rPr>
                  </w:pPr>
                </w:p>
              </w:tc>
              <w:tc>
                <w:tcPr>
                  <w:tcW w:w="876" w:type="dxa"/>
                  <w:tcBorders>
                    <w:tl2br w:val="nil"/>
                    <w:tr2bl w:val="nil"/>
                  </w:tcBorders>
                  <w:shd w:val="clear" w:color="auto" w:fill="auto"/>
                  <w:vAlign w:val="center"/>
                </w:tcPr>
                <w:p w14:paraId="655ED1B3">
                  <w:pPr>
                    <w:jc w:val="center"/>
                    <w:rPr>
                      <w:color w:val="auto"/>
                      <w:lang w:val="en-US" w:eastAsia="zh-CN"/>
                    </w:rPr>
                  </w:pPr>
                  <w:r>
                    <w:rPr>
                      <w:color w:val="auto"/>
                      <w:lang w:val="en-US" w:eastAsia="zh-CN"/>
                    </w:rPr>
                    <w:t>管汇车</w:t>
                  </w:r>
                </w:p>
              </w:tc>
              <w:tc>
                <w:tcPr>
                  <w:tcW w:w="755" w:type="dxa"/>
                  <w:tcBorders>
                    <w:tl2br w:val="nil"/>
                    <w:tr2bl w:val="nil"/>
                  </w:tcBorders>
                  <w:shd w:val="clear" w:color="auto" w:fill="auto"/>
                  <w:vAlign w:val="center"/>
                </w:tcPr>
                <w:p w14:paraId="4FCA58C6">
                  <w:pPr>
                    <w:jc w:val="center"/>
                    <w:rPr>
                      <w:rFonts w:hint="default"/>
                      <w:color w:val="auto"/>
                      <w:lang w:val="en-US" w:eastAsia="zh-CN"/>
                    </w:rPr>
                  </w:pPr>
                  <w:r>
                    <w:rPr>
                      <w:rFonts w:hint="default"/>
                      <w:color w:val="auto"/>
                      <w:lang w:val="en-US" w:eastAsia="zh-CN"/>
                    </w:rPr>
                    <w:t>90</w:t>
                  </w:r>
                </w:p>
              </w:tc>
              <w:tc>
                <w:tcPr>
                  <w:tcW w:w="627" w:type="dxa"/>
                  <w:tcBorders>
                    <w:tl2br w:val="nil"/>
                    <w:tr2bl w:val="nil"/>
                  </w:tcBorders>
                  <w:shd w:val="clear" w:color="auto" w:fill="auto"/>
                  <w:vAlign w:val="center"/>
                </w:tcPr>
                <w:p w14:paraId="421FD0D7">
                  <w:pPr>
                    <w:jc w:val="center"/>
                    <w:rPr>
                      <w:rFonts w:hint="default"/>
                      <w:color w:val="auto"/>
                      <w:lang w:val="en-US" w:eastAsia="zh-CN"/>
                    </w:rPr>
                  </w:pPr>
                  <w:r>
                    <w:rPr>
                      <w:rFonts w:hint="default"/>
                      <w:color w:val="auto"/>
                      <w:lang w:val="en-US" w:eastAsia="zh-CN"/>
                    </w:rPr>
                    <w:t>1</w:t>
                  </w:r>
                </w:p>
              </w:tc>
              <w:tc>
                <w:tcPr>
                  <w:tcW w:w="853" w:type="dxa"/>
                  <w:tcBorders>
                    <w:tl2br w:val="nil"/>
                    <w:tr2bl w:val="nil"/>
                  </w:tcBorders>
                  <w:shd w:val="clear" w:color="auto" w:fill="auto"/>
                  <w:noWrap/>
                  <w:vAlign w:val="center"/>
                </w:tcPr>
                <w:p w14:paraId="6A189C37">
                  <w:pPr>
                    <w:jc w:val="center"/>
                    <w:rPr>
                      <w:rFonts w:hint="default"/>
                      <w:color w:val="auto"/>
                      <w:lang w:val="en-US" w:eastAsia="zh-CN"/>
                    </w:rPr>
                  </w:pPr>
                  <w:r>
                    <w:rPr>
                      <w:rFonts w:hint="default"/>
                      <w:color w:val="auto"/>
                      <w:lang w:val="en-US" w:eastAsia="zh-CN"/>
                    </w:rPr>
                    <w:t>90.00</w:t>
                  </w:r>
                </w:p>
              </w:tc>
              <w:tc>
                <w:tcPr>
                  <w:tcW w:w="760" w:type="dxa"/>
                  <w:tcBorders>
                    <w:tl2br w:val="nil"/>
                    <w:tr2bl w:val="nil"/>
                  </w:tcBorders>
                  <w:shd w:val="clear" w:color="auto" w:fill="auto"/>
                  <w:noWrap/>
                  <w:vAlign w:val="center"/>
                </w:tcPr>
                <w:p w14:paraId="58F2F61E">
                  <w:pPr>
                    <w:jc w:val="center"/>
                    <w:rPr>
                      <w:rFonts w:hint="default"/>
                      <w:color w:val="auto"/>
                      <w:lang w:val="en-US" w:eastAsia="zh-CN"/>
                    </w:rPr>
                  </w:pPr>
                  <w:r>
                    <w:rPr>
                      <w:rFonts w:hint="default"/>
                      <w:color w:val="auto"/>
                      <w:lang w:val="en-US" w:eastAsia="zh-CN"/>
                    </w:rPr>
                    <w:t>25.00</w:t>
                  </w:r>
                </w:p>
              </w:tc>
              <w:tc>
                <w:tcPr>
                  <w:tcW w:w="840" w:type="dxa"/>
                  <w:tcBorders>
                    <w:tl2br w:val="nil"/>
                    <w:tr2bl w:val="nil"/>
                  </w:tcBorders>
                  <w:shd w:val="clear" w:color="auto" w:fill="auto"/>
                  <w:vAlign w:val="center"/>
                </w:tcPr>
                <w:p w14:paraId="4A3D1500">
                  <w:pPr>
                    <w:jc w:val="center"/>
                    <w:rPr>
                      <w:rFonts w:hint="default"/>
                      <w:color w:val="auto"/>
                      <w:lang w:val="en-US" w:eastAsia="zh-CN"/>
                    </w:rPr>
                  </w:pPr>
                  <w:r>
                    <w:rPr>
                      <w:rFonts w:hint="eastAsia"/>
                      <w:color w:val="auto"/>
                      <w:lang w:val="en-US" w:eastAsia="zh-CN"/>
                    </w:rPr>
                    <w:t>83</w:t>
                  </w:r>
                </w:p>
              </w:tc>
              <w:tc>
                <w:tcPr>
                  <w:tcW w:w="720" w:type="dxa"/>
                  <w:tcBorders>
                    <w:tl2br w:val="nil"/>
                    <w:tr2bl w:val="nil"/>
                  </w:tcBorders>
                  <w:shd w:val="clear" w:color="auto" w:fill="auto"/>
                  <w:noWrap/>
                  <w:vAlign w:val="bottom"/>
                </w:tcPr>
                <w:p w14:paraId="4A78EC00">
                  <w:pPr>
                    <w:jc w:val="center"/>
                    <w:rPr>
                      <w:rFonts w:hint="eastAsia"/>
                      <w:color w:val="auto"/>
                      <w:lang w:val="en-US" w:eastAsia="zh-CN"/>
                    </w:rPr>
                  </w:pPr>
                  <w:r>
                    <w:rPr>
                      <w:rFonts w:hint="eastAsia"/>
                      <w:color w:val="auto"/>
                      <w:lang w:val="en-US" w:eastAsia="zh-CN"/>
                    </w:rPr>
                    <w:t>38.38</w:t>
                  </w:r>
                </w:p>
              </w:tc>
              <w:tc>
                <w:tcPr>
                  <w:tcW w:w="773" w:type="dxa"/>
                  <w:tcBorders>
                    <w:tl2br w:val="nil"/>
                    <w:tr2bl w:val="nil"/>
                  </w:tcBorders>
                  <w:shd w:val="clear" w:color="auto" w:fill="auto"/>
                  <w:noWrap/>
                  <w:vAlign w:val="bottom"/>
                </w:tcPr>
                <w:p w14:paraId="2FD84F21">
                  <w:pPr>
                    <w:jc w:val="center"/>
                    <w:rPr>
                      <w:rFonts w:hint="eastAsia"/>
                      <w:color w:val="auto"/>
                      <w:lang w:val="en-US" w:eastAsia="zh-CN"/>
                    </w:rPr>
                  </w:pPr>
                  <w:r>
                    <w:rPr>
                      <w:rFonts w:hint="eastAsia"/>
                      <w:color w:val="auto"/>
                      <w:lang w:val="en-US" w:eastAsia="zh-CN"/>
                    </w:rPr>
                    <w:t>26.62</w:t>
                  </w:r>
                </w:p>
              </w:tc>
              <w:tc>
                <w:tcPr>
                  <w:tcW w:w="817" w:type="dxa"/>
                  <w:vMerge w:val="continue"/>
                  <w:tcBorders>
                    <w:tl2br w:val="nil"/>
                    <w:tr2bl w:val="nil"/>
                  </w:tcBorders>
                  <w:shd w:val="clear" w:color="auto" w:fill="auto"/>
                  <w:noWrap/>
                  <w:vAlign w:val="center"/>
                </w:tcPr>
                <w:p w14:paraId="66992F7C">
                  <w:pPr>
                    <w:jc w:val="center"/>
                    <w:rPr>
                      <w:rFonts w:hint="default"/>
                      <w:color w:val="auto"/>
                    </w:rPr>
                  </w:pPr>
                </w:p>
              </w:tc>
            </w:tr>
            <w:tr w14:paraId="44D0FA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6" w:type="dxa"/>
                  <w:vMerge w:val="continue"/>
                  <w:tcBorders>
                    <w:tl2br w:val="nil"/>
                    <w:tr2bl w:val="nil"/>
                  </w:tcBorders>
                  <w:shd w:val="clear" w:color="auto" w:fill="auto"/>
                  <w:noWrap/>
                  <w:vAlign w:val="center"/>
                </w:tcPr>
                <w:p w14:paraId="16745611">
                  <w:pPr>
                    <w:jc w:val="center"/>
                    <w:rPr>
                      <w:rFonts w:hint="default"/>
                      <w:color w:val="auto"/>
                    </w:rPr>
                  </w:pPr>
                </w:p>
              </w:tc>
              <w:tc>
                <w:tcPr>
                  <w:tcW w:w="876" w:type="dxa"/>
                  <w:tcBorders>
                    <w:tl2br w:val="nil"/>
                    <w:tr2bl w:val="nil"/>
                  </w:tcBorders>
                  <w:shd w:val="clear" w:color="auto" w:fill="auto"/>
                  <w:vAlign w:val="center"/>
                </w:tcPr>
                <w:p w14:paraId="4A455E8C">
                  <w:pPr>
                    <w:jc w:val="center"/>
                    <w:rPr>
                      <w:color w:val="auto"/>
                      <w:lang w:val="en-US" w:eastAsia="zh-CN"/>
                    </w:rPr>
                  </w:pPr>
                  <w:r>
                    <w:rPr>
                      <w:color w:val="auto"/>
                      <w:lang w:val="en-US" w:eastAsia="zh-CN"/>
                    </w:rPr>
                    <w:t>水泥车</w:t>
                  </w:r>
                </w:p>
              </w:tc>
              <w:tc>
                <w:tcPr>
                  <w:tcW w:w="755" w:type="dxa"/>
                  <w:tcBorders>
                    <w:tl2br w:val="nil"/>
                    <w:tr2bl w:val="nil"/>
                  </w:tcBorders>
                  <w:shd w:val="clear" w:color="auto" w:fill="auto"/>
                  <w:vAlign w:val="center"/>
                </w:tcPr>
                <w:p w14:paraId="14D6A083">
                  <w:pPr>
                    <w:jc w:val="center"/>
                    <w:rPr>
                      <w:rFonts w:hint="default"/>
                      <w:color w:val="auto"/>
                      <w:lang w:val="en-US" w:eastAsia="zh-CN"/>
                    </w:rPr>
                  </w:pPr>
                  <w:r>
                    <w:rPr>
                      <w:rFonts w:hint="default"/>
                      <w:color w:val="auto"/>
                      <w:lang w:val="en-US" w:eastAsia="zh-CN"/>
                    </w:rPr>
                    <w:t>90</w:t>
                  </w:r>
                </w:p>
              </w:tc>
              <w:tc>
                <w:tcPr>
                  <w:tcW w:w="627" w:type="dxa"/>
                  <w:tcBorders>
                    <w:tl2br w:val="nil"/>
                    <w:tr2bl w:val="nil"/>
                  </w:tcBorders>
                  <w:shd w:val="clear" w:color="auto" w:fill="auto"/>
                  <w:vAlign w:val="center"/>
                </w:tcPr>
                <w:p w14:paraId="4E8A3CD8">
                  <w:pPr>
                    <w:jc w:val="center"/>
                    <w:rPr>
                      <w:rFonts w:hint="default"/>
                      <w:color w:val="auto"/>
                      <w:lang w:val="en-US" w:eastAsia="zh-CN"/>
                    </w:rPr>
                  </w:pPr>
                  <w:r>
                    <w:rPr>
                      <w:rFonts w:hint="default"/>
                      <w:color w:val="auto"/>
                      <w:lang w:val="en-US" w:eastAsia="zh-CN"/>
                    </w:rPr>
                    <w:t>1</w:t>
                  </w:r>
                </w:p>
              </w:tc>
              <w:tc>
                <w:tcPr>
                  <w:tcW w:w="853" w:type="dxa"/>
                  <w:tcBorders>
                    <w:tl2br w:val="nil"/>
                    <w:tr2bl w:val="nil"/>
                  </w:tcBorders>
                  <w:shd w:val="clear" w:color="auto" w:fill="auto"/>
                  <w:noWrap/>
                  <w:vAlign w:val="center"/>
                </w:tcPr>
                <w:p w14:paraId="0E012BA9">
                  <w:pPr>
                    <w:jc w:val="center"/>
                    <w:rPr>
                      <w:rFonts w:hint="default"/>
                      <w:color w:val="auto"/>
                      <w:lang w:val="en-US" w:eastAsia="zh-CN"/>
                    </w:rPr>
                  </w:pPr>
                  <w:r>
                    <w:rPr>
                      <w:rFonts w:hint="default"/>
                      <w:color w:val="auto"/>
                      <w:lang w:val="en-US" w:eastAsia="zh-CN"/>
                    </w:rPr>
                    <w:t>90.00</w:t>
                  </w:r>
                </w:p>
              </w:tc>
              <w:tc>
                <w:tcPr>
                  <w:tcW w:w="760" w:type="dxa"/>
                  <w:tcBorders>
                    <w:tl2br w:val="nil"/>
                    <w:tr2bl w:val="nil"/>
                  </w:tcBorders>
                  <w:shd w:val="clear" w:color="auto" w:fill="auto"/>
                  <w:noWrap/>
                  <w:vAlign w:val="center"/>
                </w:tcPr>
                <w:p w14:paraId="06DF0D1F">
                  <w:pPr>
                    <w:jc w:val="center"/>
                    <w:rPr>
                      <w:rFonts w:hint="default"/>
                      <w:color w:val="auto"/>
                      <w:lang w:val="en-US" w:eastAsia="zh-CN"/>
                    </w:rPr>
                  </w:pPr>
                  <w:r>
                    <w:rPr>
                      <w:rFonts w:hint="default"/>
                      <w:color w:val="auto"/>
                      <w:lang w:val="en-US" w:eastAsia="zh-CN"/>
                    </w:rPr>
                    <w:t>25.00</w:t>
                  </w:r>
                </w:p>
              </w:tc>
              <w:tc>
                <w:tcPr>
                  <w:tcW w:w="840" w:type="dxa"/>
                  <w:tcBorders>
                    <w:tl2br w:val="nil"/>
                    <w:tr2bl w:val="nil"/>
                  </w:tcBorders>
                  <w:shd w:val="clear" w:color="auto" w:fill="auto"/>
                  <w:vAlign w:val="center"/>
                </w:tcPr>
                <w:p w14:paraId="6A52B1F0">
                  <w:pPr>
                    <w:jc w:val="center"/>
                    <w:rPr>
                      <w:rFonts w:hint="default"/>
                      <w:color w:val="auto"/>
                      <w:lang w:val="en-US" w:eastAsia="zh-CN"/>
                    </w:rPr>
                  </w:pPr>
                  <w:r>
                    <w:rPr>
                      <w:rFonts w:hint="eastAsia"/>
                      <w:color w:val="auto"/>
                      <w:lang w:val="en-US" w:eastAsia="zh-CN"/>
                    </w:rPr>
                    <w:t>100</w:t>
                  </w:r>
                </w:p>
              </w:tc>
              <w:tc>
                <w:tcPr>
                  <w:tcW w:w="720" w:type="dxa"/>
                  <w:tcBorders>
                    <w:tl2br w:val="nil"/>
                    <w:tr2bl w:val="nil"/>
                  </w:tcBorders>
                  <w:shd w:val="clear" w:color="auto" w:fill="auto"/>
                  <w:noWrap/>
                  <w:vAlign w:val="bottom"/>
                </w:tcPr>
                <w:p w14:paraId="2649D6CA">
                  <w:pPr>
                    <w:jc w:val="center"/>
                    <w:rPr>
                      <w:rFonts w:hint="eastAsia"/>
                      <w:color w:val="auto"/>
                      <w:lang w:val="en-US" w:eastAsia="zh-CN"/>
                    </w:rPr>
                  </w:pPr>
                  <w:r>
                    <w:rPr>
                      <w:rFonts w:hint="eastAsia"/>
                      <w:color w:val="auto"/>
                      <w:lang w:val="en-US" w:eastAsia="zh-CN"/>
                    </w:rPr>
                    <w:t>40.00</w:t>
                  </w:r>
                </w:p>
              </w:tc>
              <w:tc>
                <w:tcPr>
                  <w:tcW w:w="773" w:type="dxa"/>
                  <w:tcBorders>
                    <w:tl2br w:val="nil"/>
                    <w:tr2bl w:val="nil"/>
                  </w:tcBorders>
                  <w:shd w:val="clear" w:color="auto" w:fill="auto"/>
                  <w:noWrap/>
                  <w:vAlign w:val="bottom"/>
                </w:tcPr>
                <w:p w14:paraId="37F6FC49">
                  <w:pPr>
                    <w:jc w:val="center"/>
                    <w:rPr>
                      <w:rFonts w:hint="eastAsia"/>
                      <w:color w:val="auto"/>
                      <w:lang w:val="en-US" w:eastAsia="zh-CN"/>
                    </w:rPr>
                  </w:pPr>
                  <w:r>
                    <w:rPr>
                      <w:rFonts w:hint="eastAsia"/>
                      <w:color w:val="auto"/>
                      <w:lang w:val="en-US" w:eastAsia="zh-CN"/>
                    </w:rPr>
                    <w:t>25.00</w:t>
                  </w:r>
                </w:p>
              </w:tc>
              <w:tc>
                <w:tcPr>
                  <w:tcW w:w="817" w:type="dxa"/>
                  <w:vMerge w:val="continue"/>
                  <w:tcBorders>
                    <w:tl2br w:val="nil"/>
                    <w:tr2bl w:val="nil"/>
                  </w:tcBorders>
                  <w:shd w:val="clear" w:color="auto" w:fill="auto"/>
                  <w:noWrap/>
                  <w:vAlign w:val="center"/>
                </w:tcPr>
                <w:p w14:paraId="767262B7">
                  <w:pPr>
                    <w:jc w:val="center"/>
                    <w:rPr>
                      <w:rFonts w:hint="default"/>
                      <w:color w:val="auto"/>
                    </w:rPr>
                  </w:pPr>
                </w:p>
              </w:tc>
            </w:tr>
            <w:tr w14:paraId="51BD94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36" w:type="dxa"/>
                  <w:vMerge w:val="continue"/>
                  <w:tcBorders>
                    <w:tl2br w:val="nil"/>
                    <w:tr2bl w:val="nil"/>
                  </w:tcBorders>
                  <w:shd w:val="clear" w:color="auto" w:fill="auto"/>
                  <w:noWrap/>
                  <w:vAlign w:val="center"/>
                </w:tcPr>
                <w:p w14:paraId="7950896F">
                  <w:pPr>
                    <w:jc w:val="center"/>
                    <w:rPr>
                      <w:rFonts w:hint="default"/>
                      <w:color w:val="auto"/>
                    </w:rPr>
                  </w:pPr>
                </w:p>
              </w:tc>
              <w:tc>
                <w:tcPr>
                  <w:tcW w:w="876" w:type="dxa"/>
                  <w:tcBorders>
                    <w:tl2br w:val="nil"/>
                    <w:tr2bl w:val="nil"/>
                  </w:tcBorders>
                  <w:shd w:val="clear" w:color="auto" w:fill="auto"/>
                  <w:vAlign w:val="center"/>
                </w:tcPr>
                <w:p w14:paraId="26ABB148">
                  <w:pPr>
                    <w:jc w:val="center"/>
                    <w:rPr>
                      <w:color w:val="auto"/>
                      <w:lang w:val="en-US" w:eastAsia="zh-CN"/>
                    </w:rPr>
                  </w:pPr>
                  <w:r>
                    <w:rPr>
                      <w:color w:val="auto"/>
                      <w:lang w:val="en-US" w:eastAsia="zh-CN"/>
                    </w:rPr>
                    <w:t>推土机</w:t>
                  </w:r>
                </w:p>
              </w:tc>
              <w:tc>
                <w:tcPr>
                  <w:tcW w:w="755" w:type="dxa"/>
                  <w:tcBorders>
                    <w:tl2br w:val="nil"/>
                    <w:tr2bl w:val="nil"/>
                  </w:tcBorders>
                  <w:shd w:val="clear" w:color="auto" w:fill="auto"/>
                  <w:vAlign w:val="center"/>
                </w:tcPr>
                <w:p w14:paraId="5E47B41A">
                  <w:pPr>
                    <w:jc w:val="center"/>
                    <w:rPr>
                      <w:rFonts w:hint="default"/>
                      <w:color w:val="auto"/>
                      <w:lang w:val="en-US" w:eastAsia="zh-CN"/>
                    </w:rPr>
                  </w:pPr>
                  <w:r>
                    <w:rPr>
                      <w:rFonts w:hint="default"/>
                      <w:color w:val="auto"/>
                      <w:lang w:val="en-US" w:eastAsia="zh-CN"/>
                    </w:rPr>
                    <w:t>105</w:t>
                  </w:r>
                </w:p>
              </w:tc>
              <w:tc>
                <w:tcPr>
                  <w:tcW w:w="627" w:type="dxa"/>
                  <w:tcBorders>
                    <w:tl2br w:val="nil"/>
                    <w:tr2bl w:val="nil"/>
                  </w:tcBorders>
                  <w:shd w:val="clear" w:color="auto" w:fill="auto"/>
                  <w:vAlign w:val="center"/>
                </w:tcPr>
                <w:p w14:paraId="5426A288">
                  <w:pPr>
                    <w:jc w:val="center"/>
                    <w:rPr>
                      <w:rFonts w:hint="default"/>
                      <w:color w:val="auto"/>
                      <w:lang w:val="en-US" w:eastAsia="zh-CN"/>
                    </w:rPr>
                  </w:pPr>
                  <w:r>
                    <w:rPr>
                      <w:rFonts w:hint="default"/>
                      <w:color w:val="auto"/>
                      <w:lang w:val="en-US" w:eastAsia="zh-CN"/>
                    </w:rPr>
                    <w:t>1</w:t>
                  </w:r>
                </w:p>
              </w:tc>
              <w:tc>
                <w:tcPr>
                  <w:tcW w:w="853" w:type="dxa"/>
                  <w:tcBorders>
                    <w:tl2br w:val="nil"/>
                    <w:tr2bl w:val="nil"/>
                  </w:tcBorders>
                  <w:shd w:val="clear" w:color="auto" w:fill="auto"/>
                  <w:noWrap/>
                  <w:vAlign w:val="center"/>
                </w:tcPr>
                <w:p w14:paraId="391E5AD0">
                  <w:pPr>
                    <w:jc w:val="center"/>
                    <w:rPr>
                      <w:rFonts w:hint="default"/>
                      <w:color w:val="auto"/>
                      <w:lang w:val="en-US" w:eastAsia="zh-CN"/>
                    </w:rPr>
                  </w:pPr>
                  <w:r>
                    <w:rPr>
                      <w:rFonts w:hint="default"/>
                      <w:color w:val="auto"/>
                      <w:lang w:val="en-US" w:eastAsia="zh-CN"/>
                    </w:rPr>
                    <w:t>105.00</w:t>
                  </w:r>
                </w:p>
              </w:tc>
              <w:tc>
                <w:tcPr>
                  <w:tcW w:w="760" w:type="dxa"/>
                  <w:tcBorders>
                    <w:tl2br w:val="nil"/>
                    <w:tr2bl w:val="nil"/>
                  </w:tcBorders>
                  <w:shd w:val="clear" w:color="auto" w:fill="auto"/>
                  <w:noWrap/>
                  <w:vAlign w:val="center"/>
                </w:tcPr>
                <w:p w14:paraId="0341E3A6">
                  <w:pPr>
                    <w:jc w:val="center"/>
                    <w:rPr>
                      <w:rFonts w:hint="default"/>
                      <w:color w:val="auto"/>
                      <w:lang w:val="en-US" w:eastAsia="zh-CN"/>
                    </w:rPr>
                  </w:pPr>
                  <w:r>
                    <w:rPr>
                      <w:rFonts w:hint="default"/>
                      <w:color w:val="auto"/>
                      <w:lang w:val="en-US" w:eastAsia="zh-CN"/>
                    </w:rPr>
                    <w:t>25.00</w:t>
                  </w:r>
                </w:p>
              </w:tc>
              <w:tc>
                <w:tcPr>
                  <w:tcW w:w="840" w:type="dxa"/>
                  <w:tcBorders>
                    <w:tl2br w:val="nil"/>
                    <w:tr2bl w:val="nil"/>
                  </w:tcBorders>
                  <w:shd w:val="clear" w:color="auto" w:fill="auto"/>
                  <w:vAlign w:val="center"/>
                </w:tcPr>
                <w:p w14:paraId="795B4AE7">
                  <w:pPr>
                    <w:jc w:val="center"/>
                    <w:rPr>
                      <w:rFonts w:hint="default"/>
                      <w:color w:val="auto"/>
                      <w:lang w:val="en-US" w:eastAsia="zh-CN"/>
                    </w:rPr>
                  </w:pPr>
                  <w:r>
                    <w:rPr>
                      <w:rFonts w:hint="eastAsia"/>
                      <w:color w:val="auto"/>
                      <w:lang w:val="en-US" w:eastAsia="zh-CN"/>
                    </w:rPr>
                    <w:t>102</w:t>
                  </w:r>
                </w:p>
              </w:tc>
              <w:tc>
                <w:tcPr>
                  <w:tcW w:w="720" w:type="dxa"/>
                  <w:tcBorders>
                    <w:tl2br w:val="nil"/>
                    <w:tr2bl w:val="nil"/>
                  </w:tcBorders>
                  <w:shd w:val="clear" w:color="auto" w:fill="auto"/>
                  <w:noWrap/>
                  <w:vAlign w:val="bottom"/>
                </w:tcPr>
                <w:p w14:paraId="24A91253">
                  <w:pPr>
                    <w:jc w:val="center"/>
                    <w:rPr>
                      <w:rFonts w:hint="eastAsia"/>
                      <w:color w:val="auto"/>
                      <w:lang w:val="en-US" w:eastAsia="zh-CN"/>
                    </w:rPr>
                  </w:pPr>
                  <w:r>
                    <w:rPr>
                      <w:rFonts w:hint="eastAsia"/>
                      <w:color w:val="auto"/>
                      <w:lang w:val="en-US" w:eastAsia="zh-CN"/>
                    </w:rPr>
                    <w:t>40.17</w:t>
                  </w:r>
                </w:p>
              </w:tc>
              <w:tc>
                <w:tcPr>
                  <w:tcW w:w="773" w:type="dxa"/>
                  <w:tcBorders>
                    <w:tl2br w:val="nil"/>
                    <w:tr2bl w:val="nil"/>
                  </w:tcBorders>
                  <w:shd w:val="clear" w:color="auto" w:fill="auto"/>
                  <w:noWrap/>
                  <w:vAlign w:val="bottom"/>
                </w:tcPr>
                <w:p w14:paraId="35FE1383">
                  <w:pPr>
                    <w:jc w:val="center"/>
                    <w:rPr>
                      <w:rFonts w:hint="eastAsia"/>
                      <w:color w:val="auto"/>
                      <w:lang w:val="en-US" w:eastAsia="zh-CN"/>
                    </w:rPr>
                  </w:pPr>
                  <w:r>
                    <w:rPr>
                      <w:rFonts w:hint="eastAsia"/>
                      <w:color w:val="auto"/>
                      <w:lang w:val="en-US" w:eastAsia="zh-CN"/>
                    </w:rPr>
                    <w:t>39.83</w:t>
                  </w:r>
                </w:p>
              </w:tc>
              <w:tc>
                <w:tcPr>
                  <w:tcW w:w="817" w:type="dxa"/>
                  <w:vMerge w:val="continue"/>
                  <w:tcBorders>
                    <w:tl2br w:val="nil"/>
                    <w:tr2bl w:val="nil"/>
                  </w:tcBorders>
                  <w:shd w:val="clear" w:color="auto" w:fill="auto"/>
                  <w:noWrap/>
                  <w:vAlign w:val="center"/>
                </w:tcPr>
                <w:p w14:paraId="39C00495">
                  <w:pPr>
                    <w:jc w:val="center"/>
                    <w:rPr>
                      <w:rFonts w:hint="default"/>
                      <w:color w:val="auto"/>
                    </w:rPr>
                  </w:pPr>
                </w:p>
              </w:tc>
            </w:tr>
            <w:tr w14:paraId="2BDD24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36" w:type="dxa"/>
                  <w:vMerge w:val="continue"/>
                  <w:tcBorders>
                    <w:tl2br w:val="nil"/>
                    <w:tr2bl w:val="nil"/>
                  </w:tcBorders>
                  <w:shd w:val="clear" w:color="auto" w:fill="auto"/>
                  <w:noWrap/>
                  <w:vAlign w:val="center"/>
                </w:tcPr>
                <w:p w14:paraId="2A1A643F">
                  <w:pPr>
                    <w:jc w:val="center"/>
                    <w:rPr>
                      <w:rFonts w:hint="default"/>
                      <w:color w:val="auto"/>
                    </w:rPr>
                  </w:pPr>
                </w:p>
              </w:tc>
              <w:tc>
                <w:tcPr>
                  <w:tcW w:w="876" w:type="dxa"/>
                  <w:tcBorders>
                    <w:tl2br w:val="nil"/>
                    <w:tr2bl w:val="nil"/>
                  </w:tcBorders>
                  <w:shd w:val="clear" w:color="auto" w:fill="auto"/>
                  <w:vAlign w:val="center"/>
                </w:tcPr>
                <w:p w14:paraId="43F3A761">
                  <w:pPr>
                    <w:jc w:val="center"/>
                    <w:rPr>
                      <w:color w:val="auto"/>
                      <w:lang w:val="en-US" w:eastAsia="zh-CN"/>
                    </w:rPr>
                  </w:pPr>
                  <w:r>
                    <w:rPr>
                      <w:color w:val="auto"/>
                      <w:lang w:val="en-US" w:eastAsia="zh-CN"/>
                    </w:rPr>
                    <w:t>挖掘机</w:t>
                  </w:r>
                </w:p>
              </w:tc>
              <w:tc>
                <w:tcPr>
                  <w:tcW w:w="755" w:type="dxa"/>
                  <w:tcBorders>
                    <w:tl2br w:val="nil"/>
                    <w:tr2bl w:val="nil"/>
                  </w:tcBorders>
                  <w:shd w:val="clear" w:color="auto" w:fill="auto"/>
                  <w:vAlign w:val="center"/>
                </w:tcPr>
                <w:p w14:paraId="75741A5F">
                  <w:pPr>
                    <w:jc w:val="center"/>
                    <w:rPr>
                      <w:rFonts w:hint="default"/>
                      <w:color w:val="auto"/>
                      <w:lang w:val="en-US" w:eastAsia="zh-CN"/>
                    </w:rPr>
                  </w:pPr>
                  <w:r>
                    <w:rPr>
                      <w:rFonts w:hint="default"/>
                      <w:color w:val="auto"/>
                      <w:lang w:val="en-US" w:eastAsia="zh-CN"/>
                    </w:rPr>
                    <w:t>95</w:t>
                  </w:r>
                </w:p>
              </w:tc>
              <w:tc>
                <w:tcPr>
                  <w:tcW w:w="627" w:type="dxa"/>
                  <w:tcBorders>
                    <w:tl2br w:val="nil"/>
                    <w:tr2bl w:val="nil"/>
                  </w:tcBorders>
                  <w:shd w:val="clear" w:color="auto" w:fill="auto"/>
                  <w:vAlign w:val="center"/>
                </w:tcPr>
                <w:p w14:paraId="27DF28A0">
                  <w:pPr>
                    <w:jc w:val="center"/>
                    <w:rPr>
                      <w:rFonts w:hint="default"/>
                      <w:color w:val="auto"/>
                      <w:lang w:val="en-US" w:eastAsia="zh-CN"/>
                    </w:rPr>
                  </w:pPr>
                  <w:r>
                    <w:rPr>
                      <w:rFonts w:hint="default"/>
                      <w:color w:val="auto"/>
                      <w:lang w:val="en-US" w:eastAsia="zh-CN"/>
                    </w:rPr>
                    <w:t>1</w:t>
                  </w:r>
                </w:p>
              </w:tc>
              <w:tc>
                <w:tcPr>
                  <w:tcW w:w="853" w:type="dxa"/>
                  <w:tcBorders>
                    <w:tl2br w:val="nil"/>
                    <w:tr2bl w:val="nil"/>
                  </w:tcBorders>
                  <w:shd w:val="clear" w:color="auto" w:fill="auto"/>
                  <w:noWrap/>
                  <w:vAlign w:val="center"/>
                </w:tcPr>
                <w:p w14:paraId="1F91D5EE">
                  <w:pPr>
                    <w:jc w:val="center"/>
                    <w:rPr>
                      <w:rFonts w:hint="default"/>
                      <w:color w:val="auto"/>
                      <w:lang w:val="en-US" w:eastAsia="zh-CN"/>
                    </w:rPr>
                  </w:pPr>
                  <w:r>
                    <w:rPr>
                      <w:rFonts w:hint="default"/>
                      <w:color w:val="auto"/>
                      <w:lang w:val="en-US" w:eastAsia="zh-CN"/>
                    </w:rPr>
                    <w:t>95.00</w:t>
                  </w:r>
                </w:p>
              </w:tc>
              <w:tc>
                <w:tcPr>
                  <w:tcW w:w="760" w:type="dxa"/>
                  <w:tcBorders>
                    <w:tl2br w:val="nil"/>
                    <w:tr2bl w:val="nil"/>
                  </w:tcBorders>
                  <w:shd w:val="clear" w:color="auto" w:fill="auto"/>
                  <w:noWrap/>
                  <w:vAlign w:val="center"/>
                </w:tcPr>
                <w:p w14:paraId="193DF5FE">
                  <w:pPr>
                    <w:jc w:val="center"/>
                    <w:rPr>
                      <w:rFonts w:hint="default"/>
                      <w:color w:val="auto"/>
                      <w:lang w:val="en-US" w:eastAsia="zh-CN"/>
                    </w:rPr>
                  </w:pPr>
                  <w:r>
                    <w:rPr>
                      <w:rFonts w:hint="default"/>
                      <w:color w:val="auto"/>
                      <w:lang w:val="en-US" w:eastAsia="zh-CN"/>
                    </w:rPr>
                    <w:t>25.00</w:t>
                  </w:r>
                </w:p>
              </w:tc>
              <w:tc>
                <w:tcPr>
                  <w:tcW w:w="840" w:type="dxa"/>
                  <w:tcBorders>
                    <w:tl2br w:val="nil"/>
                    <w:tr2bl w:val="nil"/>
                  </w:tcBorders>
                  <w:shd w:val="clear" w:color="auto" w:fill="auto"/>
                  <w:vAlign w:val="center"/>
                </w:tcPr>
                <w:p w14:paraId="5FE1232B">
                  <w:pPr>
                    <w:jc w:val="center"/>
                    <w:rPr>
                      <w:rFonts w:hint="default"/>
                      <w:color w:val="auto"/>
                      <w:lang w:val="en-US" w:eastAsia="zh-CN"/>
                    </w:rPr>
                  </w:pPr>
                  <w:r>
                    <w:rPr>
                      <w:rFonts w:hint="eastAsia"/>
                      <w:color w:val="auto"/>
                      <w:lang w:val="en-US" w:eastAsia="zh-CN"/>
                    </w:rPr>
                    <w:t>104</w:t>
                  </w:r>
                </w:p>
              </w:tc>
              <w:tc>
                <w:tcPr>
                  <w:tcW w:w="720" w:type="dxa"/>
                  <w:tcBorders>
                    <w:tl2br w:val="nil"/>
                    <w:tr2bl w:val="nil"/>
                  </w:tcBorders>
                  <w:shd w:val="clear" w:color="auto" w:fill="auto"/>
                  <w:noWrap/>
                  <w:vAlign w:val="bottom"/>
                </w:tcPr>
                <w:p w14:paraId="06D08B65">
                  <w:pPr>
                    <w:jc w:val="center"/>
                    <w:rPr>
                      <w:rFonts w:hint="eastAsia"/>
                      <w:color w:val="auto"/>
                      <w:lang w:val="en-US" w:eastAsia="zh-CN"/>
                    </w:rPr>
                  </w:pPr>
                  <w:r>
                    <w:rPr>
                      <w:rFonts w:hint="eastAsia"/>
                      <w:color w:val="auto"/>
                      <w:lang w:val="en-US" w:eastAsia="zh-CN"/>
                    </w:rPr>
                    <w:t>40.34</w:t>
                  </w:r>
                </w:p>
              </w:tc>
              <w:tc>
                <w:tcPr>
                  <w:tcW w:w="773" w:type="dxa"/>
                  <w:tcBorders>
                    <w:tl2br w:val="nil"/>
                    <w:tr2bl w:val="nil"/>
                  </w:tcBorders>
                  <w:shd w:val="clear" w:color="auto" w:fill="auto"/>
                  <w:noWrap/>
                  <w:vAlign w:val="bottom"/>
                </w:tcPr>
                <w:p w14:paraId="71A05EC5">
                  <w:pPr>
                    <w:jc w:val="center"/>
                    <w:rPr>
                      <w:rFonts w:hint="eastAsia"/>
                      <w:color w:val="auto"/>
                      <w:lang w:val="en-US" w:eastAsia="zh-CN"/>
                    </w:rPr>
                  </w:pPr>
                  <w:r>
                    <w:rPr>
                      <w:rFonts w:hint="eastAsia"/>
                      <w:color w:val="auto"/>
                      <w:lang w:val="en-US" w:eastAsia="zh-CN"/>
                    </w:rPr>
                    <w:t>29.66</w:t>
                  </w:r>
                </w:p>
              </w:tc>
              <w:tc>
                <w:tcPr>
                  <w:tcW w:w="817" w:type="dxa"/>
                  <w:vMerge w:val="continue"/>
                  <w:tcBorders>
                    <w:tl2br w:val="nil"/>
                    <w:tr2bl w:val="nil"/>
                  </w:tcBorders>
                  <w:shd w:val="clear" w:color="auto" w:fill="auto"/>
                  <w:noWrap/>
                  <w:vAlign w:val="center"/>
                </w:tcPr>
                <w:p w14:paraId="35245B02">
                  <w:pPr>
                    <w:jc w:val="center"/>
                    <w:rPr>
                      <w:rFonts w:hint="default"/>
                      <w:color w:val="auto"/>
                    </w:rPr>
                  </w:pPr>
                </w:p>
              </w:tc>
            </w:tr>
            <w:tr w14:paraId="6C0DC4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6" w:type="dxa"/>
                  <w:vMerge w:val="continue"/>
                  <w:tcBorders>
                    <w:tl2br w:val="nil"/>
                    <w:tr2bl w:val="nil"/>
                  </w:tcBorders>
                  <w:shd w:val="clear" w:color="auto" w:fill="auto"/>
                  <w:noWrap/>
                  <w:vAlign w:val="center"/>
                </w:tcPr>
                <w:p w14:paraId="47D229AB">
                  <w:pPr>
                    <w:jc w:val="center"/>
                    <w:rPr>
                      <w:rFonts w:hint="default"/>
                      <w:color w:val="auto"/>
                    </w:rPr>
                  </w:pPr>
                </w:p>
              </w:tc>
              <w:tc>
                <w:tcPr>
                  <w:tcW w:w="876" w:type="dxa"/>
                  <w:tcBorders>
                    <w:tl2br w:val="nil"/>
                    <w:tr2bl w:val="nil"/>
                  </w:tcBorders>
                  <w:shd w:val="clear" w:color="auto" w:fill="auto"/>
                  <w:vAlign w:val="center"/>
                </w:tcPr>
                <w:p w14:paraId="1990FBF8">
                  <w:pPr>
                    <w:jc w:val="center"/>
                    <w:rPr>
                      <w:color w:val="auto"/>
                      <w:lang w:val="en-US" w:eastAsia="zh-CN"/>
                    </w:rPr>
                  </w:pPr>
                  <w:r>
                    <w:rPr>
                      <w:color w:val="auto"/>
                      <w:lang w:val="en-US" w:eastAsia="zh-CN"/>
                    </w:rPr>
                    <w:t>通井机</w:t>
                  </w:r>
                </w:p>
              </w:tc>
              <w:tc>
                <w:tcPr>
                  <w:tcW w:w="755" w:type="dxa"/>
                  <w:tcBorders>
                    <w:tl2br w:val="nil"/>
                    <w:tr2bl w:val="nil"/>
                  </w:tcBorders>
                  <w:shd w:val="clear" w:color="auto" w:fill="auto"/>
                  <w:vAlign w:val="center"/>
                </w:tcPr>
                <w:p w14:paraId="6F46BCC2">
                  <w:pPr>
                    <w:jc w:val="center"/>
                    <w:rPr>
                      <w:rFonts w:hint="default"/>
                      <w:color w:val="auto"/>
                      <w:lang w:val="en-US" w:eastAsia="zh-CN"/>
                    </w:rPr>
                  </w:pPr>
                  <w:r>
                    <w:rPr>
                      <w:rFonts w:hint="default"/>
                      <w:color w:val="auto"/>
                      <w:lang w:val="en-US" w:eastAsia="zh-CN"/>
                    </w:rPr>
                    <w:t>85</w:t>
                  </w:r>
                </w:p>
              </w:tc>
              <w:tc>
                <w:tcPr>
                  <w:tcW w:w="627" w:type="dxa"/>
                  <w:tcBorders>
                    <w:tl2br w:val="nil"/>
                    <w:tr2bl w:val="nil"/>
                  </w:tcBorders>
                  <w:shd w:val="clear" w:color="auto" w:fill="auto"/>
                  <w:vAlign w:val="center"/>
                </w:tcPr>
                <w:p w14:paraId="5DAA7C9F">
                  <w:pPr>
                    <w:jc w:val="center"/>
                    <w:rPr>
                      <w:rFonts w:hint="default"/>
                      <w:color w:val="auto"/>
                      <w:lang w:val="en-US" w:eastAsia="zh-CN"/>
                    </w:rPr>
                  </w:pPr>
                  <w:r>
                    <w:rPr>
                      <w:rFonts w:hint="default"/>
                      <w:color w:val="auto"/>
                      <w:lang w:val="en-US" w:eastAsia="zh-CN"/>
                    </w:rPr>
                    <w:t>1</w:t>
                  </w:r>
                </w:p>
              </w:tc>
              <w:tc>
                <w:tcPr>
                  <w:tcW w:w="853" w:type="dxa"/>
                  <w:tcBorders>
                    <w:tl2br w:val="nil"/>
                    <w:tr2bl w:val="nil"/>
                  </w:tcBorders>
                  <w:shd w:val="clear" w:color="auto" w:fill="auto"/>
                  <w:noWrap/>
                  <w:vAlign w:val="center"/>
                </w:tcPr>
                <w:p w14:paraId="522B7A25">
                  <w:pPr>
                    <w:jc w:val="center"/>
                    <w:rPr>
                      <w:rFonts w:hint="default"/>
                      <w:color w:val="auto"/>
                      <w:lang w:val="en-US" w:eastAsia="zh-CN"/>
                    </w:rPr>
                  </w:pPr>
                  <w:r>
                    <w:rPr>
                      <w:rFonts w:hint="default"/>
                      <w:color w:val="auto"/>
                      <w:lang w:val="en-US" w:eastAsia="zh-CN"/>
                    </w:rPr>
                    <w:t>85.00</w:t>
                  </w:r>
                </w:p>
              </w:tc>
              <w:tc>
                <w:tcPr>
                  <w:tcW w:w="760" w:type="dxa"/>
                  <w:tcBorders>
                    <w:tl2br w:val="nil"/>
                    <w:tr2bl w:val="nil"/>
                  </w:tcBorders>
                  <w:shd w:val="clear" w:color="auto" w:fill="auto"/>
                  <w:noWrap/>
                  <w:vAlign w:val="center"/>
                </w:tcPr>
                <w:p w14:paraId="1919EE73">
                  <w:pPr>
                    <w:jc w:val="center"/>
                    <w:rPr>
                      <w:rFonts w:hint="default"/>
                      <w:color w:val="auto"/>
                      <w:lang w:val="en-US" w:eastAsia="zh-CN"/>
                    </w:rPr>
                  </w:pPr>
                  <w:r>
                    <w:rPr>
                      <w:rFonts w:hint="default"/>
                      <w:color w:val="auto"/>
                      <w:lang w:val="en-US" w:eastAsia="zh-CN"/>
                    </w:rPr>
                    <w:t>25.00</w:t>
                  </w:r>
                </w:p>
              </w:tc>
              <w:tc>
                <w:tcPr>
                  <w:tcW w:w="840" w:type="dxa"/>
                  <w:tcBorders>
                    <w:tl2br w:val="nil"/>
                    <w:tr2bl w:val="nil"/>
                  </w:tcBorders>
                  <w:shd w:val="clear" w:color="auto" w:fill="auto"/>
                  <w:vAlign w:val="center"/>
                </w:tcPr>
                <w:p w14:paraId="5EBCEE7F">
                  <w:pPr>
                    <w:jc w:val="center"/>
                    <w:rPr>
                      <w:rFonts w:hint="default"/>
                      <w:color w:val="auto"/>
                      <w:lang w:val="en-US" w:eastAsia="zh-CN"/>
                    </w:rPr>
                  </w:pPr>
                  <w:r>
                    <w:rPr>
                      <w:rFonts w:hint="eastAsia"/>
                      <w:color w:val="auto"/>
                      <w:lang w:val="en-US" w:eastAsia="zh-CN"/>
                    </w:rPr>
                    <w:t>106</w:t>
                  </w:r>
                </w:p>
              </w:tc>
              <w:tc>
                <w:tcPr>
                  <w:tcW w:w="720" w:type="dxa"/>
                  <w:tcBorders>
                    <w:tl2br w:val="nil"/>
                    <w:tr2bl w:val="nil"/>
                  </w:tcBorders>
                  <w:shd w:val="clear" w:color="auto" w:fill="auto"/>
                  <w:noWrap/>
                  <w:vAlign w:val="bottom"/>
                </w:tcPr>
                <w:p w14:paraId="1E68411F">
                  <w:pPr>
                    <w:jc w:val="center"/>
                    <w:rPr>
                      <w:rFonts w:hint="eastAsia"/>
                      <w:color w:val="auto"/>
                      <w:lang w:val="en-US" w:eastAsia="zh-CN"/>
                    </w:rPr>
                  </w:pPr>
                  <w:r>
                    <w:rPr>
                      <w:rFonts w:hint="eastAsia"/>
                      <w:color w:val="auto"/>
                      <w:lang w:val="en-US" w:eastAsia="zh-CN"/>
                    </w:rPr>
                    <w:t>40.51</w:t>
                  </w:r>
                </w:p>
              </w:tc>
              <w:tc>
                <w:tcPr>
                  <w:tcW w:w="773" w:type="dxa"/>
                  <w:tcBorders>
                    <w:tl2br w:val="nil"/>
                    <w:tr2bl w:val="nil"/>
                  </w:tcBorders>
                  <w:shd w:val="clear" w:color="auto" w:fill="auto"/>
                  <w:noWrap/>
                  <w:vAlign w:val="bottom"/>
                </w:tcPr>
                <w:p w14:paraId="4DD4A462">
                  <w:pPr>
                    <w:jc w:val="center"/>
                    <w:rPr>
                      <w:rFonts w:hint="eastAsia"/>
                      <w:color w:val="auto"/>
                      <w:lang w:val="en-US" w:eastAsia="zh-CN"/>
                    </w:rPr>
                  </w:pPr>
                  <w:r>
                    <w:rPr>
                      <w:rFonts w:hint="eastAsia"/>
                      <w:color w:val="auto"/>
                      <w:lang w:val="en-US" w:eastAsia="zh-CN"/>
                    </w:rPr>
                    <w:t>19.49</w:t>
                  </w:r>
                </w:p>
              </w:tc>
              <w:tc>
                <w:tcPr>
                  <w:tcW w:w="817" w:type="dxa"/>
                  <w:vMerge w:val="continue"/>
                  <w:tcBorders>
                    <w:tl2br w:val="nil"/>
                    <w:tr2bl w:val="nil"/>
                  </w:tcBorders>
                  <w:shd w:val="clear" w:color="auto" w:fill="auto"/>
                  <w:noWrap/>
                  <w:vAlign w:val="center"/>
                </w:tcPr>
                <w:p w14:paraId="7794E69B">
                  <w:pPr>
                    <w:jc w:val="center"/>
                    <w:rPr>
                      <w:rFonts w:hint="default"/>
                      <w:color w:val="auto"/>
                    </w:rPr>
                  </w:pPr>
                </w:p>
              </w:tc>
            </w:tr>
            <w:tr w14:paraId="1C805B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6" w:type="dxa"/>
                  <w:vMerge w:val="continue"/>
                  <w:tcBorders>
                    <w:tl2br w:val="nil"/>
                    <w:tr2bl w:val="nil"/>
                  </w:tcBorders>
                  <w:shd w:val="clear" w:color="auto" w:fill="auto"/>
                  <w:noWrap/>
                  <w:vAlign w:val="center"/>
                </w:tcPr>
                <w:p w14:paraId="13532BAA">
                  <w:pPr>
                    <w:jc w:val="center"/>
                    <w:rPr>
                      <w:rFonts w:hint="default"/>
                      <w:color w:val="auto"/>
                    </w:rPr>
                  </w:pPr>
                </w:p>
              </w:tc>
              <w:tc>
                <w:tcPr>
                  <w:tcW w:w="876" w:type="dxa"/>
                  <w:tcBorders>
                    <w:tl2br w:val="nil"/>
                    <w:tr2bl w:val="nil"/>
                  </w:tcBorders>
                  <w:shd w:val="clear" w:color="auto" w:fill="auto"/>
                  <w:vAlign w:val="center"/>
                </w:tcPr>
                <w:p w14:paraId="48C7BE80">
                  <w:pPr>
                    <w:jc w:val="center"/>
                    <w:rPr>
                      <w:color w:val="auto"/>
                      <w:lang w:val="en-US" w:eastAsia="zh-CN"/>
                    </w:rPr>
                  </w:pPr>
                  <w:r>
                    <w:rPr>
                      <w:color w:val="auto"/>
                      <w:lang w:val="en-US" w:eastAsia="zh-CN"/>
                    </w:rPr>
                    <w:t>压裂车</w:t>
                  </w:r>
                </w:p>
              </w:tc>
              <w:tc>
                <w:tcPr>
                  <w:tcW w:w="755" w:type="dxa"/>
                  <w:tcBorders>
                    <w:tl2br w:val="nil"/>
                    <w:tr2bl w:val="nil"/>
                  </w:tcBorders>
                  <w:shd w:val="clear" w:color="auto" w:fill="auto"/>
                  <w:vAlign w:val="center"/>
                </w:tcPr>
                <w:p w14:paraId="35960DFE">
                  <w:pPr>
                    <w:jc w:val="center"/>
                    <w:rPr>
                      <w:rFonts w:hint="default"/>
                      <w:color w:val="auto"/>
                      <w:lang w:val="en-US" w:eastAsia="zh-CN"/>
                    </w:rPr>
                  </w:pPr>
                  <w:r>
                    <w:rPr>
                      <w:rFonts w:hint="default"/>
                      <w:color w:val="auto"/>
                      <w:lang w:val="en-US" w:eastAsia="zh-CN"/>
                    </w:rPr>
                    <w:t>1</w:t>
                  </w:r>
                  <w:r>
                    <w:rPr>
                      <w:rFonts w:hint="eastAsia"/>
                      <w:color w:val="auto"/>
                      <w:lang w:val="en-US" w:eastAsia="zh-CN"/>
                    </w:rPr>
                    <w:t>00</w:t>
                  </w:r>
                </w:p>
              </w:tc>
              <w:tc>
                <w:tcPr>
                  <w:tcW w:w="627" w:type="dxa"/>
                  <w:tcBorders>
                    <w:tl2br w:val="nil"/>
                    <w:tr2bl w:val="nil"/>
                  </w:tcBorders>
                  <w:shd w:val="clear" w:color="auto" w:fill="auto"/>
                  <w:vAlign w:val="center"/>
                </w:tcPr>
                <w:p w14:paraId="0D21CF2E">
                  <w:pPr>
                    <w:jc w:val="center"/>
                    <w:rPr>
                      <w:rFonts w:hint="default"/>
                      <w:color w:val="auto"/>
                      <w:lang w:val="en-US" w:eastAsia="zh-CN"/>
                    </w:rPr>
                  </w:pPr>
                  <w:r>
                    <w:rPr>
                      <w:rFonts w:hint="default"/>
                      <w:color w:val="auto"/>
                      <w:lang w:val="en-US" w:eastAsia="zh-CN"/>
                    </w:rPr>
                    <w:t>1</w:t>
                  </w:r>
                </w:p>
              </w:tc>
              <w:tc>
                <w:tcPr>
                  <w:tcW w:w="853" w:type="dxa"/>
                  <w:tcBorders>
                    <w:tl2br w:val="nil"/>
                    <w:tr2bl w:val="nil"/>
                  </w:tcBorders>
                  <w:shd w:val="clear" w:color="auto" w:fill="auto"/>
                  <w:noWrap/>
                  <w:vAlign w:val="center"/>
                </w:tcPr>
                <w:p w14:paraId="3E190DA0">
                  <w:pPr>
                    <w:jc w:val="center"/>
                    <w:rPr>
                      <w:rFonts w:hint="default"/>
                      <w:color w:val="auto"/>
                      <w:lang w:val="en-US" w:eastAsia="zh-CN"/>
                    </w:rPr>
                  </w:pPr>
                  <w:r>
                    <w:rPr>
                      <w:rFonts w:hint="default"/>
                      <w:color w:val="auto"/>
                      <w:lang w:val="en-US" w:eastAsia="zh-CN"/>
                    </w:rPr>
                    <w:t>1</w:t>
                  </w:r>
                  <w:r>
                    <w:rPr>
                      <w:rFonts w:hint="eastAsia"/>
                      <w:color w:val="auto"/>
                      <w:lang w:val="en-US" w:eastAsia="zh-CN"/>
                    </w:rPr>
                    <w:t>00</w:t>
                  </w:r>
                  <w:r>
                    <w:rPr>
                      <w:rFonts w:hint="default"/>
                      <w:color w:val="auto"/>
                      <w:lang w:val="en-US" w:eastAsia="zh-CN"/>
                    </w:rPr>
                    <w:t>.00</w:t>
                  </w:r>
                </w:p>
              </w:tc>
              <w:tc>
                <w:tcPr>
                  <w:tcW w:w="760" w:type="dxa"/>
                  <w:tcBorders>
                    <w:tl2br w:val="nil"/>
                    <w:tr2bl w:val="nil"/>
                  </w:tcBorders>
                  <w:shd w:val="clear" w:color="auto" w:fill="auto"/>
                  <w:noWrap/>
                  <w:vAlign w:val="center"/>
                </w:tcPr>
                <w:p w14:paraId="1764D34E">
                  <w:pPr>
                    <w:jc w:val="center"/>
                    <w:rPr>
                      <w:rFonts w:hint="default"/>
                      <w:color w:val="auto"/>
                      <w:lang w:val="en-US" w:eastAsia="zh-CN"/>
                    </w:rPr>
                  </w:pPr>
                  <w:r>
                    <w:rPr>
                      <w:rFonts w:hint="default"/>
                      <w:color w:val="auto"/>
                      <w:lang w:val="en-US" w:eastAsia="zh-CN"/>
                    </w:rPr>
                    <w:t>25.00</w:t>
                  </w:r>
                </w:p>
              </w:tc>
              <w:tc>
                <w:tcPr>
                  <w:tcW w:w="840" w:type="dxa"/>
                  <w:tcBorders>
                    <w:tl2br w:val="nil"/>
                    <w:tr2bl w:val="nil"/>
                  </w:tcBorders>
                  <w:shd w:val="clear" w:color="auto" w:fill="auto"/>
                  <w:vAlign w:val="center"/>
                </w:tcPr>
                <w:p w14:paraId="0B1E7F5E">
                  <w:pPr>
                    <w:jc w:val="center"/>
                    <w:rPr>
                      <w:rFonts w:hint="default"/>
                      <w:color w:val="auto"/>
                      <w:lang w:val="en-US" w:eastAsia="zh-CN"/>
                    </w:rPr>
                  </w:pPr>
                  <w:r>
                    <w:rPr>
                      <w:rFonts w:hint="eastAsia"/>
                      <w:color w:val="auto"/>
                      <w:lang w:val="en-US" w:eastAsia="zh-CN"/>
                    </w:rPr>
                    <w:t>95</w:t>
                  </w:r>
                </w:p>
              </w:tc>
              <w:tc>
                <w:tcPr>
                  <w:tcW w:w="720" w:type="dxa"/>
                  <w:tcBorders>
                    <w:tl2br w:val="nil"/>
                    <w:tr2bl w:val="nil"/>
                  </w:tcBorders>
                  <w:shd w:val="clear" w:color="auto" w:fill="auto"/>
                  <w:noWrap/>
                  <w:vAlign w:val="bottom"/>
                </w:tcPr>
                <w:p w14:paraId="0CE0F560">
                  <w:pPr>
                    <w:jc w:val="center"/>
                    <w:rPr>
                      <w:rFonts w:hint="eastAsia"/>
                      <w:color w:val="auto"/>
                      <w:lang w:val="en-US" w:eastAsia="zh-CN"/>
                    </w:rPr>
                  </w:pPr>
                  <w:r>
                    <w:rPr>
                      <w:rFonts w:hint="eastAsia"/>
                      <w:color w:val="auto"/>
                      <w:lang w:val="en-US" w:eastAsia="zh-CN"/>
                    </w:rPr>
                    <w:t>39.55</w:t>
                  </w:r>
                </w:p>
              </w:tc>
              <w:tc>
                <w:tcPr>
                  <w:tcW w:w="773" w:type="dxa"/>
                  <w:tcBorders>
                    <w:tl2br w:val="nil"/>
                    <w:tr2bl w:val="nil"/>
                  </w:tcBorders>
                  <w:shd w:val="clear" w:color="auto" w:fill="auto"/>
                  <w:noWrap/>
                  <w:vAlign w:val="bottom"/>
                </w:tcPr>
                <w:p w14:paraId="685F3B6D">
                  <w:pPr>
                    <w:jc w:val="center"/>
                    <w:rPr>
                      <w:rFonts w:hint="eastAsia"/>
                      <w:color w:val="auto"/>
                      <w:lang w:val="en-US" w:eastAsia="zh-CN"/>
                    </w:rPr>
                  </w:pPr>
                  <w:r>
                    <w:rPr>
                      <w:rFonts w:hint="eastAsia"/>
                      <w:color w:val="auto"/>
                      <w:lang w:val="en-US" w:eastAsia="zh-CN"/>
                    </w:rPr>
                    <w:t>35.45</w:t>
                  </w:r>
                </w:p>
              </w:tc>
              <w:tc>
                <w:tcPr>
                  <w:tcW w:w="817" w:type="dxa"/>
                  <w:vMerge w:val="continue"/>
                  <w:tcBorders>
                    <w:tl2br w:val="nil"/>
                    <w:tr2bl w:val="nil"/>
                  </w:tcBorders>
                  <w:shd w:val="clear" w:color="auto" w:fill="auto"/>
                  <w:noWrap/>
                  <w:vAlign w:val="center"/>
                </w:tcPr>
                <w:p w14:paraId="0BB5C9CA">
                  <w:pPr>
                    <w:jc w:val="center"/>
                    <w:rPr>
                      <w:rFonts w:hint="default"/>
                      <w:color w:val="auto"/>
                    </w:rPr>
                  </w:pPr>
                </w:p>
              </w:tc>
            </w:tr>
          </w:tbl>
          <w:p w14:paraId="298D36FC">
            <w:pPr>
              <w:pStyle w:val="16"/>
              <w:bidi w:val="0"/>
              <w:jc w:val="center"/>
              <w:rPr>
                <w:rFonts w:eastAsia="宋体"/>
                <w:color w:val="auto"/>
              </w:rPr>
            </w:pPr>
            <w:r>
              <w:rPr>
                <w:rFonts w:eastAsia="宋体"/>
                <w:color w:val="auto"/>
              </w:rPr>
              <w:t>表</w:t>
            </w:r>
            <w:r>
              <w:rPr>
                <w:rFonts w:hint="eastAsia" w:eastAsia="宋体"/>
                <w:color w:val="auto"/>
              </w:rPr>
              <w:t>4-</w:t>
            </w:r>
            <w:r>
              <w:rPr>
                <w:rFonts w:hint="eastAsia" w:eastAsia="宋体"/>
                <w:color w:val="auto"/>
                <w:lang w:val="en-US" w:eastAsia="zh-CN"/>
              </w:rPr>
              <w:t>7</w:t>
            </w:r>
            <w:r>
              <w:rPr>
                <w:rFonts w:eastAsia="宋体"/>
                <w:color w:val="auto"/>
              </w:rPr>
              <w:t xml:space="preserve">  </w:t>
            </w:r>
            <w:r>
              <w:rPr>
                <w:rFonts w:hint="eastAsia" w:eastAsia="宋体"/>
                <w:color w:val="auto"/>
                <w:lang w:val="en-US" w:eastAsia="zh-CN"/>
              </w:rPr>
              <w:t>环境保护目标处</w:t>
            </w:r>
            <w:r>
              <w:rPr>
                <w:rFonts w:eastAsia="宋体"/>
                <w:color w:val="auto"/>
              </w:rPr>
              <w:t>预测结果表（单位：dB(A)）</w:t>
            </w:r>
          </w:p>
          <w:tbl>
            <w:tblPr>
              <w:tblStyle w:val="11"/>
              <w:tblW w:w="503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9"/>
              <w:gridCol w:w="640"/>
              <w:gridCol w:w="652"/>
              <w:gridCol w:w="745"/>
              <w:gridCol w:w="733"/>
              <w:gridCol w:w="710"/>
              <w:gridCol w:w="697"/>
              <w:gridCol w:w="577"/>
              <w:gridCol w:w="649"/>
              <w:gridCol w:w="655"/>
            </w:tblGrid>
            <w:tr w14:paraId="00F831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pct"/>
                  <w:vMerge w:val="restart"/>
                  <w:vAlign w:val="center"/>
                </w:tcPr>
                <w:p w14:paraId="535F664C">
                  <w:pPr>
                    <w:adjustRightInd w:val="0"/>
                    <w:snapToGrid w:val="0"/>
                    <w:jc w:val="center"/>
                    <w:rPr>
                      <w:rFonts w:hint="eastAsia" w:eastAsia="宋体"/>
                      <w:b/>
                      <w:color w:val="auto"/>
                      <w:szCs w:val="21"/>
                      <w:lang w:eastAsia="zh-CN"/>
                    </w:rPr>
                  </w:pPr>
                  <w:r>
                    <w:rPr>
                      <w:rFonts w:hint="eastAsia" w:eastAsia="宋体"/>
                      <w:b/>
                      <w:color w:val="auto"/>
                      <w:szCs w:val="21"/>
                      <w:lang w:eastAsia="zh-CN"/>
                    </w:rPr>
                    <w:t>井场</w:t>
                  </w:r>
                </w:p>
              </w:tc>
              <w:tc>
                <w:tcPr>
                  <w:tcW w:w="552" w:type="pct"/>
                  <w:vMerge w:val="restart"/>
                  <w:vAlign w:val="center"/>
                </w:tcPr>
                <w:p w14:paraId="6CD57FFE">
                  <w:pPr>
                    <w:adjustRightInd w:val="0"/>
                    <w:snapToGrid w:val="0"/>
                    <w:jc w:val="center"/>
                    <w:rPr>
                      <w:rFonts w:eastAsia="宋体"/>
                      <w:b/>
                      <w:color w:val="auto"/>
                      <w:szCs w:val="21"/>
                    </w:rPr>
                  </w:pPr>
                  <w:r>
                    <w:rPr>
                      <w:rFonts w:eastAsia="宋体"/>
                      <w:b/>
                      <w:color w:val="auto"/>
                      <w:szCs w:val="21"/>
                    </w:rPr>
                    <w:t>预测点</w:t>
                  </w:r>
                </w:p>
              </w:tc>
              <w:tc>
                <w:tcPr>
                  <w:tcW w:w="831" w:type="pct"/>
                  <w:gridSpan w:val="2"/>
                  <w:vAlign w:val="center"/>
                </w:tcPr>
                <w:p w14:paraId="68BDEA87">
                  <w:pPr>
                    <w:adjustRightInd w:val="0"/>
                    <w:snapToGrid w:val="0"/>
                    <w:jc w:val="center"/>
                    <w:rPr>
                      <w:rFonts w:eastAsia="宋体"/>
                      <w:b/>
                      <w:color w:val="auto"/>
                      <w:szCs w:val="21"/>
                    </w:rPr>
                  </w:pPr>
                  <w:r>
                    <w:rPr>
                      <w:rFonts w:eastAsia="宋体"/>
                      <w:b/>
                      <w:color w:val="auto"/>
                      <w:szCs w:val="21"/>
                    </w:rPr>
                    <w:t>现状值</w:t>
                  </w:r>
                </w:p>
              </w:tc>
              <w:tc>
                <w:tcPr>
                  <w:tcW w:w="479" w:type="pct"/>
                  <w:vMerge w:val="restart"/>
                  <w:vAlign w:val="center"/>
                </w:tcPr>
                <w:p w14:paraId="1BDE724F">
                  <w:pPr>
                    <w:adjustRightInd w:val="0"/>
                    <w:snapToGrid w:val="0"/>
                    <w:jc w:val="center"/>
                    <w:rPr>
                      <w:rFonts w:eastAsia="宋体"/>
                      <w:b/>
                      <w:color w:val="auto"/>
                      <w:szCs w:val="21"/>
                    </w:rPr>
                  </w:pPr>
                  <w:r>
                    <w:rPr>
                      <w:rFonts w:eastAsia="宋体"/>
                      <w:b/>
                      <w:color w:val="auto"/>
                      <w:szCs w:val="21"/>
                    </w:rPr>
                    <w:t>贡献值</w:t>
                  </w:r>
                </w:p>
              </w:tc>
              <w:tc>
                <w:tcPr>
                  <w:tcW w:w="928" w:type="pct"/>
                  <w:gridSpan w:val="2"/>
                  <w:vAlign w:val="center"/>
                </w:tcPr>
                <w:p w14:paraId="0C81C389">
                  <w:pPr>
                    <w:adjustRightInd w:val="0"/>
                    <w:snapToGrid w:val="0"/>
                    <w:jc w:val="center"/>
                    <w:rPr>
                      <w:rFonts w:eastAsia="宋体"/>
                      <w:b/>
                      <w:color w:val="auto"/>
                      <w:szCs w:val="21"/>
                    </w:rPr>
                  </w:pPr>
                  <w:r>
                    <w:rPr>
                      <w:rFonts w:eastAsia="宋体"/>
                      <w:b/>
                      <w:color w:val="auto"/>
                      <w:szCs w:val="21"/>
                    </w:rPr>
                    <w:t>预测值</w:t>
                  </w:r>
                </w:p>
              </w:tc>
              <w:tc>
                <w:tcPr>
                  <w:tcW w:w="820" w:type="pct"/>
                  <w:gridSpan w:val="2"/>
                  <w:vAlign w:val="center"/>
                </w:tcPr>
                <w:p w14:paraId="5F865C3E">
                  <w:pPr>
                    <w:adjustRightInd w:val="0"/>
                    <w:snapToGrid w:val="0"/>
                    <w:jc w:val="center"/>
                    <w:rPr>
                      <w:rFonts w:eastAsia="宋体"/>
                      <w:b/>
                      <w:color w:val="auto"/>
                      <w:szCs w:val="21"/>
                    </w:rPr>
                  </w:pPr>
                  <w:r>
                    <w:rPr>
                      <w:rFonts w:eastAsia="宋体"/>
                      <w:b/>
                      <w:color w:val="auto"/>
                      <w:szCs w:val="21"/>
                    </w:rPr>
                    <w:t>标准值</w:t>
                  </w:r>
                </w:p>
              </w:tc>
              <w:tc>
                <w:tcPr>
                  <w:tcW w:w="839" w:type="pct"/>
                  <w:gridSpan w:val="2"/>
                  <w:vAlign w:val="center"/>
                </w:tcPr>
                <w:p w14:paraId="777045F9">
                  <w:pPr>
                    <w:adjustRightInd w:val="0"/>
                    <w:snapToGrid w:val="0"/>
                    <w:jc w:val="center"/>
                    <w:rPr>
                      <w:rFonts w:eastAsia="宋体"/>
                      <w:b/>
                      <w:color w:val="auto"/>
                      <w:szCs w:val="21"/>
                    </w:rPr>
                  </w:pPr>
                  <w:r>
                    <w:rPr>
                      <w:rFonts w:eastAsia="宋体"/>
                      <w:b/>
                      <w:color w:val="auto"/>
                      <w:szCs w:val="21"/>
                    </w:rPr>
                    <w:t>达标情况</w:t>
                  </w:r>
                </w:p>
              </w:tc>
            </w:tr>
            <w:tr w14:paraId="465E8A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pct"/>
                  <w:vMerge w:val="continue"/>
                  <w:vAlign w:val="center"/>
                </w:tcPr>
                <w:p w14:paraId="03D9DC6F">
                  <w:pPr>
                    <w:widowControl/>
                    <w:jc w:val="center"/>
                    <w:rPr>
                      <w:rFonts w:eastAsia="宋体"/>
                      <w:b/>
                      <w:szCs w:val="21"/>
                    </w:rPr>
                  </w:pPr>
                </w:p>
              </w:tc>
              <w:tc>
                <w:tcPr>
                  <w:tcW w:w="552" w:type="pct"/>
                  <w:vMerge w:val="continue"/>
                  <w:vAlign w:val="center"/>
                </w:tcPr>
                <w:p w14:paraId="1EB4B0EC">
                  <w:pPr>
                    <w:widowControl/>
                    <w:jc w:val="center"/>
                    <w:rPr>
                      <w:rFonts w:eastAsia="宋体"/>
                      <w:b/>
                      <w:szCs w:val="21"/>
                    </w:rPr>
                  </w:pPr>
                </w:p>
              </w:tc>
              <w:tc>
                <w:tcPr>
                  <w:tcW w:w="411" w:type="pct"/>
                  <w:vAlign w:val="center"/>
                </w:tcPr>
                <w:p w14:paraId="3F73148C">
                  <w:pPr>
                    <w:adjustRightInd w:val="0"/>
                    <w:snapToGrid w:val="0"/>
                    <w:jc w:val="center"/>
                    <w:rPr>
                      <w:rFonts w:eastAsia="宋体"/>
                      <w:szCs w:val="21"/>
                      <w:highlight w:val="none"/>
                    </w:rPr>
                  </w:pPr>
                  <w:r>
                    <w:rPr>
                      <w:rFonts w:eastAsia="宋体"/>
                      <w:szCs w:val="21"/>
                      <w:highlight w:val="none"/>
                    </w:rPr>
                    <w:t>昼间</w:t>
                  </w:r>
                </w:p>
              </w:tc>
              <w:tc>
                <w:tcPr>
                  <w:tcW w:w="419" w:type="pct"/>
                  <w:vAlign w:val="center"/>
                </w:tcPr>
                <w:p w14:paraId="7B524684">
                  <w:pPr>
                    <w:adjustRightInd w:val="0"/>
                    <w:snapToGrid w:val="0"/>
                    <w:jc w:val="center"/>
                    <w:rPr>
                      <w:rFonts w:eastAsia="宋体"/>
                      <w:szCs w:val="21"/>
                      <w:highlight w:val="none"/>
                    </w:rPr>
                  </w:pPr>
                  <w:r>
                    <w:rPr>
                      <w:rFonts w:eastAsia="宋体"/>
                      <w:szCs w:val="21"/>
                      <w:highlight w:val="none"/>
                    </w:rPr>
                    <w:t>夜间</w:t>
                  </w:r>
                </w:p>
              </w:tc>
              <w:tc>
                <w:tcPr>
                  <w:tcW w:w="479" w:type="pct"/>
                  <w:vMerge w:val="continue"/>
                  <w:vAlign w:val="center"/>
                </w:tcPr>
                <w:p w14:paraId="201F6852">
                  <w:pPr>
                    <w:adjustRightInd w:val="0"/>
                    <w:snapToGrid w:val="0"/>
                    <w:jc w:val="center"/>
                    <w:rPr>
                      <w:rFonts w:eastAsia="宋体"/>
                      <w:szCs w:val="21"/>
                    </w:rPr>
                  </w:pPr>
                </w:p>
              </w:tc>
              <w:tc>
                <w:tcPr>
                  <w:tcW w:w="471" w:type="pct"/>
                  <w:vAlign w:val="center"/>
                </w:tcPr>
                <w:p w14:paraId="1E7F3986">
                  <w:pPr>
                    <w:adjustRightInd w:val="0"/>
                    <w:snapToGrid w:val="0"/>
                    <w:jc w:val="center"/>
                    <w:rPr>
                      <w:rFonts w:eastAsia="宋体"/>
                      <w:szCs w:val="21"/>
                    </w:rPr>
                  </w:pPr>
                  <w:r>
                    <w:rPr>
                      <w:rFonts w:eastAsia="宋体"/>
                      <w:szCs w:val="21"/>
                    </w:rPr>
                    <w:t>昼间</w:t>
                  </w:r>
                </w:p>
              </w:tc>
              <w:tc>
                <w:tcPr>
                  <w:tcW w:w="457" w:type="pct"/>
                  <w:vAlign w:val="center"/>
                </w:tcPr>
                <w:p w14:paraId="5FB5D6B1">
                  <w:pPr>
                    <w:adjustRightInd w:val="0"/>
                    <w:snapToGrid w:val="0"/>
                    <w:jc w:val="center"/>
                    <w:rPr>
                      <w:rFonts w:eastAsia="宋体"/>
                      <w:szCs w:val="21"/>
                    </w:rPr>
                  </w:pPr>
                  <w:r>
                    <w:rPr>
                      <w:rFonts w:eastAsia="宋体"/>
                      <w:szCs w:val="21"/>
                    </w:rPr>
                    <w:t>夜间</w:t>
                  </w:r>
                </w:p>
              </w:tc>
              <w:tc>
                <w:tcPr>
                  <w:tcW w:w="448" w:type="pct"/>
                  <w:vAlign w:val="center"/>
                </w:tcPr>
                <w:p w14:paraId="15D2AA2A">
                  <w:pPr>
                    <w:adjustRightInd w:val="0"/>
                    <w:snapToGrid w:val="0"/>
                    <w:jc w:val="center"/>
                    <w:rPr>
                      <w:rFonts w:eastAsia="宋体"/>
                      <w:szCs w:val="21"/>
                    </w:rPr>
                  </w:pPr>
                  <w:r>
                    <w:rPr>
                      <w:rFonts w:eastAsia="宋体"/>
                      <w:szCs w:val="21"/>
                    </w:rPr>
                    <w:t>昼间</w:t>
                  </w:r>
                </w:p>
              </w:tc>
              <w:tc>
                <w:tcPr>
                  <w:tcW w:w="371" w:type="pct"/>
                  <w:vAlign w:val="center"/>
                </w:tcPr>
                <w:p w14:paraId="76EB5A97">
                  <w:pPr>
                    <w:adjustRightInd w:val="0"/>
                    <w:snapToGrid w:val="0"/>
                    <w:jc w:val="center"/>
                    <w:rPr>
                      <w:rFonts w:eastAsia="宋体"/>
                      <w:szCs w:val="21"/>
                    </w:rPr>
                  </w:pPr>
                  <w:r>
                    <w:rPr>
                      <w:rFonts w:eastAsia="宋体"/>
                      <w:szCs w:val="21"/>
                    </w:rPr>
                    <w:t>夜间</w:t>
                  </w:r>
                </w:p>
              </w:tc>
              <w:tc>
                <w:tcPr>
                  <w:tcW w:w="417" w:type="pct"/>
                  <w:vAlign w:val="center"/>
                </w:tcPr>
                <w:p w14:paraId="6B7D62E8">
                  <w:pPr>
                    <w:adjustRightInd w:val="0"/>
                    <w:snapToGrid w:val="0"/>
                    <w:jc w:val="center"/>
                    <w:rPr>
                      <w:rFonts w:eastAsia="宋体"/>
                      <w:szCs w:val="21"/>
                    </w:rPr>
                  </w:pPr>
                  <w:r>
                    <w:rPr>
                      <w:rFonts w:eastAsia="宋体"/>
                      <w:szCs w:val="21"/>
                    </w:rPr>
                    <w:t>昼间</w:t>
                  </w:r>
                </w:p>
              </w:tc>
              <w:tc>
                <w:tcPr>
                  <w:tcW w:w="421" w:type="pct"/>
                  <w:vAlign w:val="center"/>
                </w:tcPr>
                <w:p w14:paraId="29081109">
                  <w:pPr>
                    <w:adjustRightInd w:val="0"/>
                    <w:snapToGrid w:val="0"/>
                    <w:jc w:val="center"/>
                    <w:rPr>
                      <w:rFonts w:eastAsia="宋体"/>
                      <w:szCs w:val="21"/>
                    </w:rPr>
                  </w:pPr>
                  <w:r>
                    <w:rPr>
                      <w:rFonts w:eastAsia="宋体"/>
                      <w:szCs w:val="21"/>
                    </w:rPr>
                    <w:t>夜间</w:t>
                  </w:r>
                </w:p>
              </w:tc>
            </w:tr>
            <w:tr w14:paraId="50410C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pct"/>
                  <w:vAlign w:val="center"/>
                </w:tcPr>
                <w:p w14:paraId="409ABC30">
                  <w:pPr>
                    <w:pStyle w:val="17"/>
                    <w:ind w:firstLine="0" w:firstLineChars="0"/>
                    <w:jc w:val="center"/>
                    <w:rPr>
                      <w:rFonts w:hint="default" w:eastAsia="宋体"/>
                      <w:lang w:val="en-US" w:eastAsia="zh-CN"/>
                    </w:rPr>
                  </w:pPr>
                  <w:r>
                    <w:rPr>
                      <w:rFonts w:hint="eastAsia" w:eastAsia="宋体"/>
                      <w:lang w:val="en-US" w:eastAsia="zh-CN"/>
                    </w:rPr>
                    <w:t>沙105</w:t>
                  </w:r>
                </w:p>
                <w:p w14:paraId="5CB41253">
                  <w:pPr>
                    <w:pStyle w:val="17"/>
                    <w:ind w:firstLine="0" w:firstLineChars="0"/>
                    <w:jc w:val="center"/>
                    <w:rPr>
                      <w:rFonts w:hint="eastAsia" w:eastAsia="宋体"/>
                      <w:szCs w:val="21"/>
                      <w:lang w:eastAsia="zh-CN"/>
                    </w:rPr>
                  </w:pPr>
                  <w:r>
                    <w:rPr>
                      <w:rFonts w:hint="eastAsia" w:eastAsia="宋体"/>
                      <w:lang w:val="en-US" w:eastAsia="zh-CN"/>
                    </w:rPr>
                    <w:t>斜井</w:t>
                  </w:r>
                </w:p>
              </w:tc>
              <w:tc>
                <w:tcPr>
                  <w:tcW w:w="552" w:type="pct"/>
                  <w:vAlign w:val="center"/>
                </w:tcPr>
                <w:p w14:paraId="107F2C16">
                  <w:pPr>
                    <w:pStyle w:val="17"/>
                    <w:ind w:firstLine="0" w:firstLineChars="0"/>
                    <w:jc w:val="center"/>
                    <w:rPr>
                      <w:rFonts w:hint="default" w:eastAsia="宋体"/>
                      <w:szCs w:val="21"/>
                      <w:lang w:val="en-US" w:eastAsia="zh-CN"/>
                    </w:rPr>
                  </w:pPr>
                  <w:r>
                    <w:rPr>
                      <w:rFonts w:hint="eastAsia" w:eastAsia="宋体"/>
                      <w:szCs w:val="21"/>
                      <w:lang w:val="en-US" w:eastAsia="zh-CN"/>
                    </w:rPr>
                    <w:t>双屏村四组</w:t>
                  </w:r>
                </w:p>
              </w:tc>
              <w:tc>
                <w:tcPr>
                  <w:tcW w:w="411" w:type="pct"/>
                  <w:vAlign w:val="center"/>
                </w:tcPr>
                <w:p w14:paraId="08DFC3D9">
                  <w:pPr>
                    <w:jc w:val="center"/>
                    <w:rPr>
                      <w:rFonts w:hint="eastAsia" w:eastAsia="宋体"/>
                      <w:highlight w:val="none"/>
                      <w:lang w:val="en-US" w:eastAsia="zh-CN"/>
                    </w:rPr>
                  </w:pPr>
                  <w:r>
                    <w:rPr>
                      <w:rFonts w:hint="eastAsia" w:eastAsia="宋体"/>
                      <w:highlight w:val="none"/>
                      <w:lang w:val="en-US" w:eastAsia="zh-CN"/>
                    </w:rPr>
                    <w:t>4</w:t>
                  </w:r>
                  <w:r>
                    <w:rPr>
                      <w:rFonts w:hint="eastAsia"/>
                      <w:highlight w:val="none"/>
                      <w:lang w:val="en-US" w:eastAsia="zh-CN"/>
                    </w:rPr>
                    <w:t>1</w:t>
                  </w:r>
                  <w:r>
                    <w:rPr>
                      <w:rFonts w:hint="eastAsia" w:eastAsia="宋体"/>
                      <w:highlight w:val="none"/>
                      <w:lang w:val="en-US" w:eastAsia="zh-CN"/>
                    </w:rPr>
                    <w:t>.</w:t>
                  </w:r>
                  <w:r>
                    <w:rPr>
                      <w:rFonts w:hint="eastAsia"/>
                      <w:highlight w:val="none"/>
                      <w:lang w:val="en-US" w:eastAsia="zh-CN"/>
                    </w:rPr>
                    <w:t>2</w:t>
                  </w:r>
                </w:p>
              </w:tc>
              <w:tc>
                <w:tcPr>
                  <w:tcW w:w="419" w:type="pct"/>
                  <w:vAlign w:val="center"/>
                </w:tcPr>
                <w:p w14:paraId="6237B4EA">
                  <w:pPr>
                    <w:jc w:val="center"/>
                    <w:rPr>
                      <w:rFonts w:hint="default" w:eastAsia="宋体"/>
                      <w:highlight w:val="none"/>
                      <w:lang w:val="en-US" w:eastAsia="zh-CN"/>
                    </w:rPr>
                  </w:pPr>
                  <w:r>
                    <w:rPr>
                      <w:rFonts w:hint="eastAsia"/>
                      <w:highlight w:val="none"/>
                      <w:lang w:val="en-US" w:eastAsia="zh-CN"/>
                    </w:rPr>
                    <w:t>35.7</w:t>
                  </w:r>
                </w:p>
              </w:tc>
              <w:tc>
                <w:tcPr>
                  <w:tcW w:w="479" w:type="pct"/>
                  <w:vAlign w:val="center"/>
                </w:tcPr>
                <w:p w14:paraId="12250259">
                  <w:pPr>
                    <w:adjustRightInd w:val="0"/>
                    <w:snapToGrid w:val="0"/>
                    <w:jc w:val="center"/>
                    <w:rPr>
                      <w:rFonts w:hint="default"/>
                      <w:kern w:val="0"/>
                      <w:szCs w:val="21"/>
                      <w:lang w:val="en-US" w:eastAsia="zh-CN" w:bidi="ar"/>
                    </w:rPr>
                  </w:pPr>
                  <w:r>
                    <w:rPr>
                      <w:rFonts w:hint="eastAsia"/>
                      <w:kern w:val="0"/>
                      <w:szCs w:val="21"/>
                      <w:lang w:val="en-US" w:eastAsia="zh-CN" w:bidi="ar"/>
                    </w:rPr>
                    <w:t>41.10</w:t>
                  </w:r>
                </w:p>
              </w:tc>
              <w:tc>
                <w:tcPr>
                  <w:tcW w:w="471" w:type="pct"/>
                  <w:vAlign w:val="center"/>
                </w:tcPr>
                <w:p w14:paraId="6013019C">
                  <w:pPr>
                    <w:widowControl/>
                    <w:jc w:val="center"/>
                    <w:textAlignment w:val="bottom"/>
                    <w:rPr>
                      <w:rFonts w:hint="default" w:eastAsia="宋体"/>
                      <w:szCs w:val="21"/>
                      <w:highlight w:val="none"/>
                      <w:lang w:val="en-US" w:eastAsia="zh-CN"/>
                    </w:rPr>
                  </w:pPr>
                  <w:r>
                    <w:rPr>
                      <w:rFonts w:hint="eastAsia"/>
                      <w:szCs w:val="21"/>
                      <w:highlight w:val="none"/>
                      <w:lang w:val="en-US" w:eastAsia="zh-CN"/>
                    </w:rPr>
                    <w:t>44.16</w:t>
                  </w:r>
                </w:p>
              </w:tc>
              <w:tc>
                <w:tcPr>
                  <w:tcW w:w="457" w:type="pct"/>
                  <w:vAlign w:val="center"/>
                </w:tcPr>
                <w:p w14:paraId="40BDDBE1">
                  <w:pPr>
                    <w:widowControl/>
                    <w:jc w:val="center"/>
                    <w:textAlignment w:val="bottom"/>
                    <w:rPr>
                      <w:rFonts w:hint="default"/>
                      <w:szCs w:val="21"/>
                      <w:highlight w:val="none"/>
                      <w:lang w:val="en-US" w:eastAsia="zh-CN"/>
                    </w:rPr>
                  </w:pPr>
                  <w:r>
                    <w:rPr>
                      <w:rFonts w:hint="eastAsia"/>
                      <w:szCs w:val="21"/>
                      <w:highlight w:val="none"/>
                      <w:lang w:val="en-US" w:eastAsia="zh-CN"/>
                    </w:rPr>
                    <w:t>42.20</w:t>
                  </w:r>
                </w:p>
              </w:tc>
              <w:tc>
                <w:tcPr>
                  <w:tcW w:w="448" w:type="pct"/>
                  <w:vAlign w:val="center"/>
                </w:tcPr>
                <w:p w14:paraId="37FCF349">
                  <w:pPr>
                    <w:widowControl/>
                    <w:jc w:val="center"/>
                    <w:rPr>
                      <w:rFonts w:hint="default" w:eastAsia="宋体"/>
                      <w:szCs w:val="21"/>
                      <w:lang w:val="en-US" w:eastAsia="zh-CN"/>
                    </w:rPr>
                  </w:pPr>
                  <w:r>
                    <w:rPr>
                      <w:rFonts w:hint="eastAsia"/>
                      <w:szCs w:val="21"/>
                      <w:lang w:val="en-US" w:eastAsia="zh-CN"/>
                    </w:rPr>
                    <w:t>55</w:t>
                  </w:r>
                </w:p>
              </w:tc>
              <w:tc>
                <w:tcPr>
                  <w:tcW w:w="371" w:type="pct"/>
                  <w:vAlign w:val="center"/>
                </w:tcPr>
                <w:p w14:paraId="6E686FFE">
                  <w:pPr>
                    <w:widowControl/>
                    <w:jc w:val="center"/>
                    <w:rPr>
                      <w:rFonts w:hint="default" w:eastAsia="宋体"/>
                      <w:szCs w:val="21"/>
                      <w:lang w:val="en-US" w:eastAsia="zh-CN"/>
                    </w:rPr>
                  </w:pPr>
                  <w:r>
                    <w:rPr>
                      <w:rFonts w:hint="eastAsia"/>
                      <w:szCs w:val="21"/>
                      <w:lang w:val="en-US" w:eastAsia="zh-CN"/>
                    </w:rPr>
                    <w:t>45</w:t>
                  </w:r>
                </w:p>
              </w:tc>
              <w:tc>
                <w:tcPr>
                  <w:tcW w:w="417" w:type="pct"/>
                  <w:vAlign w:val="center"/>
                </w:tcPr>
                <w:p w14:paraId="662BEEF0">
                  <w:pPr>
                    <w:adjustRightInd w:val="0"/>
                    <w:snapToGrid w:val="0"/>
                    <w:jc w:val="center"/>
                    <w:rPr>
                      <w:rFonts w:eastAsia="宋体"/>
                      <w:szCs w:val="21"/>
                    </w:rPr>
                  </w:pPr>
                  <w:r>
                    <w:rPr>
                      <w:rFonts w:eastAsia="宋体"/>
                      <w:szCs w:val="21"/>
                    </w:rPr>
                    <w:t>达标</w:t>
                  </w:r>
                </w:p>
              </w:tc>
              <w:tc>
                <w:tcPr>
                  <w:tcW w:w="421" w:type="pct"/>
                  <w:vAlign w:val="center"/>
                </w:tcPr>
                <w:p w14:paraId="0AAA7C72">
                  <w:pPr>
                    <w:adjustRightInd w:val="0"/>
                    <w:snapToGrid w:val="0"/>
                    <w:jc w:val="center"/>
                    <w:rPr>
                      <w:rFonts w:eastAsia="宋体"/>
                      <w:szCs w:val="21"/>
                    </w:rPr>
                  </w:pPr>
                  <w:r>
                    <w:rPr>
                      <w:rFonts w:eastAsia="宋体"/>
                      <w:szCs w:val="21"/>
                    </w:rPr>
                    <w:t>达标</w:t>
                  </w:r>
                </w:p>
              </w:tc>
            </w:tr>
            <w:tr w14:paraId="1395BE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pct"/>
                  <w:vAlign w:val="center"/>
                </w:tcPr>
                <w:p w14:paraId="1C86EFAE">
                  <w:pPr>
                    <w:pStyle w:val="17"/>
                    <w:ind w:firstLine="0" w:firstLineChars="0"/>
                    <w:jc w:val="center"/>
                    <w:rPr>
                      <w:rFonts w:hint="default" w:eastAsia="宋体"/>
                      <w:color w:val="FF0000"/>
                      <w:lang w:val="en-US" w:eastAsia="zh-CN"/>
                    </w:rPr>
                  </w:pPr>
                  <w:r>
                    <w:rPr>
                      <w:rFonts w:hint="eastAsia" w:eastAsia="宋体"/>
                      <w:color w:val="FF0000"/>
                      <w:lang w:val="en-US" w:eastAsia="zh-CN"/>
                    </w:rPr>
                    <w:t>沙86斜井</w:t>
                  </w:r>
                </w:p>
              </w:tc>
              <w:tc>
                <w:tcPr>
                  <w:tcW w:w="552" w:type="pct"/>
                  <w:vAlign w:val="center"/>
                </w:tcPr>
                <w:p w14:paraId="30582013">
                  <w:pPr>
                    <w:pStyle w:val="17"/>
                    <w:ind w:firstLine="0" w:firstLineChars="0"/>
                    <w:jc w:val="center"/>
                    <w:rPr>
                      <w:rFonts w:hint="default" w:eastAsia="宋体"/>
                      <w:color w:val="FF0000"/>
                      <w:szCs w:val="21"/>
                      <w:lang w:val="en-US" w:eastAsia="zh-CN"/>
                    </w:rPr>
                  </w:pPr>
                  <w:r>
                    <w:rPr>
                      <w:rFonts w:hint="eastAsia" w:eastAsia="宋体"/>
                      <w:color w:val="FF0000"/>
                      <w:szCs w:val="21"/>
                      <w:lang w:val="en-US" w:eastAsia="zh-CN"/>
                    </w:rPr>
                    <w:t>余家庄</w:t>
                  </w:r>
                </w:p>
              </w:tc>
              <w:tc>
                <w:tcPr>
                  <w:tcW w:w="411" w:type="pct"/>
                  <w:vAlign w:val="center"/>
                </w:tcPr>
                <w:p w14:paraId="73952512">
                  <w:pPr>
                    <w:jc w:val="center"/>
                    <w:rPr>
                      <w:rFonts w:hint="default" w:eastAsia="宋体"/>
                      <w:color w:val="FF0000"/>
                      <w:highlight w:val="none"/>
                      <w:lang w:val="en-US" w:eastAsia="zh-CN"/>
                    </w:rPr>
                  </w:pPr>
                  <w:r>
                    <w:rPr>
                      <w:rFonts w:hint="eastAsia"/>
                      <w:color w:val="FF0000"/>
                      <w:highlight w:val="none"/>
                      <w:lang w:val="en-US" w:eastAsia="zh-CN"/>
                    </w:rPr>
                    <w:t>42.3</w:t>
                  </w:r>
                </w:p>
              </w:tc>
              <w:tc>
                <w:tcPr>
                  <w:tcW w:w="419" w:type="pct"/>
                  <w:vAlign w:val="center"/>
                </w:tcPr>
                <w:p w14:paraId="10735BC7">
                  <w:pPr>
                    <w:jc w:val="center"/>
                    <w:rPr>
                      <w:rFonts w:hint="default"/>
                      <w:color w:val="FF0000"/>
                      <w:highlight w:val="none"/>
                      <w:lang w:val="en-US" w:eastAsia="zh-CN"/>
                    </w:rPr>
                  </w:pPr>
                  <w:r>
                    <w:rPr>
                      <w:rFonts w:hint="eastAsia"/>
                      <w:color w:val="FF0000"/>
                      <w:highlight w:val="none"/>
                      <w:lang w:val="en-US" w:eastAsia="zh-CN"/>
                    </w:rPr>
                    <w:t>36.4</w:t>
                  </w:r>
                </w:p>
              </w:tc>
              <w:tc>
                <w:tcPr>
                  <w:tcW w:w="479" w:type="pct"/>
                  <w:vAlign w:val="center"/>
                </w:tcPr>
                <w:p w14:paraId="3BC85ABB">
                  <w:pPr>
                    <w:adjustRightInd w:val="0"/>
                    <w:snapToGrid w:val="0"/>
                    <w:jc w:val="center"/>
                    <w:rPr>
                      <w:rFonts w:hint="default"/>
                      <w:color w:val="FF0000"/>
                      <w:kern w:val="0"/>
                      <w:szCs w:val="21"/>
                      <w:lang w:val="en-US" w:eastAsia="zh-CN" w:bidi="ar"/>
                    </w:rPr>
                  </w:pPr>
                  <w:r>
                    <w:rPr>
                      <w:rFonts w:hint="eastAsia"/>
                      <w:color w:val="FF0000"/>
                      <w:kern w:val="0"/>
                      <w:szCs w:val="21"/>
                      <w:lang w:val="en-US" w:eastAsia="zh-CN" w:bidi="ar"/>
                    </w:rPr>
                    <w:t>43.60</w:t>
                  </w:r>
                </w:p>
              </w:tc>
              <w:tc>
                <w:tcPr>
                  <w:tcW w:w="471" w:type="pct"/>
                  <w:vAlign w:val="center"/>
                </w:tcPr>
                <w:p w14:paraId="3EFEAC17">
                  <w:pPr>
                    <w:jc w:val="center"/>
                    <w:rPr>
                      <w:rFonts w:hint="default"/>
                      <w:color w:val="FF0000"/>
                      <w:szCs w:val="21"/>
                      <w:highlight w:val="none"/>
                      <w:lang w:val="en-US" w:eastAsia="zh-CN"/>
                    </w:rPr>
                  </w:pPr>
                  <w:r>
                    <w:rPr>
                      <w:rFonts w:hint="eastAsia"/>
                      <w:color w:val="FF0000"/>
                      <w:highlight w:val="none"/>
                      <w:lang w:val="en-US" w:eastAsia="zh-CN"/>
                    </w:rPr>
                    <w:t>46.01</w:t>
                  </w:r>
                </w:p>
              </w:tc>
              <w:tc>
                <w:tcPr>
                  <w:tcW w:w="457" w:type="pct"/>
                  <w:vAlign w:val="center"/>
                </w:tcPr>
                <w:p w14:paraId="5FC18900">
                  <w:pPr>
                    <w:jc w:val="center"/>
                    <w:rPr>
                      <w:rFonts w:hint="default"/>
                      <w:color w:val="FF0000"/>
                      <w:szCs w:val="21"/>
                      <w:highlight w:val="none"/>
                      <w:lang w:val="en-US" w:eastAsia="zh-CN"/>
                    </w:rPr>
                  </w:pPr>
                  <w:r>
                    <w:rPr>
                      <w:rFonts w:hint="eastAsia"/>
                      <w:color w:val="FF0000"/>
                      <w:highlight w:val="none"/>
                      <w:lang w:val="en-US" w:eastAsia="zh-CN"/>
                    </w:rPr>
                    <w:t>44.35</w:t>
                  </w:r>
                </w:p>
              </w:tc>
              <w:tc>
                <w:tcPr>
                  <w:tcW w:w="448" w:type="pct"/>
                  <w:vAlign w:val="center"/>
                </w:tcPr>
                <w:p w14:paraId="405C408A">
                  <w:pPr>
                    <w:widowControl/>
                    <w:jc w:val="center"/>
                    <w:rPr>
                      <w:rFonts w:hint="default"/>
                      <w:color w:val="FF0000"/>
                      <w:szCs w:val="21"/>
                      <w:lang w:val="en-US" w:eastAsia="zh-CN"/>
                    </w:rPr>
                  </w:pPr>
                  <w:r>
                    <w:rPr>
                      <w:rFonts w:hint="eastAsia"/>
                      <w:color w:val="FF0000"/>
                      <w:szCs w:val="21"/>
                      <w:lang w:val="en-US" w:eastAsia="zh-CN"/>
                    </w:rPr>
                    <w:t>55</w:t>
                  </w:r>
                </w:p>
              </w:tc>
              <w:tc>
                <w:tcPr>
                  <w:tcW w:w="371" w:type="pct"/>
                  <w:vAlign w:val="center"/>
                </w:tcPr>
                <w:p w14:paraId="1FB09736">
                  <w:pPr>
                    <w:widowControl/>
                    <w:jc w:val="center"/>
                    <w:rPr>
                      <w:rFonts w:hint="default"/>
                      <w:color w:val="FF0000"/>
                      <w:szCs w:val="21"/>
                      <w:lang w:val="en-US" w:eastAsia="zh-CN"/>
                    </w:rPr>
                  </w:pPr>
                  <w:r>
                    <w:rPr>
                      <w:rFonts w:hint="eastAsia"/>
                      <w:color w:val="FF0000"/>
                      <w:szCs w:val="21"/>
                      <w:lang w:val="en-US" w:eastAsia="zh-CN"/>
                    </w:rPr>
                    <w:t>45</w:t>
                  </w:r>
                </w:p>
              </w:tc>
              <w:tc>
                <w:tcPr>
                  <w:tcW w:w="417" w:type="pct"/>
                  <w:vAlign w:val="center"/>
                </w:tcPr>
                <w:p w14:paraId="3FCF51C3">
                  <w:pPr>
                    <w:adjustRightInd w:val="0"/>
                    <w:snapToGrid w:val="0"/>
                    <w:jc w:val="center"/>
                    <w:rPr>
                      <w:rFonts w:eastAsia="宋体"/>
                      <w:color w:val="FF0000"/>
                      <w:szCs w:val="21"/>
                    </w:rPr>
                  </w:pPr>
                  <w:r>
                    <w:rPr>
                      <w:rFonts w:eastAsia="宋体"/>
                      <w:color w:val="FF0000"/>
                      <w:szCs w:val="21"/>
                    </w:rPr>
                    <w:t>达标</w:t>
                  </w:r>
                </w:p>
              </w:tc>
              <w:tc>
                <w:tcPr>
                  <w:tcW w:w="421" w:type="pct"/>
                  <w:vAlign w:val="center"/>
                </w:tcPr>
                <w:p w14:paraId="163E0F00">
                  <w:pPr>
                    <w:adjustRightInd w:val="0"/>
                    <w:snapToGrid w:val="0"/>
                    <w:jc w:val="center"/>
                    <w:rPr>
                      <w:rFonts w:eastAsia="宋体"/>
                      <w:color w:val="FF0000"/>
                      <w:szCs w:val="21"/>
                    </w:rPr>
                  </w:pPr>
                  <w:r>
                    <w:rPr>
                      <w:rFonts w:eastAsia="宋体"/>
                      <w:color w:val="FF0000"/>
                      <w:szCs w:val="21"/>
                    </w:rPr>
                    <w:t>达标</w:t>
                  </w:r>
                </w:p>
              </w:tc>
            </w:tr>
          </w:tbl>
          <w:p w14:paraId="317564A0">
            <w:pPr>
              <w:pStyle w:val="3"/>
              <w:ind w:left="0" w:leftChars="0" w:firstLine="480" w:firstLineChars="200"/>
              <w:rPr>
                <w:rFonts w:ascii="宋体" w:hAnsi="宋体" w:cs="宋体" w:eastAsiaTheme="minorEastAsia"/>
                <w:color w:val="auto"/>
              </w:rPr>
            </w:pPr>
            <w:r>
              <w:rPr>
                <w:rFonts w:hint="eastAsia" w:eastAsia="宋体"/>
                <w:color w:val="auto"/>
              </w:rPr>
              <w:t>居民噪声现状值参考江苏油田同类型项目环境敏感目标的噪声监测值</w:t>
            </w:r>
            <w:r>
              <w:rPr>
                <w:rFonts w:hint="eastAsia" w:ascii="宋体" w:hAnsi="宋体" w:eastAsia="宋体" w:cs="宋体"/>
                <w:color w:val="auto"/>
              </w:rPr>
              <w:t>（该环境敏感目标位于</w:t>
            </w:r>
            <w:r>
              <w:rPr>
                <w:rFonts w:hint="eastAsia" w:ascii="宋体" w:hAnsi="宋体" w:eastAsia="宋体" w:cs="宋体"/>
                <w:color w:val="auto"/>
                <w:lang w:val="en-US" w:eastAsia="zh-CN"/>
              </w:rPr>
              <w:t>高邮市</w:t>
            </w:r>
            <w:r>
              <w:rPr>
                <w:rFonts w:hint="eastAsia" w:ascii="宋体" w:hAnsi="宋体" w:eastAsia="宋体" w:cs="宋体"/>
                <w:color w:val="auto"/>
              </w:rPr>
              <w:t>，也属于村庄）</w:t>
            </w:r>
            <w:r>
              <w:rPr>
                <w:rFonts w:hint="eastAsia" w:eastAsia="宋体"/>
                <w:color w:val="auto"/>
              </w:rPr>
              <w:t>，根据噪声预测结果，</w:t>
            </w:r>
            <w:r>
              <w:rPr>
                <w:rFonts w:hint="eastAsia" w:eastAsia="宋体"/>
                <w:color w:val="auto"/>
                <w:highlight w:val="none"/>
                <w:lang w:val="en-US" w:eastAsia="zh-CN"/>
              </w:rPr>
              <w:t>双屏村四组</w:t>
            </w:r>
            <w:r>
              <w:rPr>
                <w:rFonts w:hint="eastAsia" w:eastAsia="宋体"/>
                <w:color w:val="auto"/>
              </w:rPr>
              <w:t>（</w:t>
            </w:r>
            <w:r>
              <w:rPr>
                <w:rFonts w:hint="eastAsia" w:eastAsia="宋体"/>
                <w:color w:val="auto"/>
                <w:lang w:val="en-US" w:eastAsia="zh-CN"/>
              </w:rPr>
              <w:t>沙105斜井北侧，</w:t>
            </w:r>
            <w:r>
              <w:rPr>
                <w:rFonts w:hint="eastAsia" w:eastAsia="宋体"/>
                <w:color w:val="auto"/>
              </w:rPr>
              <w:t>最近</w:t>
            </w:r>
            <w:r>
              <w:rPr>
                <w:rFonts w:hint="eastAsia" w:eastAsia="宋体"/>
                <w:color w:val="auto"/>
                <w:lang w:val="en-US" w:eastAsia="zh-CN"/>
              </w:rPr>
              <w:t>111.77</w:t>
            </w:r>
            <w:r>
              <w:rPr>
                <w:rFonts w:hint="eastAsia" w:eastAsia="宋体"/>
                <w:color w:val="auto"/>
              </w:rPr>
              <w:t>米）</w:t>
            </w:r>
            <w:r>
              <w:rPr>
                <w:rFonts w:hint="eastAsia" w:eastAsia="宋体"/>
                <w:color w:val="auto"/>
                <w:lang w:val="en-US" w:eastAsia="zh-CN"/>
              </w:rPr>
              <w:t>和余家庄（沙86斜井北侧，最近69.20米）</w:t>
            </w:r>
            <w:r>
              <w:rPr>
                <w:rFonts w:hint="eastAsia" w:ascii="Times New Roman" w:hAnsi="Times New Roman" w:eastAsia="宋体" w:cs="Times New Roman"/>
                <w:color w:val="auto"/>
                <w:lang w:val="en-US" w:eastAsia="zh-CN"/>
              </w:rPr>
              <w:t>昼、夜间噪声</w:t>
            </w:r>
            <w:r>
              <w:rPr>
                <w:rFonts w:hint="eastAsia" w:eastAsia="宋体"/>
                <w:color w:val="auto"/>
              </w:rPr>
              <w:t>预测值能够满足1类标准限值。</w:t>
            </w:r>
          </w:p>
          <w:p w14:paraId="3161A826">
            <w:pPr>
              <w:pStyle w:val="3"/>
              <w:bidi w:val="0"/>
              <w:ind w:firstLine="480" w:firstLineChars="200"/>
              <w:rPr>
                <w:rFonts w:hint="eastAsia" w:eastAsia="宋体"/>
                <w:lang w:val="en-US" w:eastAsia="zh-CN"/>
              </w:rPr>
            </w:pPr>
            <w:r>
              <w:rPr>
                <w:rFonts w:hint="eastAsia" w:eastAsia="宋体"/>
                <w:lang w:val="en-US" w:eastAsia="zh-CN"/>
              </w:rPr>
              <w:t>为减轻勘探期噪声对周边居民的影响，项目勘探期应采取以下措施进一步控制：</w:t>
            </w:r>
          </w:p>
          <w:p w14:paraId="4CFFF70C">
            <w:pPr>
              <w:pStyle w:val="3"/>
              <w:bidi w:val="0"/>
              <w:ind w:firstLine="480" w:firstLineChars="200"/>
              <w:rPr>
                <w:rFonts w:hint="default" w:eastAsia="宋体"/>
                <w:lang w:val="en-US" w:eastAsia="zh-CN"/>
              </w:rPr>
            </w:pPr>
            <w:r>
              <w:rPr>
                <w:rFonts w:hint="default" w:eastAsia="宋体"/>
                <w:lang w:val="en-US" w:eastAsia="zh-CN"/>
              </w:rPr>
              <w:t>①加强施工管理，合理安排施工作业进度，严格按照施工噪声管理的相关规定执行，尽可能的压缩施工作业周期；</w:t>
            </w:r>
          </w:p>
          <w:p w14:paraId="06B68BF8">
            <w:pPr>
              <w:pStyle w:val="3"/>
              <w:bidi w:val="0"/>
              <w:ind w:firstLine="480" w:firstLineChars="200"/>
              <w:rPr>
                <w:rFonts w:hint="default" w:eastAsia="宋体"/>
                <w:lang w:val="en-US" w:eastAsia="zh-CN"/>
              </w:rPr>
            </w:pPr>
            <w:r>
              <w:rPr>
                <w:rFonts w:hint="default" w:eastAsia="宋体"/>
                <w:lang w:val="en-US" w:eastAsia="zh-CN"/>
              </w:rPr>
              <w:t>②尽可能选用低噪声的施工机械，将钻机、泥浆泵、振动筛等高噪声设备布置在远离居民一侧，使居民区与噪声源保持一定的噪声衰减的距离，最大限度的降低钻井噪声对敏感点的影响。必要时在设备附近安装隔声挡板；</w:t>
            </w:r>
          </w:p>
          <w:p w14:paraId="1D891889">
            <w:pPr>
              <w:pStyle w:val="3"/>
              <w:bidi w:val="0"/>
              <w:ind w:firstLine="480" w:firstLineChars="200"/>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fldChar w:fldCharType="begin"/>
            </w:r>
            <w:r>
              <w:rPr>
                <w:rFonts w:hint="default" w:eastAsia="宋体"/>
                <w:color w:val="000000" w:themeColor="text1"/>
                <w:lang w:val="en-US" w:eastAsia="zh-CN"/>
                <w14:textFill>
                  <w14:solidFill>
                    <w14:schemeClr w14:val="tx1"/>
                  </w14:solidFill>
                </w14:textFill>
              </w:rPr>
              <w:instrText xml:space="preserve"> = 3 \* GB3 \* MERGEFORMAT </w:instrText>
            </w:r>
            <w:r>
              <w:rPr>
                <w:rFonts w:hint="default" w:eastAsia="宋体"/>
                <w:color w:val="000000" w:themeColor="text1"/>
                <w:lang w:val="en-US" w:eastAsia="zh-CN"/>
                <w14:textFill>
                  <w14:solidFill>
                    <w14:schemeClr w14:val="tx1"/>
                  </w14:solidFill>
                </w14:textFill>
              </w:rPr>
              <w:fldChar w:fldCharType="separate"/>
            </w:r>
            <w:r>
              <w:rPr>
                <w:color w:val="000000" w:themeColor="text1"/>
                <w14:textFill>
                  <w14:solidFill>
                    <w14:schemeClr w14:val="tx1"/>
                  </w14:solidFill>
                </w14:textFill>
              </w:rPr>
              <w:t>③</w:t>
            </w:r>
            <w:r>
              <w:rPr>
                <w:rFonts w:hint="default" w:eastAsia="宋体"/>
                <w:color w:val="000000" w:themeColor="text1"/>
                <w:lang w:val="en-US" w:eastAsia="zh-CN"/>
                <w14:textFill>
                  <w14:solidFill>
                    <w14:schemeClr w14:val="tx1"/>
                  </w14:solidFill>
                </w14:textFill>
              </w:rPr>
              <w:fldChar w:fldCharType="end"/>
            </w:r>
            <w:r>
              <w:rPr>
                <w:rFonts w:hint="default" w:eastAsia="宋体"/>
                <w:color w:val="000000" w:themeColor="text1"/>
                <w:lang w:val="en-US" w:eastAsia="zh-CN"/>
                <w14:textFill>
                  <w14:solidFill>
                    <w14:schemeClr w14:val="tx1"/>
                  </w14:solidFill>
                </w14:textFill>
              </w:rPr>
              <w:t>距居民区较近的</w:t>
            </w:r>
            <w:r>
              <w:rPr>
                <w:rFonts w:hint="eastAsia" w:eastAsia="宋体"/>
                <w:color w:val="000000" w:themeColor="text1"/>
                <w:lang w:val="en-US" w:eastAsia="zh-CN"/>
                <w14:textFill>
                  <w14:solidFill>
                    <w14:schemeClr w14:val="tx1"/>
                  </w14:solidFill>
                </w14:textFill>
              </w:rPr>
              <w:t>西北</w:t>
            </w:r>
            <w:r>
              <w:rPr>
                <w:rFonts w:hint="default" w:eastAsia="宋体"/>
                <w:color w:val="000000" w:themeColor="text1"/>
                <w:lang w:val="en-US" w:eastAsia="zh-CN"/>
                <w14:textFill>
                  <w14:solidFill>
                    <w14:schemeClr w14:val="tx1"/>
                  </w14:solidFill>
                </w14:textFill>
              </w:rPr>
              <w:t>侧</w:t>
            </w:r>
            <w:r>
              <w:rPr>
                <w:rFonts w:hint="eastAsia" w:eastAsia="宋体"/>
                <w:color w:val="000000" w:themeColor="text1"/>
                <w:lang w:val="en-US" w:eastAsia="zh-CN"/>
                <w14:textFill>
                  <w14:solidFill>
                    <w14:schemeClr w14:val="tx1"/>
                  </w14:solidFill>
                </w14:textFill>
              </w:rPr>
              <w:t>和东侧</w:t>
            </w:r>
            <w:r>
              <w:rPr>
                <w:rFonts w:hint="default" w:eastAsia="宋体"/>
                <w:color w:val="000000" w:themeColor="text1"/>
                <w:lang w:val="en-US" w:eastAsia="zh-CN"/>
                <w14:textFill>
                  <w14:solidFill>
                    <w14:schemeClr w14:val="tx1"/>
                  </w14:solidFill>
                </w14:textFill>
              </w:rPr>
              <w:t>安装隔声挡板，减轻噪声影响；</w:t>
            </w:r>
          </w:p>
          <w:p w14:paraId="39A4156D">
            <w:pPr>
              <w:pStyle w:val="3"/>
              <w:bidi w:val="0"/>
              <w:ind w:firstLine="480" w:firstLineChars="200"/>
              <w:rPr>
                <w:rFonts w:hint="default" w:eastAsia="宋体"/>
                <w:lang w:val="en-US" w:eastAsia="zh-CN"/>
              </w:rPr>
            </w:pPr>
            <w:r>
              <w:rPr>
                <w:rFonts w:hint="default" w:eastAsia="宋体"/>
                <w:lang w:val="en-US" w:eastAsia="zh-CN"/>
              </w:rPr>
              <w:t>④做好机械设备的维护和保养，有效降低机械设备的噪声源强；</w:t>
            </w:r>
          </w:p>
          <w:p w14:paraId="00ECDF5D">
            <w:pPr>
              <w:pStyle w:val="3"/>
              <w:bidi w:val="0"/>
              <w:ind w:firstLine="480" w:firstLineChars="200"/>
              <w:rPr>
                <w:rFonts w:hint="default" w:eastAsia="宋体"/>
                <w:lang w:val="en-US" w:eastAsia="zh-CN"/>
              </w:rPr>
            </w:pPr>
            <w:r>
              <w:rPr>
                <w:rFonts w:hint="default" w:eastAsia="宋体"/>
                <w:lang w:val="en-US" w:eastAsia="zh-CN"/>
              </w:rPr>
              <w:t>⑤合理安排强噪声施工机械的频次，避免高噪声设备同时作业，避免夜间使用挖掘机等高噪声设备作业。压裂、通井等高噪声作业应在昼间进行，并与周边居民提前做好沟通解释工作。合理调度车辆往来密度，避开附近村民的休息时间。</w:t>
            </w:r>
          </w:p>
          <w:p w14:paraId="3266B24E">
            <w:pPr>
              <w:pStyle w:val="3"/>
              <w:bidi w:val="0"/>
              <w:ind w:firstLine="480" w:firstLineChars="200"/>
              <w:rPr>
                <w:rFonts w:hint="default" w:eastAsia="宋体"/>
                <w:lang w:val="en-US" w:eastAsia="zh-CN"/>
              </w:rPr>
            </w:pPr>
            <w:r>
              <w:rPr>
                <w:rFonts w:hint="default" w:eastAsia="宋体"/>
                <w:lang w:val="en-US" w:eastAsia="zh-CN"/>
              </w:rPr>
              <w:t>⑥确因施工而受影响的周围居民，油田开发部门应作出相应措施予以解决（比如临时安排居民外出居住、或经济上给予相应的补偿等等）。</w:t>
            </w:r>
          </w:p>
          <w:p w14:paraId="4560EFFA">
            <w:pPr>
              <w:pStyle w:val="3"/>
              <w:bidi w:val="0"/>
              <w:ind w:firstLine="480" w:firstLineChars="200"/>
              <w:rPr>
                <w:rFonts w:hint="eastAsia" w:eastAsia="宋体"/>
                <w:lang w:val="en-US" w:eastAsia="zh-CN"/>
              </w:rPr>
            </w:pPr>
            <w:r>
              <w:rPr>
                <w:rFonts w:hint="default" w:eastAsia="宋体"/>
                <w:lang w:val="en-US" w:eastAsia="zh-CN"/>
              </w:rPr>
              <w:t>本项目钻井施工周期较短，噪声影响是短期的、暂时的。施工结束后噪声影响将随之消除。因此勘探期噪声对环境的影响较小</w:t>
            </w:r>
            <w:r>
              <w:rPr>
                <w:rFonts w:hint="eastAsia" w:eastAsia="宋体"/>
                <w:lang w:val="en-US" w:eastAsia="zh-CN"/>
              </w:rPr>
              <w:t>。</w:t>
            </w:r>
          </w:p>
          <w:p w14:paraId="383FB8ED">
            <w:pPr>
              <w:pStyle w:val="3"/>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鉴于施工期机械运行有一定的波动性，受客观因素影响较大，而施工点附近有敏感点，日常工作中可能会出现噪声超标情况，因此项目施工前要尽量做好与周边居民之间的沟通和交流，在取得对方的理解与支持的前提下开展施工作业，若出现居民环保投诉，则要立即停止施工，找出问题，解决后再开展施工作业。</w:t>
            </w:r>
          </w:p>
          <w:p w14:paraId="74B00146">
            <w:pPr>
              <w:pStyle w:val="2"/>
              <w:ind w:firstLine="482" w:firstLineChars="200"/>
              <w:rPr>
                <w:rFonts w:eastAsia="宋体"/>
                <w:color w:val="auto"/>
              </w:rPr>
            </w:pPr>
            <w:r>
              <w:rPr>
                <w:rFonts w:hint="eastAsia" w:eastAsia="宋体"/>
                <w:color w:val="auto"/>
                <w:lang w:val="en-US" w:eastAsia="zh-CN"/>
              </w:rPr>
              <w:t>6</w:t>
            </w:r>
            <w:r>
              <w:rPr>
                <w:rFonts w:hint="eastAsia" w:eastAsia="宋体"/>
                <w:color w:val="auto"/>
              </w:rPr>
              <w:t>、固体废物环境影响</w:t>
            </w:r>
          </w:p>
          <w:p w14:paraId="17A4D488">
            <w:pPr>
              <w:pStyle w:val="3"/>
              <w:ind w:firstLine="480"/>
              <w:rPr>
                <w:rFonts w:eastAsia="宋体"/>
              </w:rPr>
            </w:pPr>
            <w:r>
              <w:rPr>
                <w:rFonts w:hint="eastAsia" w:eastAsia="宋体"/>
              </w:rPr>
              <w:t>（1）固体废物产生情况</w:t>
            </w:r>
          </w:p>
          <w:p w14:paraId="77321A41">
            <w:pPr>
              <w:pStyle w:val="3"/>
              <w:ind w:firstLine="480"/>
              <w:rPr>
                <w:rFonts w:eastAsia="宋体"/>
                <w:color w:val="auto"/>
              </w:rPr>
            </w:pPr>
            <w:r>
              <w:rPr>
                <w:rFonts w:hint="eastAsia" w:eastAsia="宋体"/>
                <w:color w:val="auto"/>
              </w:rPr>
              <w:t>本项目固体废物主要为</w:t>
            </w:r>
            <w:r>
              <w:rPr>
                <w:rFonts w:hint="eastAsia" w:eastAsia="宋体"/>
                <w:color w:val="auto"/>
                <w:lang w:val="en-US" w:eastAsia="zh-CN"/>
              </w:rPr>
              <w:t>泥饼（</w:t>
            </w:r>
            <w:r>
              <w:rPr>
                <w:rFonts w:hint="eastAsia" w:eastAsia="宋体"/>
                <w:color w:val="auto"/>
              </w:rPr>
              <w:t>废弃泥浆、岩屑</w:t>
            </w:r>
            <w:r>
              <w:rPr>
                <w:rFonts w:hint="eastAsia" w:eastAsia="宋体"/>
                <w:color w:val="auto"/>
                <w:lang w:val="en-US" w:eastAsia="zh-CN"/>
              </w:rPr>
              <w:t>压滤而成）</w:t>
            </w:r>
            <w:r>
              <w:rPr>
                <w:rFonts w:hint="eastAsia" w:eastAsia="宋体"/>
                <w:color w:val="auto"/>
              </w:rPr>
              <w:t>、施工废料、</w:t>
            </w:r>
            <w:r>
              <w:rPr>
                <w:rFonts w:hint="eastAsia" w:eastAsia="宋体"/>
                <w:color w:val="auto"/>
                <w:lang w:val="en-US" w:eastAsia="zh-CN"/>
              </w:rPr>
              <w:t>废润滑油、废沾油防渗膜</w:t>
            </w:r>
            <w:r>
              <w:rPr>
                <w:rFonts w:hint="eastAsia" w:eastAsia="宋体"/>
                <w:color w:val="auto"/>
              </w:rPr>
              <w:t>和生活垃圾。</w:t>
            </w:r>
          </w:p>
          <w:p w14:paraId="7C9C7FBE">
            <w:pPr>
              <w:pStyle w:val="3"/>
              <w:ind w:firstLine="480"/>
              <w:rPr>
                <w:rFonts w:eastAsia="宋体"/>
                <w:color w:val="auto"/>
              </w:rPr>
            </w:pPr>
            <w:r>
              <w:rPr>
                <w:rFonts w:hint="eastAsia" w:eastAsia="宋体"/>
                <w:color w:val="auto"/>
              </w:rPr>
              <w:t>①</w:t>
            </w:r>
            <w:r>
              <w:rPr>
                <w:rFonts w:hint="eastAsia" w:eastAsia="宋体"/>
                <w:color w:val="auto"/>
                <w:lang w:val="en-US" w:eastAsia="zh-CN"/>
              </w:rPr>
              <w:t>泥饼（</w:t>
            </w:r>
            <w:r>
              <w:rPr>
                <w:rFonts w:hint="eastAsia" w:eastAsia="宋体"/>
                <w:color w:val="auto"/>
              </w:rPr>
              <w:t>废弃泥浆、岩屑</w:t>
            </w:r>
            <w:r>
              <w:rPr>
                <w:rFonts w:hint="eastAsia" w:eastAsia="宋体"/>
                <w:color w:val="auto"/>
                <w:lang w:val="en-US" w:eastAsia="zh-CN"/>
              </w:rPr>
              <w:t>压滤而成）</w:t>
            </w:r>
          </w:p>
          <w:p w14:paraId="456B5C20">
            <w:pPr>
              <w:pStyle w:val="3"/>
              <w:ind w:firstLine="480"/>
              <w:rPr>
                <w:rFonts w:eastAsia="宋体"/>
              </w:rPr>
            </w:pPr>
            <w:r>
              <w:rPr>
                <w:rFonts w:eastAsia="宋体"/>
              </w:rPr>
              <w:t>废弃泥浆的排放量随着井深的改变而变化，采用《油田开发环境影响评价文集》中的经验公式进行计算：</w:t>
            </w:r>
          </w:p>
          <w:p w14:paraId="44F9356E">
            <w:pPr>
              <w:pStyle w:val="3"/>
              <w:ind w:firstLine="480"/>
              <w:jc w:val="center"/>
              <w:rPr>
                <w:rFonts w:eastAsia="宋体"/>
              </w:rPr>
            </w:pPr>
            <w:r>
              <w:rPr>
                <w:rFonts w:ascii="宋体" w:hAnsi="宋体"/>
                <w:color w:val="auto"/>
                <w:position w:val="-24"/>
              </w:rPr>
              <w:object>
                <v:shape id="_x0000_i1033" o:spt="75" type="#_x0000_t75" style="height:28.95pt;width:196.85pt;" o:ole="t" filled="f" o:preferrelative="t" stroked="f" coordsize="21600,21600">
                  <v:path/>
                  <v:fill on="f" focussize="0,0"/>
                  <v:stroke on="f"/>
                  <v:imagedata r:id="rId24" o:title=""/>
                  <o:lock v:ext="edit" aspectratio="t"/>
                  <w10:wrap type="none"/>
                  <w10:anchorlock/>
                </v:shape>
                <o:OLEObject Type="Embed" ProgID="Equation.3" ShapeID="_x0000_i1033" DrawAspect="Content" ObjectID="_1468075733" r:id="rId23">
                  <o:LockedField>false</o:LockedField>
                </o:OLEObject>
              </w:object>
            </w:r>
          </w:p>
          <w:p w14:paraId="68DCC572">
            <w:pPr>
              <w:pStyle w:val="3"/>
              <w:ind w:firstLine="480"/>
              <w:rPr>
                <w:rFonts w:eastAsia="宋体"/>
              </w:rPr>
            </w:pPr>
            <w:r>
              <w:rPr>
                <w:rFonts w:eastAsia="宋体"/>
              </w:rPr>
              <w:t>式中：V——废弃泥浆量，t；</w:t>
            </w:r>
          </w:p>
          <w:p w14:paraId="0D336509">
            <w:pPr>
              <w:pStyle w:val="3"/>
              <w:ind w:firstLine="480"/>
              <w:rPr>
                <w:rFonts w:hint="eastAsia" w:eastAsia="宋体"/>
                <w:lang w:eastAsia="zh-CN"/>
              </w:rPr>
            </w:pPr>
            <w:r>
              <w:rPr>
                <w:rFonts w:eastAsia="宋体"/>
              </w:rPr>
              <w:t>D——井眼的平均直径，m；</w:t>
            </w:r>
            <w:r>
              <w:rPr>
                <w:rFonts w:hint="eastAsia" w:eastAsia="宋体"/>
              </w:rPr>
              <w:t>本项目一开平均直径为0.</w:t>
            </w:r>
            <w:r>
              <w:rPr>
                <w:rFonts w:hint="eastAsia" w:eastAsia="宋体"/>
                <w:lang w:val="en-US" w:eastAsia="zh-CN"/>
              </w:rPr>
              <w:t>3111</w:t>
            </w:r>
            <w:r>
              <w:rPr>
                <w:rFonts w:hint="eastAsia" w:eastAsia="宋体"/>
              </w:rPr>
              <w:t>m，二开平均直径为0.</w:t>
            </w:r>
            <w:r>
              <w:rPr>
                <w:rFonts w:hint="eastAsia" w:eastAsia="宋体"/>
                <w:lang w:val="en-US" w:eastAsia="zh-CN"/>
              </w:rPr>
              <w:t>2159</w:t>
            </w:r>
            <w:r>
              <w:rPr>
                <w:rFonts w:hint="eastAsia" w:eastAsia="宋体"/>
              </w:rPr>
              <w:t>m</w:t>
            </w:r>
            <w:r>
              <w:rPr>
                <w:rFonts w:hint="eastAsia" w:eastAsia="宋体"/>
                <w:lang w:eastAsia="zh-CN"/>
              </w:rPr>
              <w:t>。</w:t>
            </w:r>
          </w:p>
          <w:p w14:paraId="305DABCC">
            <w:pPr>
              <w:pStyle w:val="3"/>
              <w:ind w:firstLine="480"/>
              <w:rPr>
                <w:rFonts w:eastAsia="宋体"/>
              </w:rPr>
            </w:pPr>
            <w:r>
              <w:rPr>
                <w:rFonts w:eastAsia="宋体"/>
              </w:rPr>
              <w:t>h——钻深，m；</w:t>
            </w:r>
          </w:p>
          <w:p w14:paraId="4A13F60B">
            <w:pPr>
              <w:pStyle w:val="3"/>
              <w:ind w:firstLine="480"/>
              <w:rPr>
                <w:rFonts w:eastAsia="宋体"/>
              </w:rPr>
            </w:pPr>
            <w:r>
              <w:rPr>
                <w:rFonts w:eastAsia="宋体"/>
              </w:rPr>
              <w:t>钻井岩屑的排放量随着井深的改变而变化，采用以下经验公式进行计算：</w:t>
            </w:r>
          </w:p>
          <w:p w14:paraId="393EACFD">
            <w:pPr>
              <w:pStyle w:val="3"/>
              <w:ind w:firstLine="480"/>
              <w:jc w:val="center"/>
              <w:rPr>
                <w:rFonts w:eastAsia="宋体"/>
              </w:rPr>
            </w:pPr>
            <w:r>
              <w:object>
                <v:shape id="_x0000_i1034" o:spt="75" type="#_x0000_t75" style="height:30.05pt;width:109.25pt;" o:ole="t" filled="f" coordsize="21600,21600">
                  <v:path/>
                  <v:fill on="f" focussize="0,0"/>
                  <v:stroke/>
                  <v:imagedata r:id="rId26" o:title=""/>
                  <o:lock v:ext="edit" aspectratio="t"/>
                  <w10:wrap type="none"/>
                  <w10:anchorlock/>
                </v:shape>
                <o:OLEObject Type="Embed" ProgID="Equation.3" ShapeID="_x0000_i1034" DrawAspect="Content" ObjectID="_1468075734" r:id="rId25">
                  <o:LockedField>false</o:LockedField>
                </o:OLEObject>
              </w:object>
            </w:r>
          </w:p>
          <w:p w14:paraId="1DF6F1EF">
            <w:pPr>
              <w:pStyle w:val="3"/>
              <w:ind w:firstLine="480"/>
              <w:rPr>
                <w:rFonts w:eastAsia="宋体"/>
              </w:rPr>
            </w:pPr>
            <w:r>
              <w:rPr>
                <w:rFonts w:eastAsia="宋体"/>
              </w:rPr>
              <w:t>式中：V——钻井岩屑量，t；</w:t>
            </w:r>
          </w:p>
          <w:p w14:paraId="73D89B17">
            <w:pPr>
              <w:pStyle w:val="3"/>
              <w:ind w:firstLine="480"/>
              <w:rPr>
                <w:rFonts w:eastAsia="宋体"/>
              </w:rPr>
            </w:pPr>
            <w:r>
              <w:rPr>
                <w:rFonts w:eastAsia="宋体"/>
              </w:rPr>
              <w:t>D——井眼的平均直径，m；</w:t>
            </w:r>
            <w:r>
              <w:rPr>
                <w:rFonts w:hint="eastAsia" w:eastAsia="宋体"/>
              </w:rPr>
              <w:t>本项目一开平均直径为0.</w:t>
            </w:r>
            <w:r>
              <w:rPr>
                <w:rFonts w:hint="eastAsia" w:eastAsia="宋体"/>
                <w:lang w:val="en-US" w:eastAsia="zh-CN"/>
              </w:rPr>
              <w:t>3111</w:t>
            </w:r>
            <w:r>
              <w:rPr>
                <w:rFonts w:hint="eastAsia" w:eastAsia="宋体"/>
              </w:rPr>
              <w:t>m，二开平均直径为0.</w:t>
            </w:r>
            <w:r>
              <w:rPr>
                <w:rFonts w:hint="eastAsia" w:eastAsia="宋体"/>
                <w:lang w:val="en-US" w:eastAsia="zh-CN"/>
              </w:rPr>
              <w:t>2159</w:t>
            </w:r>
            <w:r>
              <w:rPr>
                <w:rFonts w:hint="eastAsia" w:eastAsia="宋体"/>
              </w:rPr>
              <w:t>m</w:t>
            </w:r>
            <w:r>
              <w:rPr>
                <w:rFonts w:hint="eastAsia" w:eastAsia="宋体"/>
                <w:lang w:eastAsia="zh-CN"/>
              </w:rPr>
              <w:t>。</w:t>
            </w:r>
          </w:p>
          <w:p w14:paraId="68F00285">
            <w:pPr>
              <w:pStyle w:val="3"/>
              <w:ind w:firstLine="480"/>
              <w:rPr>
                <w:rFonts w:eastAsia="宋体"/>
              </w:rPr>
            </w:pPr>
            <w:r>
              <w:rPr>
                <w:rFonts w:eastAsia="宋体"/>
              </w:rPr>
              <w:t>h——钻深，m；</w:t>
            </w:r>
          </w:p>
          <w:p w14:paraId="6515CF6B">
            <w:pPr>
              <w:pStyle w:val="3"/>
              <w:ind w:firstLine="480"/>
              <w:rPr>
                <w:rFonts w:eastAsia="宋体"/>
              </w:rPr>
            </w:pPr>
            <w:r>
              <w:rPr>
                <w:rFonts w:eastAsia="宋体"/>
              </w:rPr>
              <w:t>A——井眼扩大率，</w:t>
            </w:r>
            <w:r>
              <w:rPr>
                <w:rFonts w:hint="eastAsia" w:eastAsia="宋体"/>
                <w:lang w:val="en-US" w:eastAsia="zh-CN"/>
              </w:rPr>
              <w:t>1.2</w:t>
            </w:r>
            <w:r>
              <w:rPr>
                <w:rFonts w:eastAsia="宋体"/>
              </w:rPr>
              <w:t xml:space="preserve">； </w:t>
            </w:r>
          </w:p>
          <w:p w14:paraId="1910E793">
            <w:pPr>
              <w:pStyle w:val="3"/>
              <w:ind w:firstLine="480"/>
              <w:rPr>
                <w:rFonts w:eastAsia="宋体"/>
              </w:rPr>
            </w:pPr>
            <w:r>
              <w:rPr>
                <w:rFonts w:eastAsia="宋体"/>
              </w:rPr>
              <w:t>ρ岩屑——取2.</w:t>
            </w:r>
            <w:r>
              <w:rPr>
                <w:rFonts w:hint="eastAsia" w:eastAsia="宋体"/>
                <w:lang w:val="en-US" w:eastAsia="zh-CN"/>
              </w:rPr>
              <w:t>5</w:t>
            </w:r>
            <w:r>
              <w:rPr>
                <w:rFonts w:eastAsia="宋体"/>
              </w:rPr>
              <w:t>t/m</w:t>
            </w:r>
            <w:r>
              <w:rPr>
                <w:rFonts w:eastAsia="宋体"/>
                <w:vertAlign w:val="superscript"/>
              </w:rPr>
              <w:t>3</w:t>
            </w:r>
            <w:r>
              <w:rPr>
                <w:rFonts w:eastAsia="宋体"/>
              </w:rPr>
              <w:t>。</w:t>
            </w:r>
          </w:p>
          <w:p w14:paraId="0CA6A82F">
            <w:pPr>
              <w:pStyle w:val="3"/>
              <w:ind w:firstLine="480"/>
              <w:rPr>
                <w:rFonts w:eastAsia="宋体"/>
              </w:rPr>
            </w:pPr>
            <w:r>
              <w:rPr>
                <w:rFonts w:hint="eastAsia" w:eastAsia="宋体"/>
              </w:rPr>
              <w:t>根据上述公式，本项目泥浆和岩屑产生情况如下。</w:t>
            </w:r>
          </w:p>
          <w:p w14:paraId="23727627">
            <w:pPr>
              <w:pStyle w:val="16"/>
              <w:rPr>
                <w:rFonts w:hint="eastAsia" w:eastAsia="宋体"/>
              </w:rPr>
            </w:pPr>
            <w:r>
              <w:rPr>
                <w:rFonts w:hint="eastAsia" w:eastAsia="宋体"/>
              </w:rPr>
              <w:t>表4-</w:t>
            </w:r>
            <w:r>
              <w:rPr>
                <w:rFonts w:hint="eastAsia" w:eastAsia="宋体"/>
                <w:lang w:val="en-US" w:eastAsia="zh-CN"/>
              </w:rPr>
              <w:t>8</w:t>
            </w:r>
            <w:r>
              <w:rPr>
                <w:rFonts w:hint="eastAsia" w:eastAsia="宋体"/>
              </w:rPr>
              <w:t xml:space="preserve">  泥浆和岩屑产生情况表</w:t>
            </w:r>
          </w:p>
          <w:tbl>
            <w:tblPr>
              <w:tblStyle w:val="11"/>
              <w:tblW w:w="77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1152"/>
              <w:gridCol w:w="1248"/>
              <w:gridCol w:w="1020"/>
              <w:gridCol w:w="1020"/>
              <w:gridCol w:w="868"/>
              <w:gridCol w:w="868"/>
            </w:tblGrid>
            <w:tr w14:paraId="363692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541" w:type="dxa"/>
                  <w:vMerge w:val="restart"/>
                  <w:tcBorders>
                    <w:tl2br w:val="nil"/>
                    <w:tr2bl w:val="nil"/>
                  </w:tcBorders>
                  <w:shd w:val="clear" w:color="auto" w:fill="auto"/>
                  <w:vAlign w:val="center"/>
                </w:tcPr>
                <w:p w14:paraId="486259C8">
                  <w:pPr>
                    <w:pStyle w:val="17"/>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井号</w:t>
                  </w:r>
                </w:p>
              </w:tc>
              <w:tc>
                <w:tcPr>
                  <w:tcW w:w="2400" w:type="dxa"/>
                  <w:gridSpan w:val="2"/>
                  <w:tcBorders>
                    <w:tl2br w:val="nil"/>
                    <w:tr2bl w:val="nil"/>
                  </w:tcBorders>
                  <w:shd w:val="clear" w:color="auto" w:fill="auto"/>
                  <w:vAlign w:val="center"/>
                </w:tcPr>
                <w:p w14:paraId="062BED49">
                  <w:pPr>
                    <w:pStyle w:val="17"/>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钻深/m</w:t>
                  </w:r>
                </w:p>
              </w:tc>
              <w:tc>
                <w:tcPr>
                  <w:tcW w:w="2040" w:type="dxa"/>
                  <w:gridSpan w:val="2"/>
                  <w:vMerge w:val="restart"/>
                  <w:tcBorders>
                    <w:tl2br w:val="nil"/>
                    <w:tr2bl w:val="nil"/>
                  </w:tcBorders>
                  <w:shd w:val="clear" w:color="auto" w:fill="auto"/>
                  <w:vAlign w:val="center"/>
                </w:tcPr>
                <w:p w14:paraId="387F6655">
                  <w:pPr>
                    <w:pStyle w:val="17"/>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废弃泥浆/t</w:t>
                  </w:r>
                </w:p>
              </w:tc>
              <w:tc>
                <w:tcPr>
                  <w:tcW w:w="1736" w:type="dxa"/>
                  <w:gridSpan w:val="2"/>
                  <w:vMerge w:val="restart"/>
                  <w:tcBorders>
                    <w:tl2br w:val="nil"/>
                    <w:tr2bl w:val="nil"/>
                  </w:tcBorders>
                  <w:shd w:val="clear" w:color="auto" w:fill="auto"/>
                  <w:vAlign w:val="center"/>
                </w:tcPr>
                <w:p w14:paraId="7B199653">
                  <w:pPr>
                    <w:pStyle w:val="17"/>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岩屑/t</w:t>
                  </w:r>
                </w:p>
              </w:tc>
            </w:tr>
            <w:tr w14:paraId="744823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541" w:type="dxa"/>
                  <w:vMerge w:val="continue"/>
                  <w:tcBorders>
                    <w:tl2br w:val="nil"/>
                    <w:tr2bl w:val="nil"/>
                  </w:tcBorders>
                  <w:shd w:val="clear" w:color="auto" w:fill="auto"/>
                  <w:vAlign w:val="center"/>
                </w:tcPr>
                <w:p w14:paraId="260AFD94">
                  <w:pPr>
                    <w:pStyle w:val="17"/>
                    <w:jc w:val="center"/>
                    <w:rPr>
                      <w:rFonts w:hint="default" w:ascii="Times New Roman" w:hAnsi="Times New Roman" w:eastAsia="宋体" w:cs="Times New Roman"/>
                      <w:color w:val="auto"/>
                      <w:highlight w:val="none"/>
                    </w:rPr>
                  </w:pPr>
                </w:p>
              </w:tc>
              <w:tc>
                <w:tcPr>
                  <w:tcW w:w="1152" w:type="dxa"/>
                  <w:tcBorders>
                    <w:tl2br w:val="nil"/>
                    <w:tr2bl w:val="nil"/>
                  </w:tcBorders>
                  <w:shd w:val="clear" w:color="auto" w:fill="auto"/>
                  <w:vAlign w:val="center"/>
                </w:tcPr>
                <w:p w14:paraId="74AC61C0">
                  <w:pPr>
                    <w:pStyle w:val="17"/>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一开</w:t>
                  </w:r>
                </w:p>
              </w:tc>
              <w:tc>
                <w:tcPr>
                  <w:tcW w:w="1248" w:type="dxa"/>
                  <w:tcBorders>
                    <w:tl2br w:val="nil"/>
                    <w:tr2bl w:val="nil"/>
                  </w:tcBorders>
                  <w:shd w:val="clear" w:color="auto" w:fill="auto"/>
                  <w:vAlign w:val="center"/>
                </w:tcPr>
                <w:p w14:paraId="77393589">
                  <w:pPr>
                    <w:pStyle w:val="17"/>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二开</w:t>
                  </w:r>
                </w:p>
              </w:tc>
              <w:tc>
                <w:tcPr>
                  <w:tcW w:w="2040" w:type="dxa"/>
                  <w:gridSpan w:val="2"/>
                  <w:vMerge w:val="continue"/>
                  <w:tcBorders>
                    <w:tl2br w:val="nil"/>
                    <w:tr2bl w:val="nil"/>
                  </w:tcBorders>
                  <w:shd w:val="clear" w:color="auto" w:fill="auto"/>
                  <w:vAlign w:val="center"/>
                </w:tcPr>
                <w:p w14:paraId="308DFC92">
                  <w:pPr>
                    <w:keepNext w:val="0"/>
                    <w:keepLines w:val="0"/>
                    <w:widowControl/>
                    <w:suppressLineNumbers w:val="0"/>
                    <w:ind w:firstLine="0" w:firstLineChars="0"/>
                    <w:jc w:val="center"/>
                    <w:textAlignment w:val="center"/>
                    <w:rPr>
                      <w:rFonts w:hint="default" w:cs="Times New Roman"/>
                      <w:i w:val="0"/>
                      <w:iCs w:val="0"/>
                      <w:color w:val="000000"/>
                      <w:kern w:val="0"/>
                      <w:sz w:val="22"/>
                      <w:szCs w:val="22"/>
                      <w:u w:val="none"/>
                      <w:lang w:val="en-US" w:eastAsia="zh-CN" w:bidi="ar"/>
                    </w:rPr>
                  </w:pPr>
                </w:p>
              </w:tc>
              <w:tc>
                <w:tcPr>
                  <w:tcW w:w="1736" w:type="dxa"/>
                  <w:gridSpan w:val="2"/>
                  <w:vMerge w:val="continue"/>
                  <w:tcBorders>
                    <w:tl2br w:val="nil"/>
                    <w:tr2bl w:val="nil"/>
                  </w:tcBorders>
                  <w:shd w:val="clear" w:color="auto" w:fill="auto"/>
                  <w:vAlign w:val="center"/>
                </w:tcPr>
                <w:p w14:paraId="1FA499FC">
                  <w:pPr>
                    <w:keepNext w:val="0"/>
                    <w:keepLines w:val="0"/>
                    <w:widowControl/>
                    <w:suppressLineNumbers w:val="0"/>
                    <w:ind w:firstLine="220" w:firstLineChars="100"/>
                    <w:jc w:val="center"/>
                    <w:textAlignment w:val="center"/>
                    <w:rPr>
                      <w:rFonts w:hint="default" w:ascii="Times New Roman" w:hAnsi="Times New Roman" w:eastAsia="宋体" w:cs="Times New Roman"/>
                      <w:color w:val="000000"/>
                      <w:kern w:val="0"/>
                      <w:sz w:val="22"/>
                      <w:szCs w:val="22"/>
                      <w:u w:val="none"/>
                      <w:lang w:val="en-US" w:eastAsia="zh-CN" w:bidi="ar"/>
                    </w:rPr>
                  </w:pPr>
                </w:p>
              </w:tc>
            </w:tr>
            <w:tr w14:paraId="687EE3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41" w:type="dxa"/>
                  <w:tcBorders>
                    <w:tl2br w:val="nil"/>
                    <w:tr2bl w:val="nil"/>
                  </w:tcBorders>
                  <w:shd w:val="clear" w:color="auto" w:fill="auto"/>
                  <w:vAlign w:val="center"/>
                </w:tcPr>
                <w:p w14:paraId="5B58F05C">
                  <w:pPr>
                    <w:pStyle w:val="17"/>
                    <w:ind w:firstLine="0" w:firstLineChars="0"/>
                    <w:jc w:val="center"/>
                    <w:rPr>
                      <w:rFonts w:hint="eastAsia" w:eastAsia="宋体"/>
                      <w:lang w:val="en-US" w:eastAsia="zh-CN"/>
                    </w:rPr>
                  </w:pPr>
                  <w:r>
                    <w:rPr>
                      <w:rFonts w:hint="eastAsia" w:eastAsia="宋体"/>
                      <w:lang w:val="en-US" w:eastAsia="zh-CN"/>
                    </w:rPr>
                    <w:t>沙105斜井</w:t>
                  </w:r>
                </w:p>
              </w:tc>
              <w:tc>
                <w:tcPr>
                  <w:tcW w:w="1152" w:type="dxa"/>
                  <w:tcBorders>
                    <w:tl2br w:val="nil"/>
                    <w:tr2bl w:val="nil"/>
                  </w:tcBorders>
                  <w:shd w:val="clear" w:color="auto" w:fill="auto"/>
                  <w:vAlign w:val="center"/>
                </w:tcPr>
                <w:p w14:paraId="3857FFE3">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500</w:t>
                  </w:r>
                </w:p>
              </w:tc>
              <w:tc>
                <w:tcPr>
                  <w:tcW w:w="1248" w:type="dxa"/>
                  <w:tcBorders>
                    <w:tl2br w:val="nil"/>
                    <w:tr2bl w:val="nil"/>
                  </w:tcBorders>
                  <w:shd w:val="clear" w:color="auto" w:fill="auto"/>
                  <w:vAlign w:val="center"/>
                </w:tcPr>
                <w:p w14:paraId="7E4F73B4">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b w:val="0"/>
                      <w:bCs w:val="0"/>
                      <w:highlight w:val="none"/>
                      <w:lang w:val="en-US" w:eastAsia="zh-CN"/>
                    </w:rPr>
                    <w:t>3090</w:t>
                  </w:r>
                </w:p>
              </w:tc>
              <w:tc>
                <w:tcPr>
                  <w:tcW w:w="1020" w:type="dxa"/>
                  <w:tcBorders>
                    <w:tl2br w:val="nil"/>
                    <w:tr2bl w:val="nil"/>
                  </w:tcBorders>
                  <w:shd w:val="clear" w:color="auto" w:fill="auto"/>
                  <w:vAlign w:val="center"/>
                </w:tcPr>
                <w:p w14:paraId="78E308B5">
                  <w:pPr>
                    <w:keepNext w:val="0"/>
                    <w:keepLines w:val="0"/>
                    <w:widowControl/>
                    <w:suppressLineNumbers w:val="0"/>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117.0</w:t>
                  </w:r>
                </w:p>
              </w:tc>
              <w:tc>
                <w:tcPr>
                  <w:tcW w:w="1020" w:type="dxa"/>
                  <w:tcBorders>
                    <w:tl2br w:val="nil"/>
                    <w:tr2bl w:val="nil"/>
                  </w:tcBorders>
                  <w:shd w:val="clear" w:color="auto" w:fill="auto"/>
                  <w:vAlign w:val="center"/>
                </w:tcPr>
                <w:p w14:paraId="4DD4C49F">
                  <w:pPr>
                    <w:keepNext w:val="0"/>
                    <w:keepLines w:val="0"/>
                    <w:widowControl/>
                    <w:suppressLineNumbers w:val="0"/>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247.8</w:t>
                  </w:r>
                </w:p>
              </w:tc>
              <w:tc>
                <w:tcPr>
                  <w:tcW w:w="868" w:type="dxa"/>
                  <w:tcBorders>
                    <w:tl2br w:val="nil"/>
                    <w:tr2bl w:val="nil"/>
                  </w:tcBorders>
                  <w:shd w:val="clear" w:color="auto" w:fill="auto"/>
                  <w:vAlign w:val="center"/>
                </w:tcPr>
                <w:p w14:paraId="3B57D821">
                  <w:pPr>
                    <w:keepNext w:val="0"/>
                    <w:keepLines w:val="0"/>
                    <w:widowControl/>
                    <w:suppressLineNumbers w:val="0"/>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136.8</w:t>
                  </w:r>
                </w:p>
              </w:tc>
              <w:tc>
                <w:tcPr>
                  <w:tcW w:w="868" w:type="dxa"/>
                  <w:tcBorders>
                    <w:tl2br w:val="nil"/>
                    <w:tr2bl w:val="nil"/>
                  </w:tcBorders>
                  <w:shd w:val="clear" w:color="auto" w:fill="auto"/>
                  <w:vAlign w:val="center"/>
                </w:tcPr>
                <w:p w14:paraId="6420A7EE">
                  <w:pPr>
                    <w:keepNext w:val="0"/>
                    <w:keepLines w:val="0"/>
                    <w:widowControl/>
                    <w:suppressLineNumbers w:val="0"/>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407.0</w:t>
                  </w:r>
                </w:p>
              </w:tc>
            </w:tr>
            <w:tr w14:paraId="5DD8D7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41" w:type="dxa"/>
                  <w:tcBorders>
                    <w:tl2br w:val="nil"/>
                    <w:tr2bl w:val="nil"/>
                  </w:tcBorders>
                  <w:shd w:val="clear" w:color="auto" w:fill="auto"/>
                  <w:vAlign w:val="center"/>
                </w:tcPr>
                <w:p w14:paraId="181080BA">
                  <w:pPr>
                    <w:pStyle w:val="17"/>
                    <w:ind w:firstLine="0" w:firstLineChars="0"/>
                    <w:jc w:val="center"/>
                    <w:rPr>
                      <w:rFonts w:hint="default" w:eastAsia="宋体"/>
                      <w:lang w:val="en-US" w:eastAsia="zh-CN"/>
                    </w:rPr>
                  </w:pPr>
                  <w:r>
                    <w:rPr>
                      <w:rFonts w:hint="eastAsia" w:eastAsia="宋体"/>
                      <w:lang w:val="en-US" w:eastAsia="zh-CN"/>
                    </w:rPr>
                    <w:t>沙86斜井</w:t>
                  </w:r>
                </w:p>
              </w:tc>
              <w:tc>
                <w:tcPr>
                  <w:tcW w:w="1152" w:type="dxa"/>
                  <w:tcBorders>
                    <w:tl2br w:val="nil"/>
                    <w:tr2bl w:val="nil"/>
                  </w:tcBorders>
                  <w:shd w:val="clear" w:color="auto" w:fill="auto"/>
                  <w:vAlign w:val="center"/>
                </w:tcPr>
                <w:p w14:paraId="0F7C5B46">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500</w:t>
                  </w:r>
                </w:p>
              </w:tc>
              <w:tc>
                <w:tcPr>
                  <w:tcW w:w="1248" w:type="dxa"/>
                  <w:tcBorders>
                    <w:tl2br w:val="nil"/>
                    <w:tr2bl w:val="nil"/>
                  </w:tcBorders>
                  <w:shd w:val="clear" w:color="auto" w:fill="auto"/>
                  <w:vAlign w:val="center"/>
                </w:tcPr>
                <w:p w14:paraId="4B28616C">
                  <w:pPr>
                    <w:keepNext w:val="0"/>
                    <w:keepLines w:val="0"/>
                    <w:widowControl/>
                    <w:suppressLineNumbers w:val="0"/>
                    <w:jc w:val="center"/>
                    <w:textAlignment w:val="center"/>
                    <w:rPr>
                      <w:rFonts w:hint="default"/>
                      <w:b w:val="0"/>
                      <w:bCs w:val="0"/>
                      <w:highlight w:val="none"/>
                      <w:lang w:val="en-US" w:eastAsia="zh-CN"/>
                    </w:rPr>
                  </w:pPr>
                  <w:r>
                    <w:rPr>
                      <w:rFonts w:hint="eastAsia"/>
                      <w:b w:val="0"/>
                      <w:bCs w:val="0"/>
                      <w:highlight w:val="none"/>
                      <w:lang w:val="en-US" w:eastAsia="zh-CN"/>
                    </w:rPr>
                    <w:t>3292</w:t>
                  </w:r>
                </w:p>
              </w:tc>
              <w:tc>
                <w:tcPr>
                  <w:tcW w:w="1020" w:type="dxa"/>
                  <w:tcBorders>
                    <w:tl2br w:val="nil"/>
                    <w:tr2bl w:val="nil"/>
                  </w:tcBorders>
                  <w:shd w:val="clear" w:color="auto" w:fill="auto"/>
                  <w:vAlign w:val="center"/>
                </w:tcPr>
                <w:p w14:paraId="37E73749">
                  <w:pPr>
                    <w:keepNext w:val="0"/>
                    <w:keepLines w:val="0"/>
                    <w:widowControl/>
                    <w:suppressLineNumbers w:val="0"/>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117.0</w:t>
                  </w:r>
                </w:p>
              </w:tc>
              <w:tc>
                <w:tcPr>
                  <w:tcW w:w="1020" w:type="dxa"/>
                  <w:tcBorders>
                    <w:tl2br w:val="nil"/>
                    <w:tr2bl w:val="nil"/>
                  </w:tcBorders>
                  <w:shd w:val="clear" w:color="auto" w:fill="auto"/>
                  <w:vAlign w:val="center"/>
                </w:tcPr>
                <w:p w14:paraId="1B1B8863">
                  <w:pPr>
                    <w:keepNext w:val="0"/>
                    <w:keepLines w:val="0"/>
                    <w:widowControl/>
                    <w:suppressLineNumbers w:val="0"/>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258.7</w:t>
                  </w:r>
                </w:p>
              </w:tc>
              <w:tc>
                <w:tcPr>
                  <w:tcW w:w="868" w:type="dxa"/>
                  <w:tcBorders>
                    <w:tl2br w:val="nil"/>
                    <w:tr2bl w:val="nil"/>
                  </w:tcBorders>
                  <w:shd w:val="clear" w:color="auto" w:fill="auto"/>
                  <w:vAlign w:val="center"/>
                </w:tcPr>
                <w:p w14:paraId="2D2448F4">
                  <w:pPr>
                    <w:keepNext w:val="0"/>
                    <w:keepLines w:val="0"/>
                    <w:widowControl/>
                    <w:suppressLineNumbers w:val="0"/>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136.8</w:t>
                  </w:r>
                </w:p>
              </w:tc>
              <w:tc>
                <w:tcPr>
                  <w:tcW w:w="868" w:type="dxa"/>
                  <w:tcBorders>
                    <w:tl2br w:val="nil"/>
                    <w:tr2bl w:val="nil"/>
                  </w:tcBorders>
                  <w:shd w:val="clear" w:color="auto" w:fill="auto"/>
                  <w:vAlign w:val="center"/>
                </w:tcPr>
                <w:p w14:paraId="426C3870">
                  <w:pPr>
                    <w:keepNext w:val="0"/>
                    <w:keepLines w:val="0"/>
                    <w:widowControl/>
                    <w:suppressLineNumbers w:val="0"/>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433.6</w:t>
                  </w:r>
                </w:p>
              </w:tc>
            </w:tr>
            <w:tr w14:paraId="0727D9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41" w:type="dxa"/>
                  <w:tcBorders>
                    <w:tl2br w:val="nil"/>
                    <w:tr2bl w:val="nil"/>
                  </w:tcBorders>
                  <w:shd w:val="clear" w:color="auto" w:fill="auto"/>
                  <w:vAlign w:val="center"/>
                </w:tcPr>
                <w:p w14:paraId="3D640391">
                  <w:pPr>
                    <w:pStyle w:val="17"/>
                    <w:ind w:firstLine="0" w:firstLineChars="0"/>
                    <w:jc w:val="center"/>
                    <w:rPr>
                      <w:rFonts w:hint="default" w:eastAsia="宋体"/>
                      <w:lang w:val="en-US" w:eastAsia="zh-CN"/>
                    </w:rPr>
                  </w:pPr>
                  <w:r>
                    <w:rPr>
                      <w:rFonts w:hint="eastAsia" w:eastAsia="宋体"/>
                      <w:lang w:val="en-US" w:eastAsia="zh-CN"/>
                    </w:rPr>
                    <w:t>合计</w:t>
                  </w:r>
                </w:p>
              </w:tc>
              <w:tc>
                <w:tcPr>
                  <w:tcW w:w="1152" w:type="dxa"/>
                  <w:tcBorders>
                    <w:tl2br w:val="nil"/>
                    <w:tr2bl w:val="nil"/>
                  </w:tcBorders>
                  <w:shd w:val="clear" w:color="auto" w:fill="auto"/>
                  <w:vAlign w:val="center"/>
                </w:tcPr>
                <w:p w14:paraId="14EC71C2">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1248" w:type="dxa"/>
                  <w:tcBorders>
                    <w:tl2br w:val="nil"/>
                    <w:tr2bl w:val="nil"/>
                  </w:tcBorders>
                  <w:shd w:val="clear" w:color="auto" w:fill="auto"/>
                  <w:vAlign w:val="center"/>
                </w:tcPr>
                <w:p w14:paraId="027EB4CB">
                  <w:pPr>
                    <w:keepNext w:val="0"/>
                    <w:keepLines w:val="0"/>
                    <w:widowControl/>
                    <w:suppressLineNumbers w:val="0"/>
                    <w:jc w:val="center"/>
                    <w:textAlignment w:val="center"/>
                    <w:rPr>
                      <w:rFonts w:hint="default" w:eastAsia="宋体"/>
                      <w:b w:val="0"/>
                      <w:bCs w:val="0"/>
                      <w:highlight w:val="none"/>
                      <w:lang w:val="en-US" w:eastAsia="zh-CN"/>
                    </w:rPr>
                  </w:pPr>
                  <w:r>
                    <w:rPr>
                      <w:rFonts w:hint="eastAsia" w:eastAsia="宋体"/>
                      <w:b w:val="0"/>
                      <w:bCs w:val="0"/>
                      <w:highlight w:val="none"/>
                      <w:lang w:val="en-US" w:eastAsia="zh-CN"/>
                    </w:rPr>
                    <w:t>/</w:t>
                  </w:r>
                </w:p>
              </w:tc>
              <w:tc>
                <w:tcPr>
                  <w:tcW w:w="2040" w:type="dxa"/>
                  <w:gridSpan w:val="2"/>
                  <w:tcBorders>
                    <w:tl2br w:val="nil"/>
                    <w:tr2bl w:val="nil"/>
                  </w:tcBorders>
                  <w:shd w:val="clear" w:color="auto" w:fill="auto"/>
                  <w:vAlign w:val="center"/>
                </w:tcPr>
                <w:p w14:paraId="03C1C1B3">
                  <w:pPr>
                    <w:keepNext w:val="0"/>
                    <w:keepLines w:val="0"/>
                    <w:widowControl/>
                    <w:suppressLineNumbers w:val="0"/>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740.5</w:t>
                  </w:r>
                </w:p>
              </w:tc>
              <w:tc>
                <w:tcPr>
                  <w:tcW w:w="1736" w:type="dxa"/>
                  <w:gridSpan w:val="2"/>
                  <w:tcBorders>
                    <w:tl2br w:val="nil"/>
                    <w:tr2bl w:val="nil"/>
                  </w:tcBorders>
                  <w:shd w:val="clear" w:color="auto" w:fill="auto"/>
                  <w:vAlign w:val="center"/>
                </w:tcPr>
                <w:p w14:paraId="06CEB199">
                  <w:pPr>
                    <w:keepNext w:val="0"/>
                    <w:keepLines w:val="0"/>
                    <w:widowControl/>
                    <w:suppressLineNumbers w:val="0"/>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1114.2</w:t>
                  </w:r>
                </w:p>
              </w:tc>
            </w:tr>
          </w:tbl>
          <w:p w14:paraId="6394A3D7">
            <w:pPr>
              <w:pStyle w:val="3"/>
              <w:keepNext w:val="0"/>
              <w:keepLines w:val="0"/>
              <w:pageBreakBefore w:val="0"/>
              <w:widowControl/>
              <w:kinsoku/>
              <w:wordWrap/>
              <w:overflowPunct/>
              <w:topLinePunct w:val="0"/>
              <w:autoSpaceDE/>
              <w:autoSpaceDN/>
              <w:bidi w:val="0"/>
              <w:adjustRightInd/>
              <w:snapToGrid/>
              <w:ind w:left="0" w:leftChars="0" w:firstLine="422" w:firstLineChars="200"/>
              <w:jc w:val="left"/>
              <w:textAlignment w:val="auto"/>
              <w:rPr>
                <w:rFonts w:hint="default" w:eastAsia="宋体"/>
                <w:b/>
                <w:bCs w:val="0"/>
                <w:color w:val="auto"/>
                <w:highlight w:val="none"/>
                <w:lang w:val="en-US"/>
              </w:rPr>
            </w:pPr>
            <w:r>
              <w:rPr>
                <w:rFonts w:hint="eastAsia" w:eastAsia="宋体"/>
                <w:b/>
                <w:bCs w:val="0"/>
                <w:color w:val="auto"/>
                <w:sz w:val="21"/>
                <w:szCs w:val="21"/>
                <w:lang w:eastAsia="zh-CN"/>
              </w:rPr>
              <w:t>注：钻深</w:t>
            </w:r>
            <w:r>
              <w:rPr>
                <w:rFonts w:hint="eastAsia" w:eastAsia="宋体"/>
                <w:b/>
                <w:bCs w:val="0"/>
                <w:color w:val="auto"/>
                <w:sz w:val="21"/>
                <w:szCs w:val="21"/>
                <w:lang w:val="en-US" w:eastAsia="zh-CN"/>
              </w:rPr>
              <w:t>=二开井深-一开井深；本项目一开和二开使用水基泥浆。</w:t>
            </w:r>
          </w:p>
          <w:p w14:paraId="6CEAC7C1">
            <w:pPr>
              <w:pStyle w:val="3"/>
              <w:ind w:firstLine="480"/>
              <w:rPr>
                <w:rFonts w:hint="eastAsia" w:eastAsia="宋体"/>
                <w:lang w:val="en-US" w:eastAsia="zh-CN"/>
              </w:rPr>
            </w:pPr>
            <w:r>
              <w:rPr>
                <w:rFonts w:hint="eastAsia" w:eastAsia="宋体"/>
              </w:rPr>
              <w:t>由上表可知，</w:t>
            </w:r>
            <w:r>
              <w:rPr>
                <w:rFonts w:hint="default" w:ascii="Times New Roman" w:hAnsi="Times New Roman" w:eastAsia="宋体" w:cs="Times New Roman"/>
                <w:color w:val="auto"/>
                <w:sz w:val="24"/>
                <w:szCs w:val="24"/>
                <w:highlight w:val="none"/>
              </w:rPr>
              <w:t>钻井过程中</w:t>
            </w:r>
            <w:r>
              <w:rPr>
                <w:rFonts w:hint="eastAsia" w:eastAsia="宋体"/>
              </w:rPr>
              <w:t>产生</w:t>
            </w:r>
            <w:r>
              <w:rPr>
                <w:rFonts w:hint="eastAsia" w:eastAsia="宋体"/>
                <w:lang w:val="en-US" w:eastAsia="zh-CN"/>
              </w:rPr>
              <w:t>的废弃泥浆</w:t>
            </w:r>
            <w:r>
              <w:rPr>
                <w:rFonts w:hint="eastAsia" w:cs="Times New Roman"/>
                <w:color w:val="auto"/>
                <w:highlight w:val="none"/>
                <w:lang w:val="en-US" w:eastAsia="zh-CN"/>
              </w:rPr>
              <w:t>740.5</w:t>
            </w:r>
            <w:r>
              <w:rPr>
                <w:rFonts w:hint="eastAsia" w:eastAsia="宋体"/>
                <w:lang w:val="en-US" w:eastAsia="zh-CN"/>
              </w:rPr>
              <w:t>t，产生岩屑1114.2t。</w:t>
            </w:r>
          </w:p>
          <w:p w14:paraId="380C4BC6">
            <w:pPr>
              <w:pStyle w:val="3"/>
              <w:ind w:firstLine="480"/>
              <w:rPr>
                <w:rFonts w:hint="eastAsia"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产废单位委托其他单位运输、利用、处置工业固体废物的，应当对受托方的固废处置资格和技术能力进行核实，并依法签订书面合同，在合同中约定污染防治要求。</w:t>
            </w:r>
          </w:p>
          <w:p w14:paraId="4D29693A">
            <w:pPr>
              <w:pStyle w:val="3"/>
              <w:ind w:firstLine="480"/>
              <w:rPr>
                <w:rFonts w:hint="eastAsia"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本项目</w:t>
            </w:r>
            <w:r>
              <w:rPr>
                <w:rFonts w:hint="eastAsia" w:eastAsia="宋体"/>
                <w:color w:val="000000" w:themeColor="text1"/>
                <w14:textFill>
                  <w14:solidFill>
                    <w14:schemeClr w14:val="tx1"/>
                  </w14:solidFill>
                </w14:textFill>
              </w:rPr>
              <w:t>废弃泥浆、岩屑</w:t>
            </w:r>
            <w:r>
              <w:rPr>
                <w:rFonts w:hint="eastAsia" w:eastAsia="宋体"/>
                <w:color w:val="000000" w:themeColor="text1"/>
                <w:lang w:val="en-US" w:eastAsia="zh-CN"/>
                <w14:textFill>
                  <w14:solidFill>
                    <w14:schemeClr w14:val="tx1"/>
                  </w14:solidFill>
                </w14:textFill>
              </w:rPr>
              <w:t>经场区泥浆不落地系统处理后，压滤形成的泥饼暂存于泥浆罐，委托下游单位制成建材</w:t>
            </w:r>
            <w:r>
              <w:rPr>
                <w:rFonts w:hint="eastAsia" w:eastAsia="宋体"/>
                <w:color w:val="000000" w:themeColor="text1"/>
                <w14:textFill>
                  <w14:solidFill>
                    <w14:schemeClr w14:val="tx1"/>
                  </w14:solidFill>
                </w14:textFill>
              </w:rPr>
              <w:t>。</w:t>
            </w:r>
          </w:p>
          <w:p w14:paraId="5BF1129A">
            <w:pPr>
              <w:pStyle w:val="3"/>
              <w:ind w:firstLine="480"/>
              <w:rPr>
                <w:rFonts w:hint="eastAsia"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根据企业提供信息，本项目产生的废弃泥浆和岩屑压滤形成泥饼1500t/a。</w:t>
            </w:r>
          </w:p>
          <w:p w14:paraId="14C58E7D">
            <w:pPr>
              <w:pStyle w:val="3"/>
              <w:ind w:firstLine="480"/>
              <w:rPr>
                <w:rFonts w:eastAsia="宋体"/>
              </w:rPr>
            </w:pPr>
            <w:r>
              <w:rPr>
                <w:rFonts w:hint="eastAsia" w:eastAsia="宋体"/>
              </w:rPr>
              <w:t>②施工废料</w:t>
            </w:r>
          </w:p>
          <w:p w14:paraId="08F06470">
            <w:pPr>
              <w:pStyle w:val="3"/>
              <w:ind w:firstLine="480"/>
              <w:rPr>
                <w:rFonts w:eastAsia="宋体"/>
              </w:rPr>
            </w:pPr>
            <w:r>
              <w:rPr>
                <w:rFonts w:eastAsia="宋体"/>
              </w:rPr>
              <w:t>施工废料主要包括废包装、废防腐材料和废混凝土。勘探期固体废物全部为一般性工业固体废物，无危险废物，产生量按1t/d计，</w:t>
            </w:r>
            <w:r>
              <w:rPr>
                <w:rFonts w:hint="eastAsia" w:eastAsia="宋体"/>
              </w:rPr>
              <w:t>本项目</w:t>
            </w:r>
            <w:r>
              <w:rPr>
                <w:rFonts w:hint="eastAsia" w:eastAsia="宋体"/>
                <w:lang w:val="en-US" w:eastAsia="zh-CN"/>
              </w:rPr>
              <w:t>建设周期60天，则</w:t>
            </w:r>
            <w:r>
              <w:rPr>
                <w:rFonts w:eastAsia="宋体"/>
              </w:rPr>
              <w:t>产生</w:t>
            </w:r>
            <w:r>
              <w:rPr>
                <w:rFonts w:hint="eastAsia" w:eastAsia="宋体"/>
                <w:lang w:val="en-US" w:eastAsia="zh-CN"/>
              </w:rPr>
              <w:t>60</w:t>
            </w:r>
            <w:r>
              <w:rPr>
                <w:rFonts w:eastAsia="宋体"/>
              </w:rPr>
              <w:t>t</w:t>
            </w:r>
            <w:r>
              <w:rPr>
                <w:rFonts w:hint="eastAsia" w:eastAsia="宋体"/>
              </w:rPr>
              <w:t>施工废料</w:t>
            </w:r>
            <w:r>
              <w:rPr>
                <w:rFonts w:eastAsia="宋体"/>
              </w:rPr>
              <w:t>。施工废料尽量回收利用，不能回收利用的打包交给环卫部门处理。</w:t>
            </w:r>
          </w:p>
          <w:p w14:paraId="3D1BA338">
            <w:pPr>
              <w:pStyle w:val="3"/>
              <w:ind w:firstLine="480"/>
              <w:rPr>
                <w:rFonts w:hint="default" w:eastAsia="宋体"/>
                <w:color w:val="auto"/>
                <w:lang w:val="en-US" w:eastAsia="zh-CN"/>
              </w:rPr>
            </w:pPr>
            <w:r>
              <w:rPr>
                <w:rFonts w:hint="eastAsia" w:eastAsia="宋体"/>
                <w:color w:val="auto"/>
              </w:rPr>
              <w:t>③废</w:t>
            </w:r>
            <w:r>
              <w:rPr>
                <w:rFonts w:hint="eastAsia" w:eastAsia="宋体"/>
                <w:color w:val="auto"/>
                <w:lang w:val="en-US" w:eastAsia="zh-CN"/>
              </w:rPr>
              <w:t>沾油防渗膜</w:t>
            </w:r>
          </w:p>
          <w:p w14:paraId="7658E2B3">
            <w:pPr>
              <w:pStyle w:val="3"/>
              <w:ind w:firstLine="480"/>
              <w:rPr>
                <w:rFonts w:hint="eastAsia" w:eastAsia="宋体"/>
                <w:color w:val="000000" w:themeColor="text1"/>
                <w:lang w:eastAsia="zh-CN"/>
                <w14:textFill>
                  <w14:solidFill>
                    <w14:schemeClr w14:val="tx1"/>
                  </w14:solidFill>
                </w14:textFill>
              </w:rPr>
            </w:pPr>
            <w:r>
              <w:rPr>
                <w:rFonts w:hint="eastAsia" w:eastAsia="宋体"/>
                <w:color w:val="000000" w:themeColor="text1"/>
                <w14:textFill>
                  <w14:solidFill>
                    <w14:schemeClr w14:val="tx1"/>
                  </w14:solidFill>
                </w14:textFill>
              </w:rPr>
              <w:t>本项目勘探</w:t>
            </w:r>
            <w:r>
              <w:rPr>
                <w:rFonts w:hint="eastAsia" w:eastAsia="宋体"/>
                <w:color w:val="000000" w:themeColor="text1"/>
                <w:lang w:val="en-US" w:eastAsia="zh-CN"/>
                <w14:textFill>
                  <w14:solidFill>
                    <w14:schemeClr w14:val="tx1"/>
                  </w14:solidFill>
                </w14:textFill>
              </w:rPr>
              <w:t>场地防渗工作</w:t>
            </w:r>
            <w:r>
              <w:rPr>
                <w:rFonts w:hint="eastAsia" w:eastAsia="宋体"/>
                <w:color w:val="000000" w:themeColor="text1"/>
                <w14:textFill>
                  <w14:solidFill>
                    <w14:schemeClr w14:val="tx1"/>
                  </w14:solidFill>
                </w14:textFill>
              </w:rPr>
              <w:t>中会产生废</w:t>
            </w:r>
            <w:r>
              <w:rPr>
                <w:rFonts w:hint="eastAsia" w:eastAsia="宋体"/>
                <w:color w:val="000000" w:themeColor="text1"/>
                <w:lang w:val="en-US" w:eastAsia="zh-CN"/>
                <w14:textFill>
                  <w14:solidFill>
                    <w14:schemeClr w14:val="tx1"/>
                  </w14:solidFill>
                </w14:textFill>
              </w:rPr>
              <w:t>沾油防渗膜</w:t>
            </w:r>
            <w:r>
              <w:rPr>
                <w:rFonts w:hint="eastAsia" w:eastAsia="宋体"/>
                <w:color w:val="000000" w:themeColor="text1"/>
                <w14:textFill>
                  <w14:solidFill>
                    <w14:schemeClr w14:val="tx1"/>
                  </w14:solidFill>
                </w14:textFill>
              </w:rPr>
              <w:t>，根据建设单位提供的资料，</w:t>
            </w:r>
            <w:r>
              <w:rPr>
                <w:rFonts w:hint="eastAsia" w:eastAsia="宋体"/>
                <w:color w:val="000000" w:themeColor="text1"/>
                <w:lang w:val="en-US" w:eastAsia="zh-CN"/>
                <w14:textFill>
                  <w14:solidFill>
                    <w14:schemeClr w14:val="tx1"/>
                  </w14:solidFill>
                </w14:textFill>
              </w:rPr>
              <w:t>年</w:t>
            </w:r>
            <w:r>
              <w:rPr>
                <w:rFonts w:hint="eastAsia" w:eastAsia="宋体"/>
                <w:color w:val="000000" w:themeColor="text1"/>
                <w14:textFill>
                  <w14:solidFill>
                    <w14:schemeClr w14:val="tx1"/>
                  </w14:solidFill>
                </w14:textFill>
              </w:rPr>
              <w:t>产生量约为0.</w:t>
            </w:r>
            <w:r>
              <w:rPr>
                <w:rFonts w:hint="eastAsia" w:eastAsia="宋体"/>
                <w:color w:val="000000" w:themeColor="text1"/>
                <w:lang w:val="en-US" w:eastAsia="zh-CN"/>
                <w14:textFill>
                  <w14:solidFill>
                    <w14:schemeClr w14:val="tx1"/>
                  </w14:solidFill>
                </w14:textFill>
              </w:rPr>
              <w:t>1</w:t>
            </w:r>
            <w:r>
              <w:rPr>
                <w:rFonts w:eastAsia="宋体"/>
                <w:color w:val="000000" w:themeColor="text1"/>
                <w14:textFill>
                  <w14:solidFill>
                    <w14:schemeClr w14:val="tx1"/>
                  </w14:solidFill>
                </w14:textFill>
              </w:rPr>
              <w:t>t</w:t>
            </w:r>
            <w:r>
              <w:rPr>
                <w:rFonts w:hint="eastAsia" w:eastAsia="宋体"/>
                <w:color w:val="000000" w:themeColor="text1"/>
                <w:lang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产生后立即委托有资质单位</w:t>
            </w:r>
            <w:r>
              <w:rPr>
                <w:rFonts w:hint="eastAsia" w:eastAsia="宋体"/>
                <w:color w:val="000000" w:themeColor="text1"/>
                <w14:textFill>
                  <w14:solidFill>
                    <w14:schemeClr w14:val="tx1"/>
                  </w14:solidFill>
                </w14:textFill>
              </w:rPr>
              <w:t>直接运走，不在本项目场地内暂存</w:t>
            </w:r>
            <w:r>
              <w:rPr>
                <w:rFonts w:hint="eastAsia" w:eastAsia="宋体"/>
                <w:color w:val="000000" w:themeColor="text1"/>
                <w:lang w:eastAsia="zh-CN"/>
                <w14:textFill>
                  <w14:solidFill>
                    <w14:schemeClr w14:val="tx1"/>
                  </w14:solidFill>
                </w14:textFill>
              </w:rPr>
              <w:t>。</w:t>
            </w:r>
          </w:p>
          <w:p w14:paraId="6F931231">
            <w:pPr>
              <w:pStyle w:val="3"/>
              <w:ind w:firstLine="480"/>
              <w:rPr>
                <w:rFonts w:eastAsia="宋体"/>
                <w:color w:val="auto"/>
              </w:rPr>
            </w:pPr>
            <w:r>
              <w:rPr>
                <w:rFonts w:hint="eastAsia" w:eastAsia="宋体"/>
                <w:color w:val="auto"/>
              </w:rPr>
              <w:fldChar w:fldCharType="begin"/>
            </w:r>
            <w:r>
              <w:rPr>
                <w:rFonts w:hint="eastAsia" w:eastAsia="宋体"/>
                <w:color w:val="auto"/>
              </w:rPr>
              <w:instrText xml:space="preserve"> = 4 \* GB3 \* MERGEFORMAT </w:instrText>
            </w:r>
            <w:r>
              <w:rPr>
                <w:rFonts w:hint="eastAsia" w:eastAsia="宋体"/>
                <w:color w:val="auto"/>
              </w:rPr>
              <w:fldChar w:fldCharType="separate"/>
            </w:r>
            <w:r>
              <w:rPr>
                <w:color w:val="auto"/>
              </w:rPr>
              <w:t>④</w:t>
            </w:r>
            <w:r>
              <w:rPr>
                <w:rFonts w:hint="eastAsia" w:eastAsia="宋体"/>
                <w:color w:val="auto"/>
              </w:rPr>
              <w:fldChar w:fldCharType="end"/>
            </w:r>
            <w:r>
              <w:rPr>
                <w:rFonts w:hint="eastAsia" w:eastAsia="宋体"/>
                <w:color w:val="auto"/>
              </w:rPr>
              <w:t>废润滑油</w:t>
            </w:r>
          </w:p>
          <w:p w14:paraId="00ED304E">
            <w:pPr>
              <w:pStyle w:val="3"/>
              <w:ind w:firstLine="480"/>
              <w:rPr>
                <w:rFonts w:hint="eastAsia" w:eastAsia="宋体"/>
                <w:color w:val="auto"/>
              </w:rPr>
            </w:pPr>
            <w:r>
              <w:rPr>
                <w:rFonts w:hint="eastAsia" w:eastAsia="宋体"/>
                <w:color w:val="auto"/>
              </w:rPr>
              <w:t>本项目勘探施工期较短，施工结束后机械设备运至石油公司内部指定部门进行维护保养，保养过程中产生的废润滑油由保养部门送至资质单位处置，勘探现场不产生废润滑油。</w:t>
            </w:r>
          </w:p>
          <w:p w14:paraId="729961F6">
            <w:pPr>
              <w:pStyle w:val="3"/>
              <w:ind w:firstLine="480"/>
              <w:rPr>
                <w:rFonts w:eastAsia="宋体"/>
                <w:color w:val="auto"/>
              </w:rPr>
            </w:pPr>
            <w:r>
              <w:rPr>
                <w:rFonts w:hint="eastAsia" w:eastAsia="宋体"/>
                <w:color w:val="auto"/>
              </w:rPr>
              <w:t>⑤生活垃圾</w:t>
            </w:r>
          </w:p>
          <w:p w14:paraId="72C72BCE">
            <w:pPr>
              <w:pStyle w:val="3"/>
              <w:ind w:firstLine="480"/>
              <w:rPr>
                <w:rFonts w:eastAsia="宋体"/>
                <w:color w:val="auto"/>
              </w:rPr>
            </w:pPr>
            <w:r>
              <w:rPr>
                <w:rFonts w:hint="eastAsia" w:eastAsia="宋体"/>
                <w:color w:val="auto"/>
              </w:rPr>
              <w:t>生活垃圾主要由施工人员产生。本项目施工周期为</w:t>
            </w:r>
            <w:r>
              <w:rPr>
                <w:rFonts w:hint="eastAsia" w:eastAsia="宋体"/>
                <w:color w:val="auto"/>
                <w:lang w:val="en-US" w:eastAsia="zh-CN"/>
              </w:rPr>
              <w:t>60</w:t>
            </w:r>
            <w:r>
              <w:rPr>
                <w:rFonts w:hint="eastAsia" w:eastAsia="宋体"/>
                <w:color w:val="auto"/>
              </w:rPr>
              <w:t>天，施工人员50人，人均生活垃圾产生量按 0.5kg/（人·d）计算，则生活垃圾产生量为</w:t>
            </w:r>
            <w:r>
              <w:rPr>
                <w:rFonts w:hint="eastAsia" w:eastAsia="宋体"/>
                <w:color w:val="auto"/>
                <w:lang w:val="en-US" w:eastAsia="zh-CN"/>
              </w:rPr>
              <w:t>1.5</w:t>
            </w:r>
            <w:r>
              <w:rPr>
                <w:rFonts w:hint="eastAsia" w:eastAsia="宋体"/>
                <w:color w:val="auto"/>
              </w:rPr>
              <w:t>t。生活垃圾由施工队设置临时生活垃圾收集桶，统一收集后由环卫部门清运。</w:t>
            </w:r>
          </w:p>
          <w:p w14:paraId="5A5C6C1D">
            <w:pPr>
              <w:pStyle w:val="3"/>
              <w:ind w:left="0" w:leftChars="0" w:firstLine="480" w:firstLineChars="200"/>
              <w:rPr>
                <w:rFonts w:eastAsia="宋体"/>
              </w:rPr>
            </w:pPr>
            <w:r>
              <w:rPr>
                <w:rFonts w:hint="eastAsia" w:eastAsia="宋体"/>
              </w:rPr>
              <w:t>（2）固体废物属性判定</w:t>
            </w:r>
          </w:p>
          <w:p w14:paraId="5C4D12DE">
            <w:pPr>
              <w:pStyle w:val="3"/>
              <w:ind w:firstLine="480"/>
              <w:rPr>
                <w:rFonts w:hint="eastAsia" w:eastAsia="宋体"/>
              </w:rPr>
            </w:pPr>
            <w:r>
              <w:rPr>
                <w:rFonts w:hint="eastAsia" w:eastAsia="宋体"/>
              </w:rPr>
              <w:t>①固体废物属性判定：根据《固体废物鉴别标准通则》（GB34330-2017）的规定，判断每种废物是否属于固体废物。</w:t>
            </w:r>
          </w:p>
          <w:p w14:paraId="278C6C9F">
            <w:pPr>
              <w:pStyle w:val="16"/>
              <w:rPr>
                <w:rFonts w:hint="eastAsia" w:eastAsia="宋体"/>
              </w:rPr>
            </w:pPr>
            <w:r>
              <w:rPr>
                <w:rFonts w:hint="eastAsia" w:eastAsia="宋体"/>
              </w:rPr>
              <w:t>表4-</w:t>
            </w:r>
            <w:r>
              <w:rPr>
                <w:rFonts w:hint="eastAsia" w:eastAsia="宋体"/>
                <w:lang w:val="en-US" w:eastAsia="zh-CN"/>
              </w:rPr>
              <w:t>9</w:t>
            </w:r>
            <w:r>
              <w:rPr>
                <w:rFonts w:hint="eastAsia" w:eastAsia="宋体"/>
              </w:rPr>
              <w:t xml:space="preserve">  项目副产物产生情况汇总表</w:t>
            </w:r>
          </w:p>
          <w:tbl>
            <w:tblPr>
              <w:tblStyle w:val="11"/>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5"/>
              <w:gridCol w:w="1001"/>
              <w:gridCol w:w="763"/>
              <w:gridCol w:w="757"/>
              <w:gridCol w:w="1446"/>
              <w:gridCol w:w="641"/>
              <w:gridCol w:w="773"/>
              <w:gridCol w:w="1908"/>
            </w:tblGrid>
            <w:tr w14:paraId="2CBDDD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9" w:type="pct"/>
                  <w:vMerge w:val="restart"/>
                  <w:shd w:val="clear" w:color="auto" w:fill="auto"/>
                  <w:vAlign w:val="center"/>
                </w:tcPr>
                <w:p w14:paraId="495CCBC5">
                  <w:pPr>
                    <w:pStyle w:val="17"/>
                    <w:rPr>
                      <w:rFonts w:eastAsia="宋体"/>
                      <w:b/>
                      <w:bCs/>
                      <w:color w:val="auto"/>
                    </w:rPr>
                  </w:pPr>
                  <w:r>
                    <w:rPr>
                      <w:rFonts w:hint="eastAsia" w:eastAsia="宋体"/>
                      <w:b/>
                      <w:bCs/>
                      <w:color w:val="auto"/>
                    </w:rPr>
                    <w:t>序号</w:t>
                  </w:r>
                </w:p>
              </w:tc>
              <w:tc>
                <w:tcPr>
                  <w:tcW w:w="649" w:type="pct"/>
                  <w:vMerge w:val="restart"/>
                  <w:shd w:val="clear" w:color="auto" w:fill="auto"/>
                  <w:vAlign w:val="center"/>
                </w:tcPr>
                <w:p w14:paraId="6271459B">
                  <w:pPr>
                    <w:pStyle w:val="17"/>
                    <w:rPr>
                      <w:rFonts w:eastAsia="宋体"/>
                      <w:b/>
                      <w:bCs/>
                      <w:color w:val="auto"/>
                    </w:rPr>
                  </w:pPr>
                  <w:r>
                    <w:rPr>
                      <w:rFonts w:hint="eastAsia" w:eastAsia="宋体"/>
                      <w:b/>
                      <w:bCs/>
                      <w:color w:val="auto"/>
                    </w:rPr>
                    <w:t>副产物</w:t>
                  </w:r>
                </w:p>
                <w:p w14:paraId="30D90807">
                  <w:pPr>
                    <w:pStyle w:val="17"/>
                    <w:rPr>
                      <w:rFonts w:eastAsia="宋体"/>
                      <w:b/>
                      <w:bCs/>
                      <w:color w:val="auto"/>
                    </w:rPr>
                  </w:pPr>
                  <w:r>
                    <w:rPr>
                      <w:rFonts w:hint="eastAsia" w:eastAsia="宋体"/>
                      <w:b/>
                      <w:bCs/>
                      <w:color w:val="auto"/>
                    </w:rPr>
                    <w:t>名称</w:t>
                  </w:r>
                </w:p>
              </w:tc>
              <w:tc>
                <w:tcPr>
                  <w:tcW w:w="495" w:type="pct"/>
                  <w:vMerge w:val="restart"/>
                  <w:shd w:val="clear" w:color="auto" w:fill="auto"/>
                  <w:vAlign w:val="center"/>
                </w:tcPr>
                <w:p w14:paraId="5923AFD6">
                  <w:pPr>
                    <w:pStyle w:val="17"/>
                    <w:rPr>
                      <w:rFonts w:eastAsia="宋体"/>
                      <w:b/>
                      <w:bCs/>
                      <w:color w:val="auto"/>
                    </w:rPr>
                  </w:pPr>
                  <w:r>
                    <w:rPr>
                      <w:rFonts w:hint="eastAsia" w:eastAsia="宋体"/>
                      <w:b/>
                      <w:bCs/>
                      <w:color w:val="auto"/>
                    </w:rPr>
                    <w:t>产生工序</w:t>
                  </w:r>
                </w:p>
              </w:tc>
              <w:tc>
                <w:tcPr>
                  <w:tcW w:w="491" w:type="pct"/>
                  <w:vMerge w:val="restart"/>
                  <w:shd w:val="clear" w:color="auto" w:fill="auto"/>
                  <w:vAlign w:val="center"/>
                </w:tcPr>
                <w:p w14:paraId="5777CE47">
                  <w:pPr>
                    <w:pStyle w:val="17"/>
                    <w:rPr>
                      <w:rFonts w:eastAsia="宋体"/>
                      <w:b/>
                      <w:bCs/>
                      <w:color w:val="auto"/>
                    </w:rPr>
                  </w:pPr>
                  <w:r>
                    <w:rPr>
                      <w:rFonts w:hint="eastAsia" w:eastAsia="宋体"/>
                      <w:b/>
                      <w:bCs/>
                      <w:color w:val="auto"/>
                    </w:rPr>
                    <w:t>形态</w:t>
                  </w:r>
                </w:p>
              </w:tc>
              <w:tc>
                <w:tcPr>
                  <w:tcW w:w="938" w:type="pct"/>
                  <w:vMerge w:val="restart"/>
                  <w:shd w:val="clear" w:color="auto" w:fill="auto"/>
                  <w:vAlign w:val="center"/>
                </w:tcPr>
                <w:p w14:paraId="12376EE6">
                  <w:pPr>
                    <w:pStyle w:val="17"/>
                    <w:rPr>
                      <w:rFonts w:eastAsia="宋体"/>
                      <w:b/>
                      <w:bCs/>
                      <w:color w:val="auto"/>
                    </w:rPr>
                  </w:pPr>
                  <w:r>
                    <w:rPr>
                      <w:rFonts w:hint="eastAsia" w:eastAsia="宋体"/>
                      <w:b/>
                      <w:bCs/>
                      <w:color w:val="auto"/>
                    </w:rPr>
                    <w:t>主要成分</w:t>
                  </w:r>
                </w:p>
              </w:tc>
              <w:tc>
                <w:tcPr>
                  <w:tcW w:w="2154" w:type="pct"/>
                  <w:gridSpan w:val="3"/>
                  <w:shd w:val="clear" w:color="auto" w:fill="auto"/>
                  <w:vAlign w:val="center"/>
                </w:tcPr>
                <w:p w14:paraId="30A7F4CE">
                  <w:pPr>
                    <w:pStyle w:val="17"/>
                    <w:rPr>
                      <w:rFonts w:eastAsia="宋体"/>
                      <w:b/>
                      <w:bCs/>
                      <w:color w:val="auto"/>
                    </w:rPr>
                  </w:pPr>
                  <w:r>
                    <w:rPr>
                      <w:rFonts w:hint="eastAsia" w:eastAsia="宋体"/>
                      <w:b/>
                      <w:bCs/>
                      <w:color w:val="auto"/>
                    </w:rPr>
                    <w:t>种类判断</w:t>
                  </w:r>
                </w:p>
              </w:tc>
            </w:tr>
            <w:tr w14:paraId="14406B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9" w:type="pct"/>
                  <w:vMerge w:val="continue"/>
                  <w:shd w:val="clear" w:color="auto" w:fill="auto"/>
                  <w:vAlign w:val="center"/>
                </w:tcPr>
                <w:p w14:paraId="1BB43263">
                  <w:pPr>
                    <w:pStyle w:val="17"/>
                    <w:rPr>
                      <w:rFonts w:eastAsia="宋体"/>
                      <w:b/>
                      <w:bCs/>
                      <w:color w:val="auto"/>
                    </w:rPr>
                  </w:pPr>
                </w:p>
              </w:tc>
              <w:tc>
                <w:tcPr>
                  <w:tcW w:w="649" w:type="pct"/>
                  <w:vMerge w:val="continue"/>
                  <w:shd w:val="clear" w:color="auto" w:fill="auto"/>
                  <w:vAlign w:val="center"/>
                </w:tcPr>
                <w:p w14:paraId="688271C1">
                  <w:pPr>
                    <w:pStyle w:val="17"/>
                    <w:rPr>
                      <w:rFonts w:eastAsia="宋体"/>
                      <w:b/>
                      <w:bCs/>
                      <w:color w:val="auto"/>
                    </w:rPr>
                  </w:pPr>
                </w:p>
              </w:tc>
              <w:tc>
                <w:tcPr>
                  <w:tcW w:w="495" w:type="pct"/>
                  <w:vMerge w:val="continue"/>
                  <w:shd w:val="clear" w:color="auto" w:fill="auto"/>
                  <w:vAlign w:val="center"/>
                </w:tcPr>
                <w:p w14:paraId="05DD11DB">
                  <w:pPr>
                    <w:pStyle w:val="17"/>
                    <w:rPr>
                      <w:rFonts w:eastAsia="宋体"/>
                      <w:b/>
                      <w:bCs/>
                      <w:color w:val="auto"/>
                    </w:rPr>
                  </w:pPr>
                </w:p>
              </w:tc>
              <w:tc>
                <w:tcPr>
                  <w:tcW w:w="491" w:type="pct"/>
                  <w:vMerge w:val="continue"/>
                  <w:shd w:val="clear" w:color="auto" w:fill="auto"/>
                  <w:vAlign w:val="center"/>
                </w:tcPr>
                <w:p w14:paraId="68340DB9">
                  <w:pPr>
                    <w:pStyle w:val="17"/>
                    <w:rPr>
                      <w:rFonts w:eastAsia="宋体"/>
                      <w:b/>
                      <w:bCs/>
                      <w:color w:val="auto"/>
                    </w:rPr>
                  </w:pPr>
                </w:p>
              </w:tc>
              <w:tc>
                <w:tcPr>
                  <w:tcW w:w="938" w:type="pct"/>
                  <w:vMerge w:val="continue"/>
                  <w:shd w:val="clear" w:color="auto" w:fill="auto"/>
                  <w:vAlign w:val="center"/>
                </w:tcPr>
                <w:p w14:paraId="334D4367">
                  <w:pPr>
                    <w:pStyle w:val="17"/>
                    <w:rPr>
                      <w:rFonts w:eastAsia="宋体"/>
                      <w:b/>
                      <w:bCs/>
                      <w:color w:val="auto"/>
                    </w:rPr>
                  </w:pPr>
                </w:p>
              </w:tc>
              <w:tc>
                <w:tcPr>
                  <w:tcW w:w="416" w:type="pct"/>
                  <w:shd w:val="clear" w:color="auto" w:fill="auto"/>
                  <w:vAlign w:val="center"/>
                </w:tcPr>
                <w:p w14:paraId="0E655BDA">
                  <w:pPr>
                    <w:pStyle w:val="17"/>
                    <w:rPr>
                      <w:rFonts w:eastAsia="宋体"/>
                      <w:b/>
                      <w:bCs/>
                      <w:color w:val="auto"/>
                    </w:rPr>
                  </w:pPr>
                  <w:r>
                    <w:rPr>
                      <w:rFonts w:hint="eastAsia" w:eastAsia="宋体"/>
                      <w:b/>
                      <w:bCs/>
                      <w:color w:val="auto"/>
                    </w:rPr>
                    <w:t>固体废物</w:t>
                  </w:r>
                </w:p>
              </w:tc>
              <w:tc>
                <w:tcPr>
                  <w:tcW w:w="501" w:type="pct"/>
                  <w:shd w:val="clear" w:color="auto" w:fill="auto"/>
                  <w:vAlign w:val="center"/>
                </w:tcPr>
                <w:p w14:paraId="36043AD5">
                  <w:pPr>
                    <w:pStyle w:val="17"/>
                    <w:rPr>
                      <w:rFonts w:eastAsia="宋体"/>
                      <w:b/>
                      <w:bCs/>
                      <w:color w:val="auto"/>
                    </w:rPr>
                  </w:pPr>
                  <w:r>
                    <w:rPr>
                      <w:rFonts w:hint="eastAsia" w:eastAsia="宋体"/>
                      <w:b/>
                      <w:bCs/>
                      <w:color w:val="auto"/>
                    </w:rPr>
                    <w:t>副产品</w:t>
                  </w:r>
                </w:p>
              </w:tc>
              <w:tc>
                <w:tcPr>
                  <w:tcW w:w="1237" w:type="pct"/>
                  <w:shd w:val="clear" w:color="auto" w:fill="auto"/>
                  <w:vAlign w:val="center"/>
                </w:tcPr>
                <w:p w14:paraId="23DB5F20">
                  <w:pPr>
                    <w:pStyle w:val="17"/>
                    <w:rPr>
                      <w:rFonts w:eastAsia="宋体"/>
                      <w:b/>
                      <w:bCs/>
                      <w:color w:val="auto"/>
                    </w:rPr>
                  </w:pPr>
                  <w:r>
                    <w:rPr>
                      <w:rFonts w:hint="eastAsia" w:eastAsia="宋体"/>
                      <w:b/>
                      <w:bCs/>
                      <w:color w:val="auto"/>
                    </w:rPr>
                    <w:t>判定依据</w:t>
                  </w:r>
                </w:p>
              </w:tc>
            </w:tr>
            <w:tr w14:paraId="20D137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9" w:type="pct"/>
                  <w:shd w:val="clear" w:color="auto" w:fill="auto"/>
                  <w:vAlign w:val="center"/>
                </w:tcPr>
                <w:p w14:paraId="5E98D07D">
                  <w:pPr>
                    <w:pStyle w:val="17"/>
                    <w:rPr>
                      <w:rFonts w:hint="eastAsia" w:eastAsia="宋体"/>
                      <w:color w:val="auto"/>
                      <w:lang w:val="en-US" w:eastAsia="zh-CN"/>
                    </w:rPr>
                  </w:pPr>
                  <w:r>
                    <w:rPr>
                      <w:rFonts w:hint="eastAsia" w:eastAsia="宋体"/>
                      <w:color w:val="auto"/>
                      <w:lang w:val="en-US" w:eastAsia="zh-CN"/>
                    </w:rPr>
                    <w:t>1</w:t>
                  </w:r>
                </w:p>
              </w:tc>
              <w:tc>
                <w:tcPr>
                  <w:tcW w:w="649" w:type="pct"/>
                  <w:shd w:val="clear" w:color="auto" w:fill="auto"/>
                  <w:vAlign w:val="center"/>
                </w:tcPr>
                <w:p w14:paraId="22703213">
                  <w:pPr>
                    <w:pStyle w:val="17"/>
                    <w:rPr>
                      <w:rFonts w:hint="eastAsia" w:eastAsia="宋体"/>
                      <w:color w:val="auto"/>
                      <w:lang w:val="en-US" w:eastAsia="zh-CN"/>
                    </w:rPr>
                  </w:pPr>
                  <w:r>
                    <w:rPr>
                      <w:rFonts w:hint="eastAsia" w:eastAsia="宋体"/>
                      <w:color w:val="auto"/>
                      <w:lang w:val="en-US" w:eastAsia="zh-CN"/>
                    </w:rPr>
                    <w:t>泥饼</w:t>
                  </w:r>
                </w:p>
              </w:tc>
              <w:tc>
                <w:tcPr>
                  <w:tcW w:w="495" w:type="pct"/>
                  <w:shd w:val="clear" w:color="auto" w:fill="auto"/>
                  <w:vAlign w:val="center"/>
                </w:tcPr>
                <w:p w14:paraId="2D9042C4">
                  <w:pPr>
                    <w:pStyle w:val="17"/>
                    <w:ind w:firstLine="0" w:firstLineChars="0"/>
                    <w:rPr>
                      <w:rFonts w:hint="eastAsia" w:eastAsia="宋体"/>
                      <w:color w:val="auto"/>
                    </w:rPr>
                  </w:pPr>
                  <w:r>
                    <w:rPr>
                      <w:rFonts w:hint="eastAsia" w:eastAsia="宋体"/>
                      <w:color w:val="auto"/>
                    </w:rPr>
                    <w:t>钻井</w:t>
                  </w:r>
                </w:p>
              </w:tc>
              <w:tc>
                <w:tcPr>
                  <w:tcW w:w="491" w:type="pct"/>
                  <w:shd w:val="clear" w:color="auto" w:fill="auto"/>
                  <w:vAlign w:val="center"/>
                </w:tcPr>
                <w:p w14:paraId="0BD762AA">
                  <w:pPr>
                    <w:pStyle w:val="17"/>
                    <w:ind w:firstLine="0" w:firstLineChars="0"/>
                    <w:rPr>
                      <w:rFonts w:hint="eastAsia" w:eastAsia="宋体"/>
                      <w:color w:val="auto"/>
                    </w:rPr>
                  </w:pPr>
                  <w:r>
                    <w:rPr>
                      <w:rFonts w:hint="eastAsia" w:eastAsia="宋体"/>
                      <w:color w:val="auto"/>
                    </w:rPr>
                    <w:t>固态</w:t>
                  </w:r>
                </w:p>
              </w:tc>
              <w:tc>
                <w:tcPr>
                  <w:tcW w:w="938" w:type="pct"/>
                  <w:shd w:val="clear" w:color="auto" w:fill="auto"/>
                  <w:vAlign w:val="center"/>
                </w:tcPr>
                <w:p w14:paraId="1F8E5D50">
                  <w:pPr>
                    <w:pStyle w:val="17"/>
                    <w:ind w:firstLine="0" w:firstLineChars="0"/>
                    <w:rPr>
                      <w:rFonts w:hint="default" w:ascii="Times New Roman" w:hAnsi="Times New Roman" w:eastAsia="宋体" w:cs="Times New Roman"/>
                      <w:color w:val="auto"/>
                      <w:kern w:val="0"/>
                      <w:sz w:val="21"/>
                      <w:szCs w:val="21"/>
                      <w:lang w:val="en-US" w:eastAsia="zh-CN" w:bidi="ar-SA"/>
                    </w:rPr>
                  </w:pPr>
                  <w:r>
                    <w:rPr>
                      <w:rFonts w:hint="eastAsia" w:eastAsia="宋体"/>
                      <w:color w:val="auto"/>
                    </w:rPr>
                    <w:t>岩土</w:t>
                  </w:r>
                  <w:r>
                    <w:rPr>
                      <w:rFonts w:hint="eastAsia" w:eastAsia="宋体"/>
                      <w:color w:val="auto"/>
                      <w:lang w:eastAsia="zh-CN"/>
                    </w:rPr>
                    <w:t>、</w:t>
                  </w:r>
                  <w:r>
                    <w:rPr>
                      <w:rFonts w:hint="eastAsia" w:eastAsia="宋体"/>
                      <w:color w:val="auto"/>
                    </w:rPr>
                    <w:t>废钻井液、</w:t>
                  </w:r>
                  <w:r>
                    <w:rPr>
                      <w:rFonts w:hint="eastAsia" w:eastAsia="宋体"/>
                      <w:color w:val="auto"/>
                      <w:lang w:val="en-US" w:eastAsia="zh-CN"/>
                    </w:rPr>
                    <w:t>泥浆</w:t>
                  </w:r>
                </w:p>
              </w:tc>
              <w:tc>
                <w:tcPr>
                  <w:tcW w:w="416" w:type="pct"/>
                  <w:shd w:val="clear" w:color="auto" w:fill="auto"/>
                  <w:vAlign w:val="center"/>
                </w:tcPr>
                <w:p w14:paraId="6AA0DF1C">
                  <w:pPr>
                    <w:pStyle w:val="17"/>
                    <w:ind w:firstLine="0" w:firstLineChars="0"/>
                    <w:rPr>
                      <w:rFonts w:hint="eastAsia" w:eastAsia="宋体"/>
                      <w:color w:val="auto"/>
                    </w:rPr>
                  </w:pPr>
                  <w:r>
                    <w:rPr>
                      <w:rFonts w:hint="eastAsia" w:eastAsia="宋体"/>
                      <w:color w:val="auto"/>
                    </w:rPr>
                    <w:t>√</w:t>
                  </w:r>
                </w:p>
              </w:tc>
              <w:tc>
                <w:tcPr>
                  <w:tcW w:w="501" w:type="pct"/>
                  <w:shd w:val="clear" w:color="auto" w:fill="auto"/>
                  <w:vAlign w:val="center"/>
                </w:tcPr>
                <w:p w14:paraId="02794A7A">
                  <w:pPr>
                    <w:pStyle w:val="17"/>
                    <w:ind w:firstLine="0" w:firstLineChars="0"/>
                    <w:rPr>
                      <w:rFonts w:hint="eastAsia" w:eastAsia="宋体"/>
                      <w:color w:val="auto"/>
                    </w:rPr>
                  </w:pPr>
                  <w:r>
                    <w:rPr>
                      <w:rFonts w:hint="eastAsia" w:eastAsia="宋体"/>
                      <w:color w:val="auto"/>
                    </w:rPr>
                    <w:t>-</w:t>
                  </w:r>
                </w:p>
              </w:tc>
              <w:tc>
                <w:tcPr>
                  <w:tcW w:w="1237" w:type="pct"/>
                  <w:vMerge w:val="restart"/>
                  <w:shd w:val="clear" w:color="auto" w:fill="auto"/>
                  <w:vAlign w:val="center"/>
                </w:tcPr>
                <w:p w14:paraId="71FDE12B">
                  <w:pPr>
                    <w:pStyle w:val="17"/>
                    <w:ind w:firstLine="0" w:firstLineChars="0"/>
                    <w:rPr>
                      <w:rFonts w:hint="eastAsia" w:eastAsia="宋体"/>
                      <w:color w:val="auto"/>
                    </w:rPr>
                  </w:pPr>
                  <w:r>
                    <w:rPr>
                      <w:rFonts w:hint="eastAsia" w:eastAsia="宋体"/>
                      <w:color w:val="auto"/>
                    </w:rPr>
                    <w:t>《固体废物鉴别标准 通则》（GB 34330-2017）</w:t>
                  </w:r>
                </w:p>
              </w:tc>
            </w:tr>
            <w:tr w14:paraId="2B6230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9" w:type="pct"/>
                  <w:shd w:val="clear" w:color="auto" w:fill="auto"/>
                  <w:vAlign w:val="center"/>
                </w:tcPr>
                <w:p w14:paraId="4015FF16">
                  <w:pPr>
                    <w:pStyle w:val="17"/>
                    <w:rPr>
                      <w:rFonts w:hint="eastAsia" w:eastAsia="宋体"/>
                      <w:color w:val="auto"/>
                      <w:lang w:eastAsia="zh-CN"/>
                    </w:rPr>
                  </w:pPr>
                  <w:r>
                    <w:rPr>
                      <w:rFonts w:hint="eastAsia" w:eastAsia="宋体"/>
                      <w:color w:val="auto"/>
                      <w:lang w:val="en-US" w:eastAsia="zh-CN"/>
                    </w:rPr>
                    <w:t>2</w:t>
                  </w:r>
                </w:p>
              </w:tc>
              <w:tc>
                <w:tcPr>
                  <w:tcW w:w="649" w:type="pct"/>
                  <w:shd w:val="clear" w:color="auto" w:fill="auto"/>
                  <w:vAlign w:val="center"/>
                </w:tcPr>
                <w:p w14:paraId="7D26CEFD">
                  <w:pPr>
                    <w:pStyle w:val="17"/>
                    <w:rPr>
                      <w:rFonts w:eastAsia="宋体"/>
                      <w:color w:val="auto"/>
                    </w:rPr>
                  </w:pPr>
                  <w:r>
                    <w:rPr>
                      <w:rFonts w:hint="eastAsia" w:eastAsia="宋体"/>
                      <w:color w:val="auto"/>
                    </w:rPr>
                    <w:t>施工</w:t>
                  </w:r>
                </w:p>
                <w:p w14:paraId="1B6B291F">
                  <w:pPr>
                    <w:pStyle w:val="17"/>
                    <w:rPr>
                      <w:rFonts w:eastAsia="宋体"/>
                      <w:color w:val="auto"/>
                    </w:rPr>
                  </w:pPr>
                  <w:r>
                    <w:rPr>
                      <w:rFonts w:hint="eastAsia" w:eastAsia="宋体"/>
                      <w:color w:val="auto"/>
                    </w:rPr>
                    <w:t>废料</w:t>
                  </w:r>
                </w:p>
              </w:tc>
              <w:tc>
                <w:tcPr>
                  <w:tcW w:w="495" w:type="pct"/>
                  <w:shd w:val="clear" w:color="auto" w:fill="auto"/>
                  <w:vAlign w:val="center"/>
                </w:tcPr>
                <w:p w14:paraId="0C3D3B81">
                  <w:pPr>
                    <w:pStyle w:val="17"/>
                    <w:rPr>
                      <w:rFonts w:eastAsia="宋体"/>
                      <w:color w:val="auto"/>
                    </w:rPr>
                  </w:pPr>
                  <w:r>
                    <w:rPr>
                      <w:rFonts w:hint="eastAsia" w:eastAsia="宋体"/>
                      <w:color w:val="auto"/>
                    </w:rPr>
                    <w:t>钻井</w:t>
                  </w:r>
                </w:p>
              </w:tc>
              <w:tc>
                <w:tcPr>
                  <w:tcW w:w="491" w:type="pct"/>
                  <w:shd w:val="clear" w:color="auto" w:fill="auto"/>
                  <w:vAlign w:val="center"/>
                </w:tcPr>
                <w:p w14:paraId="4A6EFA45">
                  <w:pPr>
                    <w:pStyle w:val="17"/>
                    <w:rPr>
                      <w:rFonts w:eastAsia="宋体"/>
                      <w:color w:val="auto"/>
                    </w:rPr>
                  </w:pPr>
                  <w:r>
                    <w:rPr>
                      <w:rFonts w:hint="eastAsia" w:eastAsia="宋体"/>
                      <w:color w:val="auto"/>
                    </w:rPr>
                    <w:t>固态</w:t>
                  </w:r>
                </w:p>
              </w:tc>
              <w:tc>
                <w:tcPr>
                  <w:tcW w:w="938" w:type="pct"/>
                  <w:shd w:val="clear" w:color="auto" w:fill="auto"/>
                  <w:vAlign w:val="center"/>
                </w:tcPr>
                <w:p w14:paraId="35D361FA">
                  <w:pPr>
                    <w:pStyle w:val="17"/>
                    <w:rPr>
                      <w:rFonts w:eastAsia="宋体"/>
                      <w:color w:val="auto"/>
                    </w:rPr>
                  </w:pPr>
                  <w:r>
                    <w:rPr>
                      <w:rFonts w:hint="eastAsia" w:eastAsia="宋体"/>
                      <w:color w:val="auto"/>
                    </w:rPr>
                    <w:t>废包装、废防腐材料和废混凝土</w:t>
                  </w:r>
                </w:p>
              </w:tc>
              <w:tc>
                <w:tcPr>
                  <w:tcW w:w="416" w:type="pct"/>
                  <w:shd w:val="clear" w:color="auto" w:fill="auto"/>
                  <w:vAlign w:val="center"/>
                </w:tcPr>
                <w:p w14:paraId="158A865B">
                  <w:pPr>
                    <w:pStyle w:val="17"/>
                    <w:rPr>
                      <w:rFonts w:eastAsia="宋体"/>
                      <w:color w:val="auto"/>
                    </w:rPr>
                  </w:pPr>
                  <w:r>
                    <w:rPr>
                      <w:rFonts w:hint="eastAsia" w:eastAsia="宋体"/>
                      <w:color w:val="auto"/>
                    </w:rPr>
                    <w:t>√</w:t>
                  </w:r>
                </w:p>
              </w:tc>
              <w:tc>
                <w:tcPr>
                  <w:tcW w:w="501" w:type="pct"/>
                  <w:shd w:val="clear" w:color="auto" w:fill="auto"/>
                  <w:vAlign w:val="center"/>
                </w:tcPr>
                <w:p w14:paraId="7F306334">
                  <w:pPr>
                    <w:pStyle w:val="17"/>
                    <w:rPr>
                      <w:rFonts w:eastAsia="宋体"/>
                      <w:color w:val="auto"/>
                    </w:rPr>
                  </w:pPr>
                  <w:r>
                    <w:rPr>
                      <w:rFonts w:hint="eastAsia" w:eastAsia="宋体"/>
                      <w:color w:val="auto"/>
                    </w:rPr>
                    <w:t>-</w:t>
                  </w:r>
                </w:p>
              </w:tc>
              <w:tc>
                <w:tcPr>
                  <w:tcW w:w="1237" w:type="pct"/>
                  <w:vMerge w:val="continue"/>
                  <w:shd w:val="clear" w:color="auto" w:fill="auto"/>
                  <w:vAlign w:val="center"/>
                </w:tcPr>
                <w:p w14:paraId="54178FD9">
                  <w:pPr>
                    <w:pStyle w:val="17"/>
                    <w:rPr>
                      <w:rFonts w:eastAsia="宋体"/>
                      <w:color w:val="auto"/>
                    </w:rPr>
                  </w:pPr>
                </w:p>
              </w:tc>
            </w:tr>
            <w:tr w14:paraId="356CBA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9" w:type="pct"/>
                  <w:shd w:val="clear" w:color="auto" w:fill="auto"/>
                  <w:vAlign w:val="center"/>
                </w:tcPr>
                <w:p w14:paraId="49B2D7BF">
                  <w:pPr>
                    <w:pStyle w:val="17"/>
                    <w:rPr>
                      <w:rFonts w:hint="default" w:eastAsia="宋体"/>
                      <w:color w:val="auto"/>
                      <w:lang w:val="en-US" w:eastAsia="zh-CN"/>
                    </w:rPr>
                  </w:pPr>
                  <w:r>
                    <w:rPr>
                      <w:rFonts w:hint="eastAsia" w:eastAsia="宋体"/>
                      <w:color w:val="auto"/>
                      <w:lang w:val="en-US" w:eastAsia="zh-CN"/>
                    </w:rPr>
                    <w:t>3</w:t>
                  </w:r>
                </w:p>
              </w:tc>
              <w:tc>
                <w:tcPr>
                  <w:tcW w:w="649" w:type="pct"/>
                  <w:shd w:val="clear" w:color="auto" w:fill="auto"/>
                  <w:vAlign w:val="center"/>
                </w:tcPr>
                <w:p w14:paraId="0FF5324A">
                  <w:pPr>
                    <w:pStyle w:val="17"/>
                    <w:rPr>
                      <w:rFonts w:eastAsia="宋体"/>
                      <w:color w:val="auto"/>
                    </w:rPr>
                  </w:pPr>
                  <w:r>
                    <w:rPr>
                      <w:rFonts w:hint="eastAsia" w:eastAsia="宋体"/>
                      <w:color w:val="auto"/>
                    </w:rPr>
                    <w:t>废</w:t>
                  </w:r>
                  <w:r>
                    <w:rPr>
                      <w:rFonts w:hint="eastAsia" w:eastAsia="宋体"/>
                      <w:color w:val="auto"/>
                      <w:lang w:val="en-US" w:eastAsia="zh-CN"/>
                    </w:rPr>
                    <w:t>沾油防渗膜</w:t>
                  </w:r>
                </w:p>
              </w:tc>
              <w:tc>
                <w:tcPr>
                  <w:tcW w:w="495" w:type="pct"/>
                  <w:shd w:val="clear" w:color="auto" w:fill="auto"/>
                  <w:vAlign w:val="center"/>
                </w:tcPr>
                <w:p w14:paraId="2C4A58C1">
                  <w:pPr>
                    <w:pStyle w:val="17"/>
                    <w:rPr>
                      <w:rFonts w:hint="eastAsia" w:eastAsia="宋体"/>
                      <w:color w:val="auto"/>
                      <w:lang w:val="en-US" w:eastAsia="zh-CN"/>
                    </w:rPr>
                  </w:pPr>
                  <w:r>
                    <w:rPr>
                      <w:rFonts w:hint="eastAsia" w:eastAsia="宋体"/>
                      <w:color w:val="auto"/>
                      <w:lang w:val="en-US" w:eastAsia="zh-CN"/>
                    </w:rPr>
                    <w:t>防渗</w:t>
                  </w:r>
                </w:p>
              </w:tc>
              <w:tc>
                <w:tcPr>
                  <w:tcW w:w="491" w:type="pct"/>
                  <w:shd w:val="clear" w:color="auto" w:fill="auto"/>
                  <w:vAlign w:val="center"/>
                </w:tcPr>
                <w:p w14:paraId="376D9C91">
                  <w:pPr>
                    <w:pStyle w:val="17"/>
                    <w:rPr>
                      <w:rFonts w:eastAsia="宋体"/>
                      <w:color w:val="auto"/>
                    </w:rPr>
                  </w:pPr>
                  <w:r>
                    <w:rPr>
                      <w:rFonts w:hint="eastAsia" w:eastAsia="宋体"/>
                      <w:color w:val="auto"/>
                    </w:rPr>
                    <w:t>固态</w:t>
                  </w:r>
                </w:p>
              </w:tc>
              <w:tc>
                <w:tcPr>
                  <w:tcW w:w="938" w:type="pct"/>
                  <w:shd w:val="clear" w:color="auto" w:fill="auto"/>
                  <w:vAlign w:val="center"/>
                </w:tcPr>
                <w:p w14:paraId="2D78977A">
                  <w:pPr>
                    <w:pStyle w:val="17"/>
                    <w:rPr>
                      <w:rFonts w:hint="default" w:eastAsia="宋体"/>
                      <w:color w:val="auto"/>
                      <w:lang w:val="en-US" w:eastAsia="zh-CN"/>
                    </w:rPr>
                  </w:pPr>
                  <w:r>
                    <w:rPr>
                      <w:rFonts w:hint="eastAsia" w:eastAsia="宋体"/>
                      <w:color w:val="auto"/>
                      <w:lang w:val="en-US" w:eastAsia="zh-CN"/>
                    </w:rPr>
                    <w:t>油类、PVC膜</w:t>
                  </w:r>
                </w:p>
              </w:tc>
              <w:tc>
                <w:tcPr>
                  <w:tcW w:w="416" w:type="pct"/>
                  <w:shd w:val="clear" w:color="auto" w:fill="auto"/>
                  <w:vAlign w:val="center"/>
                </w:tcPr>
                <w:p w14:paraId="0825312B">
                  <w:pPr>
                    <w:pStyle w:val="17"/>
                    <w:ind w:firstLine="0" w:firstLineChars="0"/>
                    <w:rPr>
                      <w:rFonts w:eastAsia="宋体"/>
                      <w:color w:val="auto"/>
                    </w:rPr>
                  </w:pPr>
                  <w:r>
                    <w:rPr>
                      <w:rFonts w:hint="eastAsia" w:eastAsia="宋体"/>
                      <w:color w:val="auto"/>
                    </w:rPr>
                    <w:t>√</w:t>
                  </w:r>
                </w:p>
              </w:tc>
              <w:tc>
                <w:tcPr>
                  <w:tcW w:w="501" w:type="pct"/>
                  <w:shd w:val="clear" w:color="auto" w:fill="auto"/>
                  <w:vAlign w:val="center"/>
                </w:tcPr>
                <w:p w14:paraId="38AD6745">
                  <w:pPr>
                    <w:pStyle w:val="17"/>
                    <w:ind w:firstLine="0" w:firstLineChars="0"/>
                    <w:rPr>
                      <w:rFonts w:eastAsia="宋体"/>
                      <w:color w:val="auto"/>
                    </w:rPr>
                  </w:pPr>
                  <w:r>
                    <w:rPr>
                      <w:rFonts w:hint="eastAsia" w:eastAsia="宋体"/>
                      <w:color w:val="auto"/>
                    </w:rPr>
                    <w:t>-</w:t>
                  </w:r>
                </w:p>
              </w:tc>
              <w:tc>
                <w:tcPr>
                  <w:tcW w:w="1237" w:type="pct"/>
                  <w:vMerge w:val="continue"/>
                  <w:shd w:val="clear" w:color="auto" w:fill="auto"/>
                  <w:vAlign w:val="center"/>
                </w:tcPr>
                <w:p w14:paraId="21736C81">
                  <w:pPr>
                    <w:pStyle w:val="17"/>
                    <w:rPr>
                      <w:rFonts w:eastAsia="宋体"/>
                      <w:color w:val="auto"/>
                    </w:rPr>
                  </w:pPr>
                </w:p>
              </w:tc>
            </w:tr>
            <w:tr w14:paraId="66AA5D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9" w:type="pct"/>
                  <w:shd w:val="clear" w:color="auto" w:fill="auto"/>
                  <w:vAlign w:val="center"/>
                </w:tcPr>
                <w:p w14:paraId="669C66C1">
                  <w:pPr>
                    <w:pStyle w:val="17"/>
                    <w:ind w:firstLine="0" w:firstLineChars="0"/>
                    <w:rPr>
                      <w:rFonts w:hint="eastAsia" w:eastAsia="宋体"/>
                      <w:color w:val="auto"/>
                      <w:lang w:val="en-US" w:eastAsia="zh-CN"/>
                    </w:rPr>
                  </w:pPr>
                  <w:r>
                    <w:rPr>
                      <w:rFonts w:hint="eastAsia"/>
                      <w:color w:val="auto"/>
                      <w:lang w:val="en-US" w:eastAsia="zh-CN"/>
                    </w:rPr>
                    <w:t>4</w:t>
                  </w:r>
                </w:p>
              </w:tc>
              <w:tc>
                <w:tcPr>
                  <w:tcW w:w="649" w:type="pct"/>
                  <w:shd w:val="clear" w:color="auto" w:fill="auto"/>
                  <w:vAlign w:val="center"/>
                </w:tcPr>
                <w:p w14:paraId="728DD88C">
                  <w:pPr>
                    <w:pStyle w:val="17"/>
                    <w:rPr>
                      <w:rFonts w:eastAsia="宋体"/>
                      <w:color w:val="auto"/>
                    </w:rPr>
                  </w:pPr>
                  <w:r>
                    <w:rPr>
                      <w:rFonts w:hint="eastAsia" w:eastAsia="宋体"/>
                      <w:color w:val="auto"/>
                    </w:rPr>
                    <w:t>生活</w:t>
                  </w:r>
                </w:p>
                <w:p w14:paraId="6437F92A">
                  <w:pPr>
                    <w:pStyle w:val="17"/>
                    <w:ind w:firstLine="0" w:firstLineChars="0"/>
                    <w:rPr>
                      <w:rFonts w:hint="eastAsia" w:eastAsia="宋体"/>
                      <w:color w:val="auto"/>
                    </w:rPr>
                  </w:pPr>
                  <w:r>
                    <w:rPr>
                      <w:rFonts w:hint="eastAsia" w:eastAsia="宋体"/>
                      <w:color w:val="auto"/>
                    </w:rPr>
                    <w:t>垃圾</w:t>
                  </w:r>
                </w:p>
              </w:tc>
              <w:tc>
                <w:tcPr>
                  <w:tcW w:w="495" w:type="pct"/>
                  <w:shd w:val="clear" w:color="auto" w:fill="auto"/>
                  <w:vAlign w:val="center"/>
                </w:tcPr>
                <w:p w14:paraId="310F61FA">
                  <w:pPr>
                    <w:pStyle w:val="17"/>
                    <w:ind w:firstLine="0" w:firstLineChars="0"/>
                    <w:rPr>
                      <w:rFonts w:hint="eastAsia" w:eastAsia="宋体"/>
                      <w:color w:val="auto"/>
                    </w:rPr>
                  </w:pPr>
                  <w:r>
                    <w:rPr>
                      <w:rFonts w:hint="eastAsia" w:eastAsia="宋体"/>
                      <w:color w:val="auto"/>
                    </w:rPr>
                    <w:t>施工人员</w:t>
                  </w:r>
                </w:p>
              </w:tc>
              <w:tc>
                <w:tcPr>
                  <w:tcW w:w="491" w:type="pct"/>
                  <w:shd w:val="clear" w:color="auto" w:fill="auto"/>
                  <w:vAlign w:val="center"/>
                </w:tcPr>
                <w:p w14:paraId="5E142D46">
                  <w:pPr>
                    <w:pStyle w:val="17"/>
                    <w:ind w:firstLine="0" w:firstLineChars="0"/>
                    <w:rPr>
                      <w:rFonts w:hint="eastAsia" w:eastAsia="宋体"/>
                      <w:color w:val="auto"/>
                    </w:rPr>
                  </w:pPr>
                  <w:r>
                    <w:rPr>
                      <w:rFonts w:hint="eastAsia" w:eastAsia="宋体"/>
                      <w:color w:val="auto"/>
                    </w:rPr>
                    <w:t>固态</w:t>
                  </w:r>
                </w:p>
              </w:tc>
              <w:tc>
                <w:tcPr>
                  <w:tcW w:w="938" w:type="pct"/>
                  <w:shd w:val="clear" w:color="auto" w:fill="auto"/>
                  <w:vAlign w:val="center"/>
                </w:tcPr>
                <w:p w14:paraId="5FAFE40F">
                  <w:pPr>
                    <w:pStyle w:val="17"/>
                    <w:ind w:firstLine="0" w:firstLineChars="0"/>
                    <w:rPr>
                      <w:rFonts w:hint="eastAsia" w:eastAsia="宋体"/>
                      <w:color w:val="auto"/>
                    </w:rPr>
                  </w:pPr>
                  <w:r>
                    <w:rPr>
                      <w:rFonts w:hint="eastAsia" w:eastAsia="宋体"/>
                      <w:color w:val="auto"/>
                    </w:rPr>
                    <w:t>塑料、废纸</w:t>
                  </w:r>
                </w:p>
              </w:tc>
              <w:tc>
                <w:tcPr>
                  <w:tcW w:w="416" w:type="pct"/>
                  <w:shd w:val="clear" w:color="auto" w:fill="auto"/>
                  <w:vAlign w:val="center"/>
                </w:tcPr>
                <w:p w14:paraId="45DF7A0D">
                  <w:pPr>
                    <w:pStyle w:val="17"/>
                    <w:ind w:firstLine="0" w:firstLineChars="0"/>
                    <w:rPr>
                      <w:rFonts w:hint="eastAsia" w:eastAsia="宋体"/>
                      <w:color w:val="auto"/>
                    </w:rPr>
                  </w:pPr>
                  <w:r>
                    <w:rPr>
                      <w:rFonts w:hint="eastAsia" w:eastAsia="宋体"/>
                      <w:color w:val="auto"/>
                    </w:rPr>
                    <w:t>√</w:t>
                  </w:r>
                </w:p>
              </w:tc>
              <w:tc>
                <w:tcPr>
                  <w:tcW w:w="501" w:type="pct"/>
                  <w:shd w:val="clear" w:color="auto" w:fill="auto"/>
                  <w:vAlign w:val="center"/>
                </w:tcPr>
                <w:p w14:paraId="3C514D0F">
                  <w:pPr>
                    <w:pStyle w:val="17"/>
                    <w:ind w:firstLine="0" w:firstLineChars="0"/>
                    <w:rPr>
                      <w:rFonts w:hint="eastAsia" w:eastAsia="宋体"/>
                      <w:color w:val="auto"/>
                    </w:rPr>
                  </w:pPr>
                  <w:r>
                    <w:rPr>
                      <w:rFonts w:hint="eastAsia" w:eastAsia="宋体"/>
                      <w:color w:val="auto"/>
                    </w:rPr>
                    <w:t>-</w:t>
                  </w:r>
                </w:p>
              </w:tc>
              <w:tc>
                <w:tcPr>
                  <w:tcW w:w="1237" w:type="pct"/>
                  <w:vMerge w:val="continue"/>
                  <w:shd w:val="clear" w:color="auto" w:fill="auto"/>
                  <w:vAlign w:val="center"/>
                </w:tcPr>
                <w:p w14:paraId="5658E76A">
                  <w:pPr>
                    <w:pStyle w:val="17"/>
                    <w:ind w:firstLine="0" w:firstLineChars="0"/>
                    <w:rPr>
                      <w:rFonts w:hint="eastAsia" w:eastAsia="宋体"/>
                      <w:color w:val="auto"/>
                    </w:rPr>
                  </w:pPr>
                </w:p>
              </w:tc>
            </w:tr>
          </w:tbl>
          <w:p w14:paraId="73967520">
            <w:pPr>
              <w:pStyle w:val="3"/>
              <w:ind w:firstLine="480"/>
              <w:rPr>
                <w:rFonts w:eastAsia="宋体"/>
                <w:color w:val="auto"/>
              </w:rPr>
            </w:pPr>
            <w:r>
              <w:rPr>
                <w:rFonts w:hint="eastAsia" w:eastAsia="宋体"/>
                <w:color w:val="auto"/>
              </w:rPr>
              <w:t>②</w:t>
            </w:r>
            <w:r>
              <w:rPr>
                <w:rFonts w:eastAsia="宋体"/>
                <w:color w:val="auto"/>
              </w:rPr>
              <w:t>危险废物属性判定：根据《国家危险废物名录》（20</w:t>
            </w:r>
            <w:r>
              <w:rPr>
                <w:rFonts w:hint="eastAsia" w:eastAsia="宋体"/>
                <w:color w:val="auto"/>
              </w:rPr>
              <w:t>21</w:t>
            </w:r>
            <w:r>
              <w:rPr>
                <w:rFonts w:eastAsia="宋体"/>
                <w:color w:val="auto"/>
              </w:rPr>
              <w:t>年版）</w:t>
            </w:r>
            <w:r>
              <w:rPr>
                <w:rFonts w:hint="eastAsia" w:eastAsia="宋体"/>
                <w:color w:val="auto"/>
              </w:rPr>
              <w:t>、《建设项目危险废物环境影响评价指南》</w:t>
            </w:r>
            <w:r>
              <w:rPr>
                <w:rFonts w:eastAsia="宋体"/>
                <w:color w:val="auto"/>
              </w:rPr>
              <w:t>以及《危险废物鉴别标准》，判定建设项目的固体废物是否属于危险废物</w:t>
            </w:r>
            <w:r>
              <w:rPr>
                <w:rFonts w:hint="eastAsia" w:eastAsia="宋体"/>
                <w:color w:val="auto"/>
              </w:rPr>
              <w:t>。</w:t>
            </w:r>
          </w:p>
          <w:p w14:paraId="16DE8546">
            <w:pPr>
              <w:pStyle w:val="3"/>
              <w:ind w:firstLine="480"/>
              <w:rPr>
                <w:rFonts w:eastAsia="宋体"/>
                <w:color w:val="auto"/>
              </w:rPr>
            </w:pPr>
            <w:r>
              <w:rPr>
                <w:rFonts w:hint="eastAsia" w:eastAsia="宋体"/>
                <w:color w:val="auto"/>
              </w:rPr>
              <w:t>水基钻井液（水基泥浆）、废钻井液（废弃泥浆、岩屑）</w:t>
            </w:r>
          </w:p>
          <w:p w14:paraId="0C72389B">
            <w:pPr>
              <w:pStyle w:val="3"/>
              <w:ind w:firstLine="480"/>
              <w:rPr>
                <w:rFonts w:eastAsia="宋体"/>
                <w:color w:val="auto"/>
              </w:rPr>
            </w:pPr>
            <w:r>
              <w:rPr>
                <w:rFonts w:hint="eastAsia" w:eastAsia="宋体"/>
                <w:color w:val="auto"/>
              </w:rPr>
              <w:t>a.</w:t>
            </w:r>
            <w:r>
              <w:rPr>
                <w:rFonts w:eastAsia="宋体"/>
                <w:color w:val="auto"/>
              </w:rPr>
              <w:t>根据中国石油化工股份有限公司江苏油田分公司提供</w:t>
            </w:r>
            <w:r>
              <w:rPr>
                <w:rFonts w:hint="eastAsia" w:eastAsia="宋体"/>
                <w:color w:val="auto"/>
              </w:rPr>
              <w:t>的《江苏油田2019~2022年石油勘探项目</w:t>
            </w:r>
            <w:r>
              <w:rPr>
                <w:rFonts w:hint="eastAsia" w:eastAsia="宋体"/>
                <w:color w:val="auto"/>
                <w:lang w:val="en-US" w:eastAsia="zh-CN"/>
              </w:rPr>
              <w:t>环境影响报告表</w:t>
            </w:r>
            <w:r>
              <w:rPr>
                <w:rFonts w:hint="eastAsia" w:eastAsia="宋体"/>
                <w:color w:val="auto"/>
              </w:rPr>
              <w:t>》（</w:t>
            </w:r>
            <w:r>
              <w:rPr>
                <w:rFonts w:hint="eastAsia" w:eastAsia="宋体"/>
                <w:color w:val="auto"/>
                <w:lang w:val="en-US" w:eastAsia="zh-CN"/>
              </w:rPr>
              <w:t>审批文号：</w:t>
            </w:r>
            <w:r>
              <w:rPr>
                <w:rFonts w:hint="eastAsia" w:eastAsia="宋体"/>
                <w:color w:val="auto"/>
              </w:rPr>
              <w:t>苏环审</w:t>
            </w:r>
            <w:r>
              <w:rPr>
                <w:rFonts w:hint="default" w:ascii="Times New Roman" w:hAnsi="Times New Roman" w:eastAsia="宋体" w:cs="Times New Roman"/>
                <w:bCs/>
                <w:color w:val="auto"/>
                <w:spacing w:val="4"/>
                <w:sz w:val="24"/>
                <w:lang w:val="en-US" w:eastAsia="zh-CN"/>
              </w:rPr>
              <w:t>〔</w:t>
            </w:r>
            <w:r>
              <w:rPr>
                <w:rFonts w:hint="default" w:ascii="Times New Roman" w:hAnsi="Times New Roman" w:cs="Times New Roman"/>
                <w:bCs/>
                <w:color w:val="auto"/>
                <w:spacing w:val="4"/>
                <w:sz w:val="24"/>
                <w:lang w:val="en-US" w:eastAsia="zh-CN"/>
              </w:rPr>
              <w:t>202</w:t>
            </w:r>
            <w:r>
              <w:rPr>
                <w:rFonts w:hint="eastAsia" w:ascii="Times New Roman" w:hAnsi="Times New Roman" w:cs="Times New Roman"/>
                <w:bCs/>
                <w:color w:val="auto"/>
                <w:spacing w:val="4"/>
                <w:sz w:val="24"/>
                <w:lang w:val="en-US" w:eastAsia="zh-CN"/>
              </w:rPr>
              <w:t>0</w:t>
            </w:r>
            <w:r>
              <w:rPr>
                <w:rFonts w:hint="default" w:ascii="Times New Roman" w:hAnsi="Times New Roman" w:eastAsia="宋体" w:cs="Times New Roman"/>
                <w:bCs/>
                <w:color w:val="auto"/>
                <w:spacing w:val="4"/>
                <w:sz w:val="24"/>
                <w:lang w:val="en-US" w:eastAsia="zh-CN"/>
              </w:rPr>
              <w:t>〕</w:t>
            </w:r>
            <w:r>
              <w:rPr>
                <w:rFonts w:hint="eastAsia" w:eastAsia="宋体"/>
                <w:color w:val="auto"/>
              </w:rPr>
              <w:t>39号）内容可知，该项目水基钻井液、废弃钻井液（钻井泥浆、钻井岩屑）为一般固废。</w:t>
            </w:r>
          </w:p>
          <w:p w14:paraId="2938D722">
            <w:pPr>
              <w:pStyle w:val="3"/>
              <w:ind w:firstLine="480"/>
              <w:rPr>
                <w:rFonts w:eastAsia="宋体"/>
                <w:color w:val="auto"/>
              </w:rPr>
            </w:pPr>
            <w:r>
              <w:rPr>
                <w:rFonts w:hint="eastAsia" w:eastAsia="宋体"/>
                <w:color w:val="auto"/>
              </w:rPr>
              <w:t>b.</w:t>
            </w:r>
            <w:r>
              <w:rPr>
                <w:rFonts w:eastAsia="宋体"/>
                <w:color w:val="auto"/>
              </w:rPr>
              <w:t>通过</w:t>
            </w:r>
            <w:r>
              <w:rPr>
                <w:rFonts w:hint="eastAsia" w:eastAsia="宋体"/>
                <w:color w:val="auto"/>
              </w:rPr>
              <w:t>表2-5水基钻井液成分</w:t>
            </w:r>
            <w:r>
              <w:rPr>
                <w:rFonts w:eastAsia="宋体"/>
                <w:color w:val="auto"/>
              </w:rPr>
              <w:t>可知，水基废弃钻井液是一种含粘土、加重材料、各种化学处理剂及钻屑的多项稳态胶体悬浮体系，对环境有影响的主要成分是烃类、盐类、各种聚合物及微量的金属离子。</w:t>
            </w:r>
          </w:p>
          <w:p w14:paraId="380FA2BF">
            <w:pPr>
              <w:pStyle w:val="3"/>
              <w:ind w:firstLine="480"/>
              <w:rPr>
                <w:rFonts w:eastAsia="宋体"/>
                <w:color w:val="auto"/>
              </w:rPr>
            </w:pPr>
            <w:r>
              <w:rPr>
                <w:rFonts w:eastAsia="宋体"/>
                <w:color w:val="auto"/>
              </w:rPr>
              <w:t>根据《</w:t>
            </w:r>
            <w:r>
              <w:rPr>
                <w:rFonts w:hint="eastAsia" w:eastAsia="宋体"/>
                <w:color w:val="auto"/>
              </w:rPr>
              <w:t>中国石化</w:t>
            </w:r>
            <w:r>
              <w:rPr>
                <w:rFonts w:eastAsia="宋体"/>
                <w:color w:val="auto"/>
              </w:rPr>
              <w:t>勘探开发水基废弃钻井液性质鉴别及环境安全性</w:t>
            </w:r>
            <w:r>
              <w:rPr>
                <w:rFonts w:hint="eastAsia" w:eastAsia="宋体"/>
                <w:color w:val="auto"/>
              </w:rPr>
              <w:t>研究报告</w:t>
            </w:r>
            <w:r>
              <w:rPr>
                <w:rFonts w:eastAsia="宋体"/>
                <w:color w:val="auto"/>
              </w:rPr>
              <w:t>》</w:t>
            </w:r>
            <w:r>
              <w:rPr>
                <w:rFonts w:hint="eastAsia" w:eastAsia="宋体"/>
                <w:color w:val="auto"/>
              </w:rPr>
              <w:t>（北京化工大学2015年12月），北京化工大学（国家新危险化学品评估及事故鉴定基础研究室）于2013年8月~2015年5月，对中国石化所属的包括江苏油田分公司在内的10家企业，在勘探钻井施工中使用的水基</w:t>
            </w:r>
            <w:r>
              <w:rPr>
                <w:rFonts w:eastAsia="宋体"/>
                <w:color w:val="auto"/>
              </w:rPr>
              <w:t>钻井液（</w:t>
            </w:r>
            <w:r>
              <w:rPr>
                <w:rFonts w:hint="eastAsia" w:eastAsia="宋体"/>
                <w:color w:val="auto"/>
              </w:rPr>
              <w:t>水基泥浆</w:t>
            </w:r>
            <w:r>
              <w:rPr>
                <w:rFonts w:eastAsia="宋体"/>
                <w:color w:val="auto"/>
              </w:rPr>
              <w:t>）</w:t>
            </w:r>
            <w:r>
              <w:rPr>
                <w:rFonts w:hint="eastAsia" w:eastAsia="宋体"/>
                <w:color w:val="auto"/>
              </w:rPr>
              <w:t>、</w:t>
            </w:r>
            <w:r>
              <w:rPr>
                <w:rFonts w:eastAsia="宋体"/>
                <w:color w:val="auto"/>
              </w:rPr>
              <w:t>废</w:t>
            </w:r>
            <w:r>
              <w:rPr>
                <w:rFonts w:hint="eastAsia" w:eastAsia="宋体"/>
                <w:color w:val="auto"/>
              </w:rPr>
              <w:t>弃</w:t>
            </w:r>
            <w:r>
              <w:rPr>
                <w:rFonts w:eastAsia="宋体"/>
                <w:color w:val="auto"/>
              </w:rPr>
              <w:t>钻井液</w:t>
            </w:r>
            <w:r>
              <w:rPr>
                <w:rFonts w:hint="eastAsia" w:eastAsia="宋体"/>
                <w:color w:val="auto"/>
              </w:rPr>
              <w:t>（废弃泥浆、</w:t>
            </w:r>
            <w:r>
              <w:rPr>
                <w:rFonts w:eastAsia="宋体"/>
                <w:color w:val="auto"/>
              </w:rPr>
              <w:t>岩屑</w:t>
            </w:r>
            <w:r>
              <w:rPr>
                <w:rFonts w:hint="eastAsia" w:eastAsia="宋体"/>
                <w:color w:val="auto"/>
              </w:rPr>
              <w:t>）的固废属性开展鉴别研究</w:t>
            </w:r>
            <w:r>
              <w:rPr>
                <w:rFonts w:eastAsia="宋体"/>
                <w:color w:val="auto"/>
              </w:rPr>
              <w:t>，</w:t>
            </w:r>
            <w:r>
              <w:rPr>
                <w:rFonts w:hint="eastAsia" w:eastAsia="宋体"/>
                <w:color w:val="auto"/>
              </w:rPr>
              <w:t>主要结论如下</w:t>
            </w:r>
            <w:r>
              <w:rPr>
                <w:rFonts w:eastAsia="宋体"/>
                <w:color w:val="auto"/>
              </w:rPr>
              <w:t>：</w:t>
            </w:r>
          </w:p>
          <w:p w14:paraId="4D2FC655">
            <w:pPr>
              <w:pStyle w:val="3"/>
              <w:ind w:firstLine="480"/>
              <w:rPr>
                <w:rFonts w:eastAsia="宋体"/>
                <w:color w:val="auto"/>
              </w:rPr>
            </w:pPr>
            <w:r>
              <w:rPr>
                <w:rFonts w:hint="eastAsia" w:eastAsia="宋体"/>
                <w:color w:val="auto"/>
              </w:rPr>
              <w:t>中国石化</w:t>
            </w:r>
            <w:r>
              <w:rPr>
                <w:rFonts w:eastAsia="宋体"/>
                <w:color w:val="auto"/>
              </w:rPr>
              <w:t>勘探开发</w:t>
            </w:r>
            <w:r>
              <w:rPr>
                <w:rFonts w:hint="eastAsia" w:eastAsia="宋体"/>
                <w:color w:val="auto"/>
              </w:rPr>
              <w:t>所用</w:t>
            </w:r>
            <w:r>
              <w:rPr>
                <w:rFonts w:eastAsia="宋体"/>
                <w:color w:val="auto"/>
              </w:rPr>
              <w:t>水基钻井液</w:t>
            </w:r>
            <w:r>
              <w:rPr>
                <w:rFonts w:hint="eastAsia" w:eastAsia="宋体"/>
                <w:color w:val="auto"/>
              </w:rPr>
              <w:t>（水基泥浆）、废弃钻井液（废弃泥浆、岩屑）不具有</w:t>
            </w:r>
            <w:r>
              <w:rPr>
                <w:rFonts w:eastAsia="宋体"/>
                <w:color w:val="auto"/>
              </w:rPr>
              <w:t>反应性、易燃性、腐蚀性、</w:t>
            </w:r>
            <w:r>
              <w:rPr>
                <w:rFonts w:hint="eastAsia" w:eastAsia="宋体"/>
                <w:color w:val="auto"/>
              </w:rPr>
              <w:t>浸出毒性</w:t>
            </w:r>
            <w:r>
              <w:rPr>
                <w:rFonts w:eastAsia="宋体"/>
                <w:color w:val="auto"/>
              </w:rPr>
              <w:t>、急性毒性</w:t>
            </w:r>
            <w:r>
              <w:rPr>
                <w:rFonts w:hint="eastAsia" w:eastAsia="宋体"/>
                <w:color w:val="auto"/>
              </w:rPr>
              <w:t>，</w:t>
            </w:r>
            <w:r>
              <w:rPr>
                <w:rFonts w:eastAsia="宋体"/>
                <w:color w:val="auto"/>
              </w:rPr>
              <w:t>毒性物质含量</w:t>
            </w:r>
            <w:r>
              <w:rPr>
                <w:rFonts w:hint="eastAsia" w:eastAsia="宋体"/>
                <w:color w:val="auto"/>
              </w:rPr>
              <w:t>等均</w:t>
            </w:r>
            <w:r>
              <w:rPr>
                <w:rFonts w:eastAsia="宋体"/>
                <w:color w:val="auto"/>
              </w:rPr>
              <w:t>远远低于</w:t>
            </w:r>
            <w:r>
              <w:rPr>
                <w:rFonts w:hint="eastAsia" w:eastAsia="宋体"/>
                <w:color w:val="auto"/>
              </w:rPr>
              <w:t>《危险废物鉴别标准》（GB</w:t>
            </w:r>
            <w:r>
              <w:rPr>
                <w:rFonts w:eastAsia="宋体"/>
                <w:color w:val="auto"/>
              </w:rPr>
              <w:t>5085-2007</w:t>
            </w:r>
            <w:r>
              <w:rPr>
                <w:rFonts w:hint="eastAsia" w:eastAsia="宋体"/>
                <w:color w:val="auto"/>
              </w:rPr>
              <w:t>）中</w:t>
            </w:r>
            <w:r>
              <w:rPr>
                <w:rFonts w:eastAsia="宋体"/>
                <w:color w:val="auto"/>
              </w:rPr>
              <w:t>规定的标准限值。不属于</w:t>
            </w:r>
            <w:r>
              <w:rPr>
                <w:rFonts w:hint="eastAsia" w:eastAsia="宋体"/>
                <w:color w:val="auto"/>
              </w:rPr>
              <w:t>危险废物。</w:t>
            </w:r>
          </w:p>
          <w:p w14:paraId="77E78464">
            <w:pPr>
              <w:pStyle w:val="3"/>
              <w:ind w:firstLine="480"/>
              <w:rPr>
                <w:rFonts w:eastAsia="宋体"/>
                <w:color w:val="auto"/>
              </w:rPr>
            </w:pPr>
            <w:r>
              <w:rPr>
                <w:rFonts w:hint="eastAsia" w:eastAsia="宋体"/>
                <w:color w:val="auto"/>
              </w:rPr>
              <w:t>c.本项目水基钻井泥浆和岩屑经泥浆不落地设备处理后，产生的</w:t>
            </w:r>
            <w:r>
              <w:rPr>
                <w:rFonts w:hint="eastAsia" w:eastAsia="宋体"/>
                <w:color w:val="auto"/>
                <w:lang w:val="en-US" w:eastAsia="zh-CN"/>
              </w:rPr>
              <w:t>泥饼</w:t>
            </w:r>
            <w:r>
              <w:rPr>
                <w:rFonts w:hint="eastAsia" w:eastAsia="宋体"/>
                <w:color w:val="auto"/>
              </w:rPr>
              <w:t>交给下游单位制成建材，下游单位对来料进行检验（主要理化指标要求为含油量不超过8%）。目前，未收到下游单位对本企业的</w:t>
            </w:r>
            <w:r>
              <w:rPr>
                <w:rFonts w:hint="eastAsia" w:eastAsia="宋体"/>
                <w:color w:val="auto"/>
                <w:lang w:val="en-US" w:eastAsia="zh-CN"/>
              </w:rPr>
              <w:t>泥饼</w:t>
            </w:r>
            <w:r>
              <w:rPr>
                <w:rFonts w:hint="eastAsia" w:eastAsia="宋体"/>
                <w:color w:val="auto"/>
              </w:rPr>
              <w:t>提出不合格的信息反馈。</w:t>
            </w:r>
          </w:p>
          <w:p w14:paraId="39857C22">
            <w:pPr>
              <w:pStyle w:val="3"/>
              <w:ind w:firstLine="480"/>
              <w:jc w:val="left"/>
              <w:rPr>
                <w:rFonts w:eastAsia="宋体"/>
                <w:color w:val="auto"/>
                <w:highlight w:val="none"/>
              </w:rPr>
            </w:pPr>
            <w:r>
              <w:rPr>
                <w:rFonts w:hint="eastAsia" w:eastAsia="宋体"/>
                <w:color w:val="auto"/>
              </w:rPr>
              <w:t>因此本项目使用水基钻井液产生的废弃泥浆和岩屑</w:t>
            </w:r>
            <w:r>
              <w:rPr>
                <w:rFonts w:hint="eastAsia" w:eastAsia="宋体"/>
                <w:color w:val="auto"/>
                <w:lang w:val="en-US" w:eastAsia="zh-CN"/>
              </w:rPr>
              <w:t>压滤而成的泥饼</w:t>
            </w:r>
            <w:r>
              <w:rPr>
                <w:rFonts w:hint="eastAsia" w:eastAsia="宋体"/>
                <w:color w:val="auto"/>
              </w:rPr>
              <w:t>属于一般固体废物。</w:t>
            </w:r>
            <w:r>
              <w:rPr>
                <w:rFonts w:hint="eastAsia" w:eastAsia="宋体"/>
                <w:color w:val="auto"/>
                <w:highlight w:val="none"/>
              </w:rPr>
              <w:t>废</w:t>
            </w:r>
            <w:r>
              <w:rPr>
                <w:rFonts w:hint="eastAsia" w:eastAsia="宋体"/>
                <w:color w:val="auto"/>
                <w:highlight w:val="none"/>
                <w:lang w:val="en-US" w:eastAsia="zh-CN"/>
              </w:rPr>
              <w:t>沾油防渗膜</w:t>
            </w:r>
            <w:r>
              <w:rPr>
                <w:rFonts w:hint="eastAsia" w:eastAsia="宋体"/>
                <w:color w:val="auto"/>
                <w:highlight w:val="none"/>
              </w:rPr>
              <w:t>属于危险废物</w:t>
            </w:r>
            <w:r>
              <w:rPr>
                <w:rFonts w:hint="eastAsia" w:eastAsia="宋体"/>
                <w:color w:val="auto"/>
                <w:highlight w:val="none"/>
                <w:lang w:eastAsia="zh-CN"/>
              </w:rPr>
              <w:t>，</w:t>
            </w:r>
            <w:r>
              <w:rPr>
                <w:rFonts w:hint="eastAsia" w:eastAsia="宋体"/>
                <w:color w:val="auto"/>
                <w:highlight w:val="none"/>
              </w:rPr>
              <w:t>本项目勘探</w:t>
            </w:r>
            <w:r>
              <w:rPr>
                <w:rFonts w:hint="eastAsia" w:eastAsia="宋体"/>
                <w:color w:val="auto"/>
                <w:highlight w:val="none"/>
                <w:lang w:val="en-US" w:eastAsia="zh-CN"/>
              </w:rPr>
              <w:t>场地防渗工作</w:t>
            </w:r>
            <w:r>
              <w:rPr>
                <w:rFonts w:hint="eastAsia" w:eastAsia="宋体"/>
                <w:color w:val="auto"/>
                <w:highlight w:val="none"/>
              </w:rPr>
              <w:t>中会产生废</w:t>
            </w:r>
            <w:r>
              <w:rPr>
                <w:rFonts w:hint="eastAsia" w:eastAsia="宋体"/>
                <w:color w:val="auto"/>
                <w:highlight w:val="none"/>
                <w:lang w:val="en-US" w:eastAsia="zh-CN"/>
              </w:rPr>
              <w:t>沾油防渗膜</w:t>
            </w:r>
            <w:r>
              <w:rPr>
                <w:rFonts w:hint="eastAsia" w:eastAsia="宋体"/>
                <w:color w:val="auto"/>
                <w:highlight w:val="none"/>
              </w:rPr>
              <w:t>，</w:t>
            </w:r>
            <w:r>
              <w:rPr>
                <w:rFonts w:hint="eastAsia" w:eastAsia="宋体"/>
                <w:color w:val="auto"/>
                <w:highlight w:val="none"/>
                <w:lang w:val="en-US" w:eastAsia="zh-CN"/>
              </w:rPr>
              <w:t>勘探工作完成后，立即委托有资质单位</w:t>
            </w:r>
            <w:r>
              <w:rPr>
                <w:rFonts w:hint="eastAsia" w:eastAsia="宋体"/>
                <w:color w:val="auto"/>
                <w:highlight w:val="none"/>
              </w:rPr>
              <w:t>直接运走，不在本项目场地内暂存</w:t>
            </w:r>
            <w:r>
              <w:rPr>
                <w:rFonts w:hint="eastAsia" w:eastAsia="宋体"/>
                <w:color w:val="auto"/>
                <w:highlight w:val="none"/>
                <w:lang w:eastAsia="zh-CN"/>
              </w:rPr>
              <w:t>。</w:t>
            </w:r>
          </w:p>
          <w:p w14:paraId="3BDD75A9">
            <w:pPr>
              <w:pStyle w:val="16"/>
              <w:jc w:val="center"/>
              <w:rPr>
                <w:rFonts w:eastAsia="宋体"/>
                <w:color w:val="auto"/>
              </w:rPr>
            </w:pPr>
            <w:r>
              <w:rPr>
                <w:rFonts w:eastAsia="宋体"/>
                <w:color w:val="auto"/>
              </w:rPr>
              <w:t>表</w:t>
            </w:r>
            <w:r>
              <w:rPr>
                <w:rFonts w:hint="eastAsia" w:eastAsia="宋体"/>
                <w:color w:val="auto"/>
              </w:rPr>
              <w:t>4-</w:t>
            </w:r>
            <w:r>
              <w:rPr>
                <w:rFonts w:hint="eastAsia" w:eastAsia="宋体"/>
                <w:color w:val="auto"/>
                <w:lang w:val="en-US" w:eastAsia="zh-CN"/>
              </w:rPr>
              <w:t>10</w:t>
            </w:r>
            <w:r>
              <w:rPr>
                <w:rFonts w:hint="eastAsia" w:eastAsia="宋体"/>
                <w:color w:val="auto"/>
              </w:rPr>
              <w:t xml:space="preserve">  危险</w:t>
            </w:r>
            <w:r>
              <w:rPr>
                <w:rFonts w:eastAsia="宋体"/>
                <w:color w:val="auto"/>
              </w:rPr>
              <w:t>废物分析结果汇总表</w:t>
            </w:r>
          </w:p>
          <w:tbl>
            <w:tblPr>
              <w:tblStyle w:val="1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1"/>
              <w:gridCol w:w="659"/>
              <w:gridCol w:w="688"/>
              <w:gridCol w:w="1166"/>
              <w:gridCol w:w="824"/>
              <w:gridCol w:w="478"/>
              <w:gridCol w:w="945"/>
              <w:gridCol w:w="716"/>
              <w:gridCol w:w="528"/>
              <w:gridCol w:w="561"/>
              <w:gridCol w:w="780"/>
            </w:tblGrid>
            <w:tr w14:paraId="7B4540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4" w:type="pct"/>
                  <w:shd w:val="clear" w:color="auto" w:fill="auto"/>
                  <w:vAlign w:val="center"/>
                </w:tcPr>
                <w:p w14:paraId="07BCF54D">
                  <w:pPr>
                    <w:pStyle w:val="17"/>
                    <w:rPr>
                      <w:rFonts w:eastAsia="宋体"/>
                      <w:b/>
                      <w:bCs/>
                      <w:color w:val="auto"/>
                    </w:rPr>
                  </w:pPr>
                  <w:r>
                    <w:rPr>
                      <w:rFonts w:hint="eastAsia" w:eastAsia="宋体"/>
                      <w:b/>
                      <w:bCs/>
                      <w:color w:val="auto"/>
                    </w:rPr>
                    <w:t>序号</w:t>
                  </w:r>
                </w:p>
              </w:tc>
              <w:tc>
                <w:tcPr>
                  <w:tcW w:w="427" w:type="pct"/>
                  <w:shd w:val="clear" w:color="auto" w:fill="auto"/>
                  <w:vAlign w:val="center"/>
                </w:tcPr>
                <w:p w14:paraId="594710BE">
                  <w:pPr>
                    <w:pStyle w:val="17"/>
                    <w:rPr>
                      <w:rFonts w:eastAsia="宋体"/>
                      <w:b/>
                      <w:bCs/>
                      <w:color w:val="auto"/>
                    </w:rPr>
                  </w:pPr>
                  <w:r>
                    <w:rPr>
                      <w:rFonts w:hint="eastAsia" w:eastAsia="宋体"/>
                      <w:b/>
                      <w:bCs/>
                      <w:color w:val="auto"/>
                    </w:rPr>
                    <w:t>废物名称</w:t>
                  </w:r>
                </w:p>
              </w:tc>
              <w:tc>
                <w:tcPr>
                  <w:tcW w:w="446" w:type="pct"/>
                  <w:shd w:val="clear" w:color="auto" w:fill="auto"/>
                  <w:vAlign w:val="center"/>
                </w:tcPr>
                <w:p w14:paraId="41D406AD">
                  <w:pPr>
                    <w:pStyle w:val="17"/>
                    <w:rPr>
                      <w:rFonts w:eastAsia="宋体"/>
                      <w:b/>
                      <w:bCs/>
                      <w:color w:val="auto"/>
                    </w:rPr>
                  </w:pPr>
                  <w:r>
                    <w:rPr>
                      <w:rFonts w:hint="eastAsia" w:eastAsia="宋体"/>
                      <w:b/>
                      <w:bCs/>
                      <w:color w:val="auto"/>
                    </w:rPr>
                    <w:t>危险</w:t>
                  </w:r>
                  <w:r>
                    <w:rPr>
                      <w:rFonts w:eastAsia="宋体"/>
                      <w:b/>
                      <w:bCs/>
                      <w:color w:val="auto"/>
                    </w:rPr>
                    <w:t>废物类别</w:t>
                  </w:r>
                </w:p>
              </w:tc>
              <w:tc>
                <w:tcPr>
                  <w:tcW w:w="756" w:type="pct"/>
                  <w:shd w:val="clear" w:color="auto" w:fill="auto"/>
                  <w:vAlign w:val="center"/>
                </w:tcPr>
                <w:p w14:paraId="2B591E45">
                  <w:pPr>
                    <w:pStyle w:val="17"/>
                    <w:rPr>
                      <w:rFonts w:eastAsia="宋体"/>
                      <w:b/>
                      <w:bCs/>
                      <w:color w:val="auto"/>
                    </w:rPr>
                  </w:pPr>
                  <w:r>
                    <w:rPr>
                      <w:rFonts w:hint="eastAsia" w:eastAsia="宋体"/>
                      <w:b/>
                      <w:bCs/>
                      <w:color w:val="auto"/>
                    </w:rPr>
                    <w:t>危险</w:t>
                  </w:r>
                  <w:r>
                    <w:rPr>
                      <w:rFonts w:eastAsia="宋体"/>
                      <w:b/>
                      <w:bCs/>
                      <w:color w:val="auto"/>
                    </w:rPr>
                    <w:t>废物代码</w:t>
                  </w:r>
                </w:p>
              </w:tc>
              <w:tc>
                <w:tcPr>
                  <w:tcW w:w="534" w:type="pct"/>
                  <w:shd w:val="clear" w:color="auto" w:fill="auto"/>
                  <w:vAlign w:val="center"/>
                </w:tcPr>
                <w:p w14:paraId="08E6DBCB">
                  <w:pPr>
                    <w:pStyle w:val="17"/>
                    <w:rPr>
                      <w:rFonts w:eastAsia="宋体"/>
                      <w:b/>
                      <w:bCs/>
                      <w:color w:val="auto"/>
                    </w:rPr>
                  </w:pPr>
                  <w:r>
                    <w:rPr>
                      <w:rFonts w:hint="eastAsia" w:eastAsia="宋体"/>
                      <w:b/>
                      <w:bCs/>
                      <w:color w:val="auto"/>
                    </w:rPr>
                    <w:t>产生</w:t>
                  </w:r>
                  <w:r>
                    <w:rPr>
                      <w:rFonts w:eastAsia="宋体"/>
                      <w:b/>
                      <w:bCs/>
                      <w:color w:val="auto"/>
                    </w:rPr>
                    <w:t>工序</w:t>
                  </w:r>
                  <w:r>
                    <w:rPr>
                      <w:rFonts w:hint="eastAsia" w:eastAsia="宋体"/>
                      <w:b/>
                      <w:bCs/>
                      <w:color w:val="auto"/>
                    </w:rPr>
                    <w:t>及</w:t>
                  </w:r>
                  <w:r>
                    <w:rPr>
                      <w:rFonts w:eastAsia="宋体"/>
                      <w:b/>
                      <w:bCs/>
                      <w:color w:val="auto"/>
                    </w:rPr>
                    <w:t>装置</w:t>
                  </w:r>
                </w:p>
              </w:tc>
              <w:tc>
                <w:tcPr>
                  <w:tcW w:w="310" w:type="pct"/>
                  <w:shd w:val="clear" w:color="auto" w:fill="auto"/>
                  <w:vAlign w:val="center"/>
                </w:tcPr>
                <w:p w14:paraId="78906EB4">
                  <w:pPr>
                    <w:pStyle w:val="17"/>
                    <w:rPr>
                      <w:rFonts w:eastAsia="宋体"/>
                      <w:b/>
                      <w:bCs/>
                      <w:color w:val="auto"/>
                    </w:rPr>
                  </w:pPr>
                  <w:r>
                    <w:rPr>
                      <w:rFonts w:hint="eastAsia" w:eastAsia="宋体"/>
                      <w:b/>
                      <w:bCs/>
                      <w:color w:val="auto"/>
                    </w:rPr>
                    <w:t>形态</w:t>
                  </w:r>
                </w:p>
              </w:tc>
              <w:tc>
                <w:tcPr>
                  <w:tcW w:w="613" w:type="pct"/>
                  <w:shd w:val="clear" w:color="auto" w:fill="auto"/>
                  <w:vAlign w:val="center"/>
                </w:tcPr>
                <w:p w14:paraId="15E0273A">
                  <w:pPr>
                    <w:pStyle w:val="17"/>
                    <w:rPr>
                      <w:rFonts w:eastAsia="宋体"/>
                      <w:b/>
                      <w:bCs/>
                      <w:color w:val="auto"/>
                    </w:rPr>
                  </w:pPr>
                  <w:r>
                    <w:rPr>
                      <w:rFonts w:hint="eastAsia" w:eastAsia="宋体"/>
                      <w:b/>
                      <w:bCs/>
                      <w:color w:val="auto"/>
                    </w:rPr>
                    <w:t>主要</w:t>
                  </w:r>
                  <w:r>
                    <w:rPr>
                      <w:rFonts w:eastAsia="宋体"/>
                      <w:b/>
                      <w:bCs/>
                      <w:color w:val="auto"/>
                    </w:rPr>
                    <w:t>成分</w:t>
                  </w:r>
                </w:p>
              </w:tc>
              <w:tc>
                <w:tcPr>
                  <w:tcW w:w="464" w:type="pct"/>
                  <w:shd w:val="clear" w:color="auto" w:fill="auto"/>
                  <w:vAlign w:val="center"/>
                </w:tcPr>
                <w:p w14:paraId="096FC712">
                  <w:pPr>
                    <w:pStyle w:val="17"/>
                    <w:rPr>
                      <w:rFonts w:eastAsia="宋体"/>
                      <w:b/>
                      <w:bCs/>
                      <w:color w:val="auto"/>
                    </w:rPr>
                  </w:pPr>
                  <w:r>
                    <w:rPr>
                      <w:rFonts w:hint="eastAsia" w:eastAsia="宋体"/>
                      <w:b/>
                      <w:bCs/>
                      <w:color w:val="auto"/>
                    </w:rPr>
                    <w:t>有害</w:t>
                  </w:r>
                  <w:r>
                    <w:rPr>
                      <w:rFonts w:eastAsia="宋体"/>
                      <w:b/>
                      <w:bCs/>
                      <w:color w:val="auto"/>
                    </w:rPr>
                    <w:t>成分</w:t>
                  </w:r>
                </w:p>
              </w:tc>
              <w:tc>
                <w:tcPr>
                  <w:tcW w:w="342" w:type="pct"/>
                  <w:shd w:val="clear" w:color="auto" w:fill="auto"/>
                  <w:vAlign w:val="center"/>
                </w:tcPr>
                <w:p w14:paraId="5E1D829E">
                  <w:pPr>
                    <w:pStyle w:val="17"/>
                    <w:rPr>
                      <w:rFonts w:eastAsia="宋体"/>
                      <w:b/>
                      <w:bCs/>
                      <w:color w:val="auto"/>
                    </w:rPr>
                  </w:pPr>
                  <w:r>
                    <w:rPr>
                      <w:rFonts w:hint="eastAsia" w:eastAsia="宋体"/>
                      <w:b/>
                      <w:bCs/>
                      <w:color w:val="auto"/>
                    </w:rPr>
                    <w:t>产废</w:t>
                  </w:r>
                  <w:r>
                    <w:rPr>
                      <w:rFonts w:eastAsia="宋体"/>
                      <w:b/>
                      <w:bCs/>
                      <w:color w:val="auto"/>
                    </w:rPr>
                    <w:t>周期</w:t>
                  </w:r>
                </w:p>
              </w:tc>
              <w:tc>
                <w:tcPr>
                  <w:tcW w:w="364" w:type="pct"/>
                  <w:shd w:val="clear" w:color="auto" w:fill="auto"/>
                  <w:vAlign w:val="center"/>
                </w:tcPr>
                <w:p w14:paraId="70BB738D">
                  <w:pPr>
                    <w:pStyle w:val="17"/>
                    <w:rPr>
                      <w:rFonts w:eastAsia="宋体"/>
                      <w:b/>
                      <w:bCs/>
                      <w:color w:val="auto"/>
                    </w:rPr>
                  </w:pPr>
                  <w:r>
                    <w:rPr>
                      <w:rFonts w:hint="eastAsia" w:eastAsia="宋体"/>
                      <w:b/>
                      <w:bCs/>
                      <w:color w:val="auto"/>
                    </w:rPr>
                    <w:t>危险</w:t>
                  </w:r>
                  <w:r>
                    <w:rPr>
                      <w:rFonts w:eastAsia="宋体"/>
                      <w:b/>
                      <w:bCs/>
                      <w:color w:val="auto"/>
                    </w:rPr>
                    <w:t>特性</w:t>
                  </w:r>
                </w:p>
              </w:tc>
              <w:tc>
                <w:tcPr>
                  <w:tcW w:w="506" w:type="pct"/>
                  <w:shd w:val="clear" w:color="auto" w:fill="auto"/>
                  <w:vAlign w:val="center"/>
                </w:tcPr>
                <w:p w14:paraId="70CFCF51">
                  <w:pPr>
                    <w:pStyle w:val="17"/>
                    <w:rPr>
                      <w:rFonts w:eastAsia="宋体"/>
                      <w:b/>
                      <w:bCs/>
                      <w:color w:val="auto"/>
                    </w:rPr>
                  </w:pPr>
                  <w:r>
                    <w:rPr>
                      <w:rFonts w:hint="eastAsia" w:eastAsia="宋体"/>
                      <w:b/>
                      <w:bCs/>
                      <w:color w:val="auto"/>
                    </w:rPr>
                    <w:t>污染</w:t>
                  </w:r>
                  <w:r>
                    <w:rPr>
                      <w:rFonts w:eastAsia="宋体"/>
                      <w:b/>
                      <w:bCs/>
                      <w:color w:val="auto"/>
                    </w:rPr>
                    <w:t>防治措施</w:t>
                  </w:r>
                </w:p>
              </w:tc>
            </w:tr>
            <w:tr w14:paraId="68D47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4" w:type="pct"/>
                  <w:shd w:val="clear" w:color="auto" w:fill="auto"/>
                  <w:vAlign w:val="center"/>
                </w:tcPr>
                <w:p w14:paraId="599E13A6">
                  <w:pPr>
                    <w:pStyle w:val="17"/>
                    <w:ind w:firstLine="0" w:firstLineChars="0"/>
                    <w:rPr>
                      <w:rFonts w:hint="eastAsia" w:eastAsia="宋体"/>
                      <w:color w:val="auto"/>
                      <w:lang w:eastAsia="zh-CN"/>
                    </w:rPr>
                  </w:pPr>
                  <w:r>
                    <w:rPr>
                      <w:rFonts w:hint="eastAsia"/>
                      <w:color w:val="auto"/>
                      <w:lang w:val="en-US" w:eastAsia="zh-CN"/>
                    </w:rPr>
                    <w:t>1</w:t>
                  </w:r>
                </w:p>
              </w:tc>
              <w:tc>
                <w:tcPr>
                  <w:tcW w:w="427" w:type="pct"/>
                  <w:shd w:val="clear" w:color="auto" w:fill="auto"/>
                  <w:vAlign w:val="center"/>
                </w:tcPr>
                <w:p w14:paraId="3552D5B7">
                  <w:pPr>
                    <w:pStyle w:val="17"/>
                    <w:ind w:firstLine="0" w:firstLineChars="0"/>
                    <w:rPr>
                      <w:rFonts w:hint="default" w:eastAsia="宋体"/>
                      <w:color w:val="auto"/>
                      <w:lang w:val="en-US" w:eastAsia="zh-CN"/>
                    </w:rPr>
                  </w:pPr>
                  <w:r>
                    <w:rPr>
                      <w:rFonts w:hint="eastAsia" w:eastAsia="宋体"/>
                      <w:color w:val="auto"/>
                    </w:rPr>
                    <w:t>废</w:t>
                  </w:r>
                  <w:r>
                    <w:rPr>
                      <w:rFonts w:hint="eastAsia" w:eastAsia="宋体"/>
                      <w:color w:val="auto"/>
                      <w:lang w:val="en-US" w:eastAsia="zh-CN"/>
                    </w:rPr>
                    <w:t>沾油防渗膜</w:t>
                  </w:r>
                </w:p>
              </w:tc>
              <w:tc>
                <w:tcPr>
                  <w:tcW w:w="446" w:type="pct"/>
                  <w:shd w:val="clear" w:color="auto" w:fill="auto"/>
                  <w:vAlign w:val="center"/>
                </w:tcPr>
                <w:p w14:paraId="7F54E08C">
                  <w:pPr>
                    <w:pStyle w:val="17"/>
                    <w:ind w:firstLine="0" w:firstLineChars="0"/>
                    <w:rPr>
                      <w:rFonts w:hint="eastAsia" w:eastAsia="宋体"/>
                      <w:color w:val="auto"/>
                    </w:rPr>
                  </w:pPr>
                  <w:r>
                    <w:rPr>
                      <w:rFonts w:hint="eastAsia" w:eastAsia="宋体"/>
                      <w:color w:val="auto"/>
                    </w:rPr>
                    <w:t>HW08</w:t>
                  </w:r>
                </w:p>
              </w:tc>
              <w:tc>
                <w:tcPr>
                  <w:tcW w:w="756" w:type="pct"/>
                  <w:shd w:val="clear" w:color="auto" w:fill="auto"/>
                  <w:vAlign w:val="center"/>
                </w:tcPr>
                <w:p w14:paraId="58BBA9E3">
                  <w:pPr>
                    <w:pStyle w:val="17"/>
                    <w:ind w:firstLine="0" w:firstLineChars="0"/>
                    <w:rPr>
                      <w:rFonts w:hint="eastAsia" w:eastAsia="宋体"/>
                      <w:color w:val="auto"/>
                    </w:rPr>
                  </w:pPr>
                  <w:r>
                    <w:rPr>
                      <w:rFonts w:hint="eastAsia" w:eastAsia="宋体"/>
                      <w:color w:val="auto"/>
                    </w:rPr>
                    <w:t>900-249-08</w:t>
                  </w:r>
                </w:p>
              </w:tc>
              <w:tc>
                <w:tcPr>
                  <w:tcW w:w="534" w:type="pct"/>
                  <w:shd w:val="clear" w:color="auto" w:fill="auto"/>
                  <w:vAlign w:val="center"/>
                </w:tcPr>
                <w:p w14:paraId="641BFDB5">
                  <w:pPr>
                    <w:pStyle w:val="17"/>
                    <w:ind w:firstLine="0" w:firstLineChars="0"/>
                    <w:rPr>
                      <w:rFonts w:hint="eastAsia" w:eastAsia="宋体"/>
                      <w:color w:val="auto"/>
                      <w:lang w:eastAsia="zh-CN"/>
                    </w:rPr>
                  </w:pPr>
                  <w:r>
                    <w:rPr>
                      <w:rFonts w:hint="eastAsia" w:eastAsia="宋体"/>
                      <w:color w:val="auto"/>
                      <w:lang w:val="en-US" w:eastAsia="zh-CN"/>
                    </w:rPr>
                    <w:t>防渗</w:t>
                  </w:r>
                </w:p>
              </w:tc>
              <w:tc>
                <w:tcPr>
                  <w:tcW w:w="310" w:type="pct"/>
                  <w:shd w:val="clear" w:color="auto" w:fill="auto"/>
                  <w:vAlign w:val="center"/>
                </w:tcPr>
                <w:p w14:paraId="4B591389">
                  <w:pPr>
                    <w:pStyle w:val="17"/>
                    <w:ind w:firstLine="0" w:firstLineChars="0"/>
                    <w:jc w:val="both"/>
                    <w:rPr>
                      <w:rFonts w:hint="eastAsia" w:eastAsia="宋体"/>
                      <w:color w:val="auto"/>
                    </w:rPr>
                  </w:pPr>
                  <w:r>
                    <w:rPr>
                      <w:rFonts w:hint="eastAsia" w:eastAsia="宋体"/>
                      <w:color w:val="auto"/>
                      <w:lang w:val="en-US" w:eastAsia="zh-CN"/>
                    </w:rPr>
                    <w:t>固态</w:t>
                  </w:r>
                </w:p>
              </w:tc>
              <w:tc>
                <w:tcPr>
                  <w:tcW w:w="613" w:type="pct"/>
                  <w:shd w:val="clear" w:color="auto" w:fill="auto"/>
                  <w:vAlign w:val="center"/>
                </w:tcPr>
                <w:p w14:paraId="755FCC8D">
                  <w:pPr>
                    <w:pStyle w:val="17"/>
                    <w:ind w:firstLine="0" w:firstLineChars="0"/>
                    <w:rPr>
                      <w:rFonts w:hint="default" w:eastAsia="宋体"/>
                      <w:color w:val="auto"/>
                      <w:lang w:val="en-US" w:eastAsia="zh-CN"/>
                    </w:rPr>
                  </w:pPr>
                  <w:r>
                    <w:rPr>
                      <w:rFonts w:hint="eastAsia" w:eastAsia="宋体"/>
                      <w:color w:val="auto"/>
                      <w:lang w:val="en-US" w:eastAsia="zh-CN"/>
                    </w:rPr>
                    <w:t>油类、PVC膜</w:t>
                  </w:r>
                </w:p>
              </w:tc>
              <w:tc>
                <w:tcPr>
                  <w:tcW w:w="464" w:type="pct"/>
                  <w:shd w:val="clear" w:color="auto" w:fill="auto"/>
                  <w:vAlign w:val="center"/>
                </w:tcPr>
                <w:p w14:paraId="7627FAAC">
                  <w:pPr>
                    <w:pStyle w:val="17"/>
                    <w:ind w:firstLine="0" w:firstLineChars="0"/>
                    <w:rPr>
                      <w:rFonts w:hint="eastAsia" w:eastAsia="宋体"/>
                      <w:color w:val="auto"/>
                      <w:lang w:eastAsia="zh-CN"/>
                    </w:rPr>
                  </w:pPr>
                  <w:r>
                    <w:rPr>
                      <w:rFonts w:hint="eastAsia" w:eastAsia="宋体"/>
                      <w:color w:val="auto"/>
                      <w:lang w:val="en-US" w:eastAsia="zh-CN"/>
                    </w:rPr>
                    <w:t>油类</w:t>
                  </w:r>
                </w:p>
              </w:tc>
              <w:tc>
                <w:tcPr>
                  <w:tcW w:w="342" w:type="pct"/>
                  <w:shd w:val="clear" w:color="auto" w:fill="auto"/>
                  <w:vAlign w:val="center"/>
                </w:tcPr>
                <w:p w14:paraId="7B6CCC68">
                  <w:pPr>
                    <w:pStyle w:val="17"/>
                    <w:ind w:firstLine="0" w:firstLineChars="0"/>
                    <w:rPr>
                      <w:rFonts w:hint="eastAsia" w:eastAsia="宋体"/>
                      <w:color w:val="auto"/>
                    </w:rPr>
                  </w:pPr>
                  <w:r>
                    <w:rPr>
                      <w:rFonts w:hint="eastAsia" w:eastAsia="宋体"/>
                      <w:color w:val="auto"/>
                    </w:rPr>
                    <w:t>间歇</w:t>
                  </w:r>
                </w:p>
              </w:tc>
              <w:tc>
                <w:tcPr>
                  <w:tcW w:w="364" w:type="pct"/>
                  <w:shd w:val="clear" w:color="auto" w:fill="auto"/>
                  <w:vAlign w:val="center"/>
                </w:tcPr>
                <w:p w14:paraId="379A761B">
                  <w:pPr>
                    <w:pStyle w:val="17"/>
                    <w:ind w:firstLine="0" w:firstLineChars="0"/>
                    <w:rPr>
                      <w:rFonts w:eastAsia="宋体"/>
                      <w:color w:val="auto"/>
                    </w:rPr>
                  </w:pPr>
                  <w:r>
                    <w:rPr>
                      <w:rFonts w:eastAsia="宋体"/>
                      <w:color w:val="auto"/>
                    </w:rPr>
                    <w:t>T，I</w:t>
                  </w:r>
                </w:p>
              </w:tc>
              <w:tc>
                <w:tcPr>
                  <w:tcW w:w="506" w:type="pct"/>
                  <w:shd w:val="clear" w:color="auto" w:fill="auto"/>
                  <w:vAlign w:val="center"/>
                </w:tcPr>
                <w:p w14:paraId="629AA19C">
                  <w:pPr>
                    <w:pStyle w:val="17"/>
                    <w:ind w:firstLine="0" w:firstLineChars="0"/>
                    <w:rPr>
                      <w:rFonts w:hint="eastAsia" w:eastAsia="宋体"/>
                      <w:color w:val="auto"/>
                    </w:rPr>
                  </w:pPr>
                  <w:r>
                    <w:rPr>
                      <w:rFonts w:hint="eastAsia" w:eastAsia="宋体"/>
                      <w:color w:val="auto"/>
                    </w:rPr>
                    <w:t>委托资质单位处置</w:t>
                  </w:r>
                </w:p>
              </w:tc>
            </w:tr>
            <w:tr w14:paraId="2D8C00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dxa"/>
                  <w:shd w:val="clear" w:color="auto" w:fill="auto"/>
                  <w:vAlign w:val="center"/>
                </w:tcPr>
                <w:p w14:paraId="5FA149AA">
                  <w:pPr>
                    <w:pStyle w:val="17"/>
                    <w:ind w:firstLine="0" w:firstLineChars="0"/>
                    <w:rPr>
                      <w:rFonts w:hint="eastAsia"/>
                      <w:color w:val="auto"/>
                      <w:lang w:val="en-US" w:eastAsia="zh-CN"/>
                    </w:rPr>
                  </w:pPr>
                  <w:r>
                    <w:rPr>
                      <w:rFonts w:hint="eastAsia"/>
                      <w:color w:val="auto"/>
                      <w:lang w:val="en-US" w:eastAsia="zh-CN"/>
                    </w:rPr>
                    <w:t>2</w:t>
                  </w:r>
                </w:p>
              </w:tc>
              <w:tc>
                <w:tcPr>
                  <w:tcW w:w="659" w:type="dxa"/>
                  <w:shd w:val="clear" w:color="auto" w:fill="auto"/>
                  <w:vAlign w:val="center"/>
                </w:tcPr>
                <w:p w14:paraId="126BEE6F">
                  <w:pPr>
                    <w:pStyle w:val="17"/>
                    <w:ind w:firstLine="0" w:firstLineChars="0"/>
                    <w:rPr>
                      <w:rFonts w:hint="eastAsia" w:eastAsia="宋体"/>
                      <w:color w:val="auto"/>
                    </w:rPr>
                  </w:pPr>
                  <w:r>
                    <w:rPr>
                      <w:rFonts w:hint="eastAsia" w:eastAsia="宋体"/>
                      <w:color w:val="auto"/>
                      <w:lang w:val="en-US" w:eastAsia="zh-CN"/>
                    </w:rPr>
                    <w:t>废润滑油</w:t>
                  </w:r>
                </w:p>
              </w:tc>
              <w:tc>
                <w:tcPr>
                  <w:tcW w:w="688" w:type="dxa"/>
                  <w:shd w:val="clear" w:color="auto" w:fill="auto"/>
                  <w:vAlign w:val="center"/>
                </w:tcPr>
                <w:p w14:paraId="3BFCE0F3">
                  <w:pPr>
                    <w:pStyle w:val="17"/>
                    <w:ind w:firstLine="0" w:firstLineChars="0"/>
                    <w:rPr>
                      <w:rFonts w:hint="eastAsia" w:eastAsia="宋体"/>
                      <w:color w:val="auto"/>
                    </w:rPr>
                  </w:pPr>
                  <w:r>
                    <w:rPr>
                      <w:rFonts w:hint="eastAsia" w:eastAsia="宋体"/>
                      <w:color w:val="auto"/>
                    </w:rPr>
                    <w:t>HW08</w:t>
                  </w:r>
                </w:p>
              </w:tc>
              <w:tc>
                <w:tcPr>
                  <w:tcW w:w="1166" w:type="dxa"/>
                  <w:shd w:val="clear" w:color="auto" w:fill="auto"/>
                  <w:vAlign w:val="center"/>
                </w:tcPr>
                <w:p w14:paraId="1AD0D599">
                  <w:pPr>
                    <w:pStyle w:val="17"/>
                    <w:ind w:firstLine="0" w:firstLineChars="0"/>
                    <w:rPr>
                      <w:rFonts w:hint="eastAsia" w:eastAsia="宋体"/>
                      <w:color w:val="auto"/>
                    </w:rPr>
                  </w:pPr>
                  <w:r>
                    <w:rPr>
                      <w:rFonts w:hint="eastAsia" w:eastAsia="宋体"/>
                      <w:color w:val="auto"/>
                    </w:rPr>
                    <w:t>900-214-08</w:t>
                  </w:r>
                </w:p>
              </w:tc>
              <w:tc>
                <w:tcPr>
                  <w:tcW w:w="824" w:type="dxa"/>
                  <w:shd w:val="clear" w:color="auto" w:fill="auto"/>
                  <w:vAlign w:val="center"/>
                </w:tcPr>
                <w:p w14:paraId="4FEFFF2F">
                  <w:pPr>
                    <w:pStyle w:val="17"/>
                    <w:ind w:firstLine="0" w:firstLineChars="0"/>
                    <w:rPr>
                      <w:rFonts w:hint="eastAsia" w:eastAsia="宋体"/>
                      <w:color w:val="auto"/>
                      <w:lang w:val="en-US" w:eastAsia="zh-CN"/>
                    </w:rPr>
                  </w:pPr>
                  <w:r>
                    <w:rPr>
                      <w:rFonts w:hint="eastAsia" w:eastAsia="宋体"/>
                      <w:color w:val="auto"/>
                      <w:lang w:val="en-US" w:eastAsia="zh-CN"/>
                    </w:rPr>
                    <w:t>保养</w:t>
                  </w:r>
                </w:p>
              </w:tc>
              <w:tc>
                <w:tcPr>
                  <w:tcW w:w="478" w:type="dxa"/>
                  <w:shd w:val="clear" w:color="auto" w:fill="auto"/>
                  <w:vAlign w:val="center"/>
                </w:tcPr>
                <w:p w14:paraId="1DD2FC22">
                  <w:pPr>
                    <w:pStyle w:val="17"/>
                    <w:ind w:firstLine="0" w:firstLineChars="0"/>
                    <w:jc w:val="both"/>
                    <w:rPr>
                      <w:rFonts w:hint="eastAsia" w:eastAsia="宋体"/>
                      <w:color w:val="auto"/>
                      <w:lang w:val="en-US" w:eastAsia="zh-CN"/>
                    </w:rPr>
                  </w:pPr>
                  <w:r>
                    <w:rPr>
                      <w:rFonts w:hint="eastAsia" w:eastAsia="宋体"/>
                      <w:color w:val="auto"/>
                      <w:lang w:val="en-US" w:eastAsia="zh-CN"/>
                    </w:rPr>
                    <w:t>液态</w:t>
                  </w:r>
                </w:p>
              </w:tc>
              <w:tc>
                <w:tcPr>
                  <w:tcW w:w="945" w:type="dxa"/>
                  <w:shd w:val="clear" w:color="auto" w:fill="auto"/>
                  <w:vAlign w:val="center"/>
                </w:tcPr>
                <w:p w14:paraId="6282FD66">
                  <w:pPr>
                    <w:pStyle w:val="17"/>
                    <w:ind w:firstLine="0" w:firstLineChars="0"/>
                    <w:rPr>
                      <w:rFonts w:hint="eastAsia" w:eastAsia="宋体"/>
                      <w:color w:val="auto"/>
                      <w:lang w:val="en-US" w:eastAsia="zh-CN"/>
                    </w:rPr>
                  </w:pPr>
                  <w:r>
                    <w:rPr>
                      <w:rFonts w:hint="eastAsia" w:eastAsia="宋体"/>
                      <w:color w:val="auto"/>
                      <w:lang w:val="en-US" w:eastAsia="zh-CN"/>
                    </w:rPr>
                    <w:t>油类</w:t>
                  </w:r>
                </w:p>
              </w:tc>
              <w:tc>
                <w:tcPr>
                  <w:tcW w:w="716" w:type="dxa"/>
                  <w:shd w:val="clear" w:color="auto" w:fill="auto"/>
                  <w:vAlign w:val="center"/>
                </w:tcPr>
                <w:p w14:paraId="21779598">
                  <w:pPr>
                    <w:pStyle w:val="17"/>
                    <w:ind w:firstLine="0" w:firstLineChars="0"/>
                    <w:rPr>
                      <w:rFonts w:hint="eastAsia" w:eastAsia="宋体"/>
                      <w:color w:val="auto"/>
                      <w:lang w:val="en-US" w:eastAsia="zh-CN"/>
                    </w:rPr>
                  </w:pPr>
                  <w:r>
                    <w:rPr>
                      <w:rFonts w:hint="eastAsia" w:eastAsia="宋体"/>
                      <w:color w:val="auto"/>
                      <w:lang w:val="en-US" w:eastAsia="zh-CN"/>
                    </w:rPr>
                    <w:t>油类</w:t>
                  </w:r>
                </w:p>
              </w:tc>
              <w:tc>
                <w:tcPr>
                  <w:tcW w:w="528" w:type="dxa"/>
                  <w:shd w:val="clear" w:color="auto" w:fill="auto"/>
                  <w:vAlign w:val="center"/>
                </w:tcPr>
                <w:p w14:paraId="32713DFE">
                  <w:pPr>
                    <w:pStyle w:val="17"/>
                    <w:ind w:firstLine="0" w:firstLineChars="0"/>
                    <w:rPr>
                      <w:rFonts w:hint="eastAsia" w:eastAsia="宋体"/>
                      <w:color w:val="auto"/>
                    </w:rPr>
                  </w:pPr>
                  <w:r>
                    <w:rPr>
                      <w:rFonts w:hint="eastAsia" w:eastAsia="宋体"/>
                      <w:color w:val="auto"/>
                    </w:rPr>
                    <w:t>间歇</w:t>
                  </w:r>
                </w:p>
              </w:tc>
              <w:tc>
                <w:tcPr>
                  <w:tcW w:w="561" w:type="dxa"/>
                  <w:shd w:val="clear" w:color="auto" w:fill="auto"/>
                  <w:vAlign w:val="center"/>
                </w:tcPr>
                <w:p w14:paraId="3FAE4174">
                  <w:pPr>
                    <w:pStyle w:val="17"/>
                    <w:ind w:firstLine="0" w:firstLineChars="0"/>
                    <w:rPr>
                      <w:rFonts w:eastAsia="宋体"/>
                      <w:color w:val="auto"/>
                    </w:rPr>
                  </w:pPr>
                  <w:r>
                    <w:rPr>
                      <w:rFonts w:eastAsia="宋体"/>
                      <w:color w:val="auto"/>
                    </w:rPr>
                    <w:t>T，I</w:t>
                  </w:r>
                </w:p>
              </w:tc>
              <w:tc>
                <w:tcPr>
                  <w:tcW w:w="780" w:type="dxa"/>
                  <w:shd w:val="clear" w:color="auto" w:fill="auto"/>
                  <w:vAlign w:val="center"/>
                </w:tcPr>
                <w:p w14:paraId="7B041508">
                  <w:pPr>
                    <w:pStyle w:val="17"/>
                    <w:ind w:firstLine="0" w:firstLineChars="0"/>
                    <w:rPr>
                      <w:rFonts w:hint="eastAsia" w:eastAsia="宋体"/>
                      <w:color w:val="auto"/>
                    </w:rPr>
                  </w:pPr>
                  <w:r>
                    <w:rPr>
                      <w:rFonts w:hint="eastAsia" w:eastAsia="宋体"/>
                      <w:color w:val="auto"/>
                    </w:rPr>
                    <w:t>勘探现场不产生废润滑油</w:t>
                  </w:r>
                </w:p>
              </w:tc>
            </w:tr>
          </w:tbl>
          <w:p w14:paraId="77C1146C">
            <w:pPr>
              <w:pStyle w:val="3"/>
              <w:ind w:firstLine="480"/>
              <w:rPr>
                <w:rFonts w:eastAsia="宋体"/>
                <w:color w:val="auto"/>
              </w:rPr>
            </w:pPr>
            <w:r>
              <w:rPr>
                <w:rFonts w:hint="eastAsia" w:eastAsia="宋体"/>
                <w:color w:val="auto"/>
              </w:rPr>
              <w:t>（3）固体废物处置</w:t>
            </w:r>
          </w:p>
          <w:p w14:paraId="4452ABD3">
            <w:pPr>
              <w:pStyle w:val="3"/>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产废</w:t>
            </w:r>
            <w:r>
              <w:rPr>
                <w:rFonts w:hint="default" w:ascii="Times New Roman" w:hAnsi="Times New Roman" w:eastAsia="宋体" w:cs="Times New Roman"/>
                <w:color w:val="000000" w:themeColor="text1"/>
                <w:lang w:val="en-US" w:eastAsia="zh-CN"/>
                <w14:textFill>
                  <w14:solidFill>
                    <w14:schemeClr w14:val="tx1"/>
                  </w14:solidFill>
                </w14:textFill>
              </w:rPr>
              <w:t>单位委托</w:t>
            </w:r>
            <w:r>
              <w:rPr>
                <w:rFonts w:hint="eastAsia" w:eastAsia="宋体" w:cs="Times New Roman"/>
                <w:color w:val="000000" w:themeColor="text1"/>
                <w:lang w:val="en-US" w:eastAsia="zh-CN"/>
                <w14:textFill>
                  <w14:solidFill>
                    <w14:schemeClr w14:val="tx1"/>
                  </w14:solidFill>
                </w14:textFill>
              </w:rPr>
              <w:t>其他单位</w:t>
            </w:r>
            <w:r>
              <w:rPr>
                <w:rFonts w:hint="default" w:ascii="Times New Roman" w:hAnsi="Times New Roman" w:eastAsia="宋体" w:cs="Times New Roman"/>
                <w:color w:val="000000" w:themeColor="text1"/>
                <w:lang w:val="en-US" w:eastAsia="zh-CN"/>
                <w14:textFill>
                  <w14:solidFill>
                    <w14:schemeClr w14:val="tx1"/>
                  </w14:solidFill>
                </w14:textFill>
              </w:rPr>
              <w:t>运输、利用、处置工业固体废物的，应当对受托方的</w:t>
            </w:r>
            <w:r>
              <w:rPr>
                <w:rFonts w:hint="eastAsia" w:eastAsia="宋体" w:cs="Times New Roman"/>
                <w:color w:val="000000" w:themeColor="text1"/>
                <w:lang w:val="en-US" w:eastAsia="zh-CN"/>
                <w14:textFill>
                  <w14:solidFill>
                    <w14:schemeClr w14:val="tx1"/>
                  </w14:solidFill>
                </w14:textFill>
              </w:rPr>
              <w:t>固废处置</w:t>
            </w:r>
            <w:r>
              <w:rPr>
                <w:rFonts w:hint="default" w:ascii="Times New Roman" w:hAnsi="Times New Roman" w:eastAsia="宋体" w:cs="Times New Roman"/>
                <w:color w:val="000000" w:themeColor="text1"/>
                <w:lang w:val="en-US" w:eastAsia="zh-CN"/>
                <w14:textFill>
                  <w14:solidFill>
                    <w14:schemeClr w14:val="tx1"/>
                  </w14:solidFill>
                </w14:textFill>
              </w:rPr>
              <w:t>资格和技术能力进行核实</w:t>
            </w:r>
            <w:r>
              <w:rPr>
                <w:rFonts w:hint="eastAsia" w:eastAsia="宋体" w:cs="Times New Roman"/>
                <w:color w:val="000000" w:themeColor="text1"/>
                <w:lang w:val="en-US" w:eastAsia="zh-CN"/>
                <w14:textFill>
                  <w14:solidFill>
                    <w14:schemeClr w14:val="tx1"/>
                  </w14:solidFill>
                </w14:textFill>
              </w:rPr>
              <w:t>，并</w:t>
            </w:r>
            <w:r>
              <w:rPr>
                <w:rFonts w:hint="default" w:ascii="Times New Roman" w:hAnsi="Times New Roman" w:eastAsia="宋体" w:cs="Times New Roman"/>
                <w:color w:val="000000" w:themeColor="text1"/>
                <w:lang w:val="en-US" w:eastAsia="zh-CN"/>
                <w14:textFill>
                  <w14:solidFill>
                    <w14:schemeClr w14:val="tx1"/>
                  </w14:solidFill>
                </w14:textFill>
              </w:rPr>
              <w:t>依法签订书面合同，在合同中约定污染防治要求。</w:t>
            </w:r>
          </w:p>
          <w:p w14:paraId="2DA50412">
            <w:pPr>
              <w:pStyle w:val="3"/>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本项目运营期间产生的危险废物主要为HW08类，</w:t>
            </w:r>
            <w:r>
              <w:rPr>
                <w:rFonts w:hint="eastAsia" w:eastAsia="宋体" w:cs="Times New Roman"/>
                <w:color w:val="000000" w:themeColor="text1"/>
                <w:lang w:val="en-US" w:eastAsia="zh-CN"/>
                <w14:textFill>
                  <w14:solidFill>
                    <w14:schemeClr w14:val="tx1"/>
                  </w14:solidFill>
                </w14:textFill>
              </w:rPr>
              <w:t>委托有资质单位处置，故本项目正常运行情况下危险废物不会对周围环境造影响。</w:t>
            </w:r>
          </w:p>
          <w:p w14:paraId="3676C2C2">
            <w:pPr>
              <w:pStyle w:val="16"/>
              <w:jc w:val="center"/>
              <w:rPr>
                <w:rFonts w:eastAsia="宋体"/>
                <w:color w:val="auto"/>
              </w:rPr>
            </w:pPr>
            <w:r>
              <w:rPr>
                <w:rFonts w:eastAsia="宋体"/>
                <w:color w:val="auto"/>
              </w:rPr>
              <w:t>表</w:t>
            </w:r>
            <w:r>
              <w:rPr>
                <w:rFonts w:hint="eastAsia" w:eastAsia="宋体"/>
                <w:color w:val="auto"/>
              </w:rPr>
              <w:t>4-1</w:t>
            </w:r>
            <w:r>
              <w:rPr>
                <w:rFonts w:hint="eastAsia" w:eastAsia="宋体"/>
                <w:color w:val="auto"/>
                <w:lang w:val="en-US" w:eastAsia="zh-CN"/>
              </w:rPr>
              <w:t>1</w:t>
            </w:r>
            <w:r>
              <w:rPr>
                <w:rFonts w:eastAsia="宋体"/>
                <w:color w:val="auto"/>
              </w:rPr>
              <w:t xml:space="preserve">  建设项目固体废物利用处置方式评价</w:t>
            </w:r>
          </w:p>
          <w:tbl>
            <w:tblPr>
              <w:tblStyle w:val="11"/>
              <w:tblW w:w="4995"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22"/>
              <w:gridCol w:w="972"/>
              <w:gridCol w:w="789"/>
              <w:gridCol w:w="640"/>
              <w:gridCol w:w="957"/>
              <w:gridCol w:w="945"/>
              <w:gridCol w:w="1042"/>
              <w:gridCol w:w="1079"/>
              <w:gridCol w:w="852"/>
            </w:tblGrid>
            <w:tr w14:paraId="3D146E4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74" w:type="pct"/>
                  <w:tcBorders>
                    <w:tl2br w:val="nil"/>
                    <w:tr2bl w:val="nil"/>
                  </w:tcBorders>
                  <w:vAlign w:val="center"/>
                </w:tcPr>
                <w:p w14:paraId="60EBEDF5">
                  <w:pPr>
                    <w:pStyle w:val="17"/>
                    <w:rPr>
                      <w:rFonts w:eastAsia="宋体"/>
                      <w:b/>
                      <w:bCs/>
                      <w:color w:val="auto"/>
                    </w:rPr>
                  </w:pPr>
                  <w:r>
                    <w:rPr>
                      <w:rFonts w:eastAsia="宋体"/>
                      <w:b/>
                      <w:bCs/>
                      <w:color w:val="auto"/>
                    </w:rPr>
                    <w:t>序号</w:t>
                  </w:r>
                </w:p>
              </w:tc>
              <w:tc>
                <w:tcPr>
                  <w:tcW w:w="631" w:type="pct"/>
                  <w:tcBorders>
                    <w:tl2br w:val="nil"/>
                    <w:tr2bl w:val="nil"/>
                  </w:tcBorders>
                  <w:vAlign w:val="center"/>
                </w:tcPr>
                <w:p w14:paraId="1D707A96">
                  <w:pPr>
                    <w:pStyle w:val="17"/>
                    <w:rPr>
                      <w:rFonts w:eastAsia="宋体"/>
                      <w:b/>
                      <w:bCs/>
                      <w:color w:val="auto"/>
                    </w:rPr>
                  </w:pPr>
                  <w:r>
                    <w:rPr>
                      <w:rFonts w:eastAsia="宋体"/>
                      <w:b/>
                      <w:bCs/>
                      <w:color w:val="auto"/>
                    </w:rPr>
                    <w:t>固废</w:t>
                  </w:r>
                </w:p>
                <w:p w14:paraId="4451B180">
                  <w:pPr>
                    <w:pStyle w:val="17"/>
                    <w:rPr>
                      <w:rFonts w:eastAsia="宋体"/>
                      <w:b/>
                      <w:bCs/>
                      <w:color w:val="auto"/>
                    </w:rPr>
                  </w:pPr>
                  <w:r>
                    <w:rPr>
                      <w:rFonts w:eastAsia="宋体"/>
                      <w:b/>
                      <w:bCs/>
                      <w:color w:val="auto"/>
                    </w:rPr>
                    <w:t>名称</w:t>
                  </w:r>
                </w:p>
              </w:tc>
              <w:tc>
                <w:tcPr>
                  <w:tcW w:w="512" w:type="pct"/>
                  <w:tcBorders>
                    <w:tl2br w:val="nil"/>
                    <w:tr2bl w:val="nil"/>
                  </w:tcBorders>
                  <w:vAlign w:val="center"/>
                </w:tcPr>
                <w:p w14:paraId="381ED6F3">
                  <w:pPr>
                    <w:pStyle w:val="17"/>
                    <w:rPr>
                      <w:rFonts w:eastAsia="宋体"/>
                      <w:b/>
                      <w:bCs/>
                      <w:color w:val="auto"/>
                    </w:rPr>
                  </w:pPr>
                  <w:r>
                    <w:rPr>
                      <w:rFonts w:eastAsia="宋体"/>
                      <w:b/>
                      <w:bCs/>
                      <w:color w:val="auto"/>
                    </w:rPr>
                    <w:t>产生工序</w:t>
                  </w:r>
                </w:p>
              </w:tc>
              <w:tc>
                <w:tcPr>
                  <w:tcW w:w="415" w:type="pct"/>
                  <w:tcBorders>
                    <w:tl2br w:val="nil"/>
                    <w:tr2bl w:val="nil"/>
                  </w:tcBorders>
                  <w:vAlign w:val="center"/>
                </w:tcPr>
                <w:p w14:paraId="5E50E059">
                  <w:pPr>
                    <w:pStyle w:val="17"/>
                    <w:rPr>
                      <w:rFonts w:eastAsia="宋体"/>
                      <w:b/>
                      <w:bCs/>
                      <w:color w:val="auto"/>
                    </w:rPr>
                  </w:pPr>
                  <w:r>
                    <w:rPr>
                      <w:rFonts w:eastAsia="宋体"/>
                      <w:b/>
                      <w:bCs/>
                      <w:color w:val="auto"/>
                    </w:rPr>
                    <w:t>属性</w:t>
                  </w:r>
                </w:p>
              </w:tc>
              <w:tc>
                <w:tcPr>
                  <w:tcW w:w="621" w:type="pct"/>
                  <w:tcBorders>
                    <w:tl2br w:val="nil"/>
                    <w:tr2bl w:val="nil"/>
                  </w:tcBorders>
                  <w:vAlign w:val="center"/>
                </w:tcPr>
                <w:p w14:paraId="3BF304E3">
                  <w:pPr>
                    <w:pStyle w:val="17"/>
                    <w:rPr>
                      <w:rFonts w:eastAsia="宋体"/>
                      <w:b/>
                      <w:bCs/>
                      <w:color w:val="auto"/>
                    </w:rPr>
                  </w:pPr>
                  <w:r>
                    <w:rPr>
                      <w:rFonts w:eastAsia="宋体"/>
                      <w:b/>
                      <w:bCs/>
                      <w:color w:val="auto"/>
                    </w:rPr>
                    <w:t>废物</w:t>
                  </w:r>
                </w:p>
                <w:p w14:paraId="40E41785">
                  <w:pPr>
                    <w:pStyle w:val="17"/>
                    <w:rPr>
                      <w:rFonts w:eastAsia="宋体"/>
                      <w:b/>
                      <w:bCs/>
                      <w:color w:val="auto"/>
                    </w:rPr>
                  </w:pPr>
                  <w:r>
                    <w:rPr>
                      <w:rFonts w:eastAsia="宋体"/>
                      <w:b/>
                      <w:bCs/>
                      <w:color w:val="auto"/>
                    </w:rPr>
                    <w:t>代码</w:t>
                  </w:r>
                </w:p>
              </w:tc>
              <w:tc>
                <w:tcPr>
                  <w:tcW w:w="613" w:type="pct"/>
                  <w:tcBorders>
                    <w:tl2br w:val="nil"/>
                    <w:tr2bl w:val="nil"/>
                  </w:tcBorders>
                  <w:vAlign w:val="center"/>
                </w:tcPr>
                <w:p w14:paraId="52F8C076">
                  <w:pPr>
                    <w:pStyle w:val="17"/>
                    <w:rPr>
                      <w:rFonts w:eastAsia="宋体"/>
                      <w:b/>
                      <w:bCs/>
                      <w:color w:val="auto"/>
                    </w:rPr>
                  </w:pPr>
                  <w:r>
                    <w:rPr>
                      <w:rFonts w:eastAsia="宋体"/>
                      <w:b/>
                      <w:bCs/>
                      <w:color w:val="auto"/>
                    </w:rPr>
                    <w:t>预测产生量t</w:t>
                  </w:r>
                </w:p>
              </w:tc>
              <w:tc>
                <w:tcPr>
                  <w:tcW w:w="676" w:type="pct"/>
                  <w:tcBorders>
                    <w:tl2br w:val="nil"/>
                    <w:tr2bl w:val="nil"/>
                  </w:tcBorders>
                  <w:vAlign w:val="center"/>
                </w:tcPr>
                <w:p w14:paraId="26ACCCE6">
                  <w:pPr>
                    <w:pStyle w:val="17"/>
                    <w:rPr>
                      <w:rFonts w:eastAsia="宋体"/>
                      <w:b/>
                      <w:bCs/>
                      <w:color w:val="auto"/>
                    </w:rPr>
                  </w:pPr>
                  <w:r>
                    <w:rPr>
                      <w:rFonts w:eastAsia="宋体"/>
                      <w:b/>
                      <w:bCs/>
                      <w:color w:val="auto"/>
                    </w:rPr>
                    <w:t>利用处置方式</w:t>
                  </w:r>
                </w:p>
              </w:tc>
              <w:tc>
                <w:tcPr>
                  <w:tcW w:w="700" w:type="pct"/>
                  <w:tcBorders>
                    <w:tl2br w:val="nil"/>
                    <w:tr2bl w:val="nil"/>
                  </w:tcBorders>
                  <w:vAlign w:val="center"/>
                </w:tcPr>
                <w:p w14:paraId="0DB29D05">
                  <w:pPr>
                    <w:pStyle w:val="17"/>
                    <w:rPr>
                      <w:rFonts w:eastAsia="宋体"/>
                      <w:b/>
                      <w:bCs/>
                      <w:color w:val="auto"/>
                    </w:rPr>
                  </w:pPr>
                  <w:r>
                    <w:rPr>
                      <w:rFonts w:eastAsia="宋体"/>
                      <w:b/>
                      <w:bCs/>
                      <w:color w:val="auto"/>
                    </w:rPr>
                    <w:t>委托利用的单位</w:t>
                  </w:r>
                </w:p>
              </w:tc>
              <w:tc>
                <w:tcPr>
                  <w:tcW w:w="553" w:type="pct"/>
                  <w:tcBorders>
                    <w:tl2br w:val="nil"/>
                    <w:tr2bl w:val="nil"/>
                  </w:tcBorders>
                  <w:vAlign w:val="center"/>
                </w:tcPr>
                <w:p w14:paraId="0EC867DE">
                  <w:pPr>
                    <w:pStyle w:val="17"/>
                    <w:rPr>
                      <w:rFonts w:eastAsia="宋体"/>
                      <w:b/>
                      <w:bCs/>
                      <w:color w:val="auto"/>
                    </w:rPr>
                  </w:pPr>
                  <w:r>
                    <w:rPr>
                      <w:rFonts w:eastAsia="宋体"/>
                      <w:b/>
                      <w:bCs/>
                      <w:color w:val="auto"/>
                    </w:rPr>
                    <w:t>是否满足环保要求</w:t>
                  </w:r>
                </w:p>
              </w:tc>
            </w:tr>
            <w:tr w14:paraId="3526079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74" w:type="pct"/>
                  <w:tcBorders>
                    <w:tl2br w:val="nil"/>
                    <w:tr2bl w:val="nil"/>
                  </w:tcBorders>
                  <w:vAlign w:val="center"/>
                </w:tcPr>
                <w:p w14:paraId="784ADBF0">
                  <w:pPr>
                    <w:pStyle w:val="17"/>
                    <w:rPr>
                      <w:rFonts w:eastAsia="宋体"/>
                      <w:color w:val="auto"/>
                    </w:rPr>
                  </w:pPr>
                  <w:r>
                    <w:rPr>
                      <w:rFonts w:eastAsia="宋体"/>
                      <w:color w:val="auto"/>
                    </w:rPr>
                    <w:t>1</w:t>
                  </w:r>
                </w:p>
              </w:tc>
              <w:tc>
                <w:tcPr>
                  <w:tcW w:w="631" w:type="pct"/>
                  <w:tcBorders>
                    <w:tl2br w:val="nil"/>
                    <w:tr2bl w:val="nil"/>
                  </w:tcBorders>
                  <w:vAlign w:val="center"/>
                </w:tcPr>
                <w:p w14:paraId="109D2AA6">
                  <w:pPr>
                    <w:pStyle w:val="17"/>
                    <w:rPr>
                      <w:rFonts w:eastAsia="宋体"/>
                      <w:color w:val="auto"/>
                    </w:rPr>
                  </w:pPr>
                  <w:r>
                    <w:rPr>
                      <w:rFonts w:eastAsia="宋体"/>
                      <w:color w:val="auto"/>
                    </w:rPr>
                    <w:t>生活</w:t>
                  </w:r>
                </w:p>
                <w:p w14:paraId="69D4C2F1">
                  <w:pPr>
                    <w:pStyle w:val="17"/>
                    <w:rPr>
                      <w:rFonts w:eastAsia="宋体"/>
                      <w:color w:val="auto"/>
                    </w:rPr>
                  </w:pPr>
                  <w:r>
                    <w:rPr>
                      <w:rFonts w:eastAsia="宋体"/>
                      <w:color w:val="auto"/>
                    </w:rPr>
                    <w:t>垃圾</w:t>
                  </w:r>
                </w:p>
              </w:tc>
              <w:tc>
                <w:tcPr>
                  <w:tcW w:w="512" w:type="pct"/>
                  <w:tcBorders>
                    <w:tl2br w:val="nil"/>
                    <w:tr2bl w:val="nil"/>
                  </w:tcBorders>
                  <w:vAlign w:val="center"/>
                </w:tcPr>
                <w:p w14:paraId="61DD2CA0">
                  <w:pPr>
                    <w:pStyle w:val="17"/>
                    <w:rPr>
                      <w:rFonts w:eastAsia="宋体"/>
                      <w:color w:val="auto"/>
                    </w:rPr>
                  </w:pPr>
                  <w:r>
                    <w:rPr>
                      <w:rFonts w:eastAsia="宋体"/>
                      <w:color w:val="auto"/>
                    </w:rPr>
                    <w:t>员工生活</w:t>
                  </w:r>
                </w:p>
              </w:tc>
              <w:tc>
                <w:tcPr>
                  <w:tcW w:w="415" w:type="pct"/>
                  <w:tcBorders>
                    <w:tl2br w:val="nil"/>
                    <w:tr2bl w:val="nil"/>
                  </w:tcBorders>
                  <w:vAlign w:val="center"/>
                </w:tcPr>
                <w:p w14:paraId="5C718804">
                  <w:pPr>
                    <w:pStyle w:val="17"/>
                    <w:rPr>
                      <w:rFonts w:eastAsia="宋体"/>
                      <w:color w:val="auto"/>
                    </w:rPr>
                  </w:pPr>
                  <w:r>
                    <w:rPr>
                      <w:rFonts w:eastAsia="宋体"/>
                      <w:color w:val="auto"/>
                    </w:rPr>
                    <w:t>/</w:t>
                  </w:r>
                </w:p>
              </w:tc>
              <w:tc>
                <w:tcPr>
                  <w:tcW w:w="939" w:type="dxa"/>
                  <w:tcBorders>
                    <w:tl2br w:val="nil"/>
                    <w:tr2bl w:val="nil"/>
                  </w:tcBorders>
                  <w:vAlign w:val="center"/>
                </w:tcPr>
                <w:p w14:paraId="6A29AE50">
                  <w:pPr>
                    <w:pStyle w:val="17"/>
                    <w:spacing w:line="240" w:lineRule="auto"/>
                    <w:ind w:firstLine="0" w:firstLineChars="0"/>
                    <w:rPr>
                      <w:rFonts w:eastAsia="宋体"/>
                      <w:color w:val="000000" w:themeColor="text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900-099-S64</w:t>
                  </w:r>
                </w:p>
              </w:tc>
              <w:tc>
                <w:tcPr>
                  <w:tcW w:w="613" w:type="pct"/>
                  <w:tcBorders>
                    <w:tl2br w:val="nil"/>
                    <w:tr2bl w:val="nil"/>
                  </w:tcBorders>
                  <w:vAlign w:val="center"/>
                </w:tcPr>
                <w:p w14:paraId="18C20915">
                  <w:pPr>
                    <w:pStyle w:val="17"/>
                    <w:rPr>
                      <w:rFonts w:hint="default" w:eastAsia="宋体"/>
                      <w:color w:val="auto"/>
                      <w:lang w:val="en-US" w:eastAsia="zh-CN"/>
                    </w:rPr>
                  </w:pPr>
                  <w:r>
                    <w:rPr>
                      <w:rFonts w:hint="eastAsia" w:eastAsia="宋体"/>
                      <w:color w:val="auto"/>
                      <w:lang w:val="en-US" w:eastAsia="zh-CN"/>
                    </w:rPr>
                    <w:t>1.5</w:t>
                  </w:r>
                </w:p>
              </w:tc>
              <w:tc>
                <w:tcPr>
                  <w:tcW w:w="676" w:type="pct"/>
                  <w:tcBorders>
                    <w:tl2br w:val="nil"/>
                    <w:tr2bl w:val="nil"/>
                  </w:tcBorders>
                  <w:vAlign w:val="center"/>
                </w:tcPr>
                <w:p w14:paraId="6CE5558F">
                  <w:pPr>
                    <w:pStyle w:val="17"/>
                    <w:rPr>
                      <w:rFonts w:eastAsia="宋体"/>
                      <w:color w:val="auto"/>
                    </w:rPr>
                  </w:pPr>
                  <w:r>
                    <w:rPr>
                      <w:rFonts w:eastAsia="宋体"/>
                      <w:color w:val="auto"/>
                    </w:rPr>
                    <w:t>环卫</w:t>
                  </w:r>
                </w:p>
                <w:p w14:paraId="276E403C">
                  <w:pPr>
                    <w:pStyle w:val="17"/>
                    <w:rPr>
                      <w:rFonts w:eastAsia="宋体"/>
                      <w:color w:val="auto"/>
                    </w:rPr>
                  </w:pPr>
                  <w:r>
                    <w:rPr>
                      <w:rFonts w:eastAsia="宋体"/>
                      <w:color w:val="auto"/>
                    </w:rPr>
                    <w:t>清运</w:t>
                  </w:r>
                </w:p>
              </w:tc>
              <w:tc>
                <w:tcPr>
                  <w:tcW w:w="700" w:type="pct"/>
                  <w:tcBorders>
                    <w:tl2br w:val="nil"/>
                    <w:tr2bl w:val="nil"/>
                  </w:tcBorders>
                  <w:vAlign w:val="center"/>
                </w:tcPr>
                <w:p w14:paraId="3ED03C2F">
                  <w:pPr>
                    <w:pStyle w:val="17"/>
                    <w:rPr>
                      <w:rFonts w:eastAsia="宋体"/>
                      <w:color w:val="auto"/>
                    </w:rPr>
                  </w:pPr>
                  <w:r>
                    <w:rPr>
                      <w:rFonts w:eastAsia="宋体"/>
                      <w:color w:val="auto"/>
                    </w:rPr>
                    <w:t>环卫部门</w:t>
                  </w:r>
                </w:p>
              </w:tc>
              <w:tc>
                <w:tcPr>
                  <w:tcW w:w="553" w:type="pct"/>
                  <w:tcBorders>
                    <w:tl2br w:val="nil"/>
                    <w:tr2bl w:val="nil"/>
                  </w:tcBorders>
                  <w:vAlign w:val="center"/>
                </w:tcPr>
                <w:p w14:paraId="7A99939A">
                  <w:pPr>
                    <w:pStyle w:val="17"/>
                    <w:rPr>
                      <w:rFonts w:eastAsia="宋体"/>
                      <w:color w:val="auto"/>
                    </w:rPr>
                  </w:pPr>
                  <w:r>
                    <w:rPr>
                      <w:rFonts w:eastAsia="宋体"/>
                      <w:color w:val="auto"/>
                    </w:rPr>
                    <w:t>满足</w:t>
                  </w:r>
                </w:p>
              </w:tc>
            </w:tr>
            <w:tr w14:paraId="243046B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02" w:hRule="atLeast"/>
                <w:jc w:val="center"/>
              </w:trPr>
              <w:tc>
                <w:tcPr>
                  <w:tcW w:w="274" w:type="pct"/>
                  <w:tcBorders>
                    <w:tl2br w:val="nil"/>
                    <w:tr2bl w:val="nil"/>
                  </w:tcBorders>
                  <w:vAlign w:val="center"/>
                </w:tcPr>
                <w:p w14:paraId="4C967436">
                  <w:pPr>
                    <w:pStyle w:val="17"/>
                    <w:rPr>
                      <w:rFonts w:eastAsia="宋体"/>
                      <w:color w:val="auto"/>
                    </w:rPr>
                  </w:pPr>
                  <w:r>
                    <w:rPr>
                      <w:rFonts w:eastAsia="宋体"/>
                      <w:color w:val="auto"/>
                    </w:rPr>
                    <w:t>2</w:t>
                  </w:r>
                </w:p>
              </w:tc>
              <w:tc>
                <w:tcPr>
                  <w:tcW w:w="631" w:type="pct"/>
                  <w:tcBorders>
                    <w:tl2br w:val="nil"/>
                    <w:tr2bl w:val="nil"/>
                  </w:tcBorders>
                  <w:vAlign w:val="center"/>
                </w:tcPr>
                <w:p w14:paraId="5AF06A15">
                  <w:pPr>
                    <w:pStyle w:val="17"/>
                    <w:rPr>
                      <w:rFonts w:hint="eastAsia" w:eastAsia="宋体"/>
                      <w:color w:val="auto"/>
                      <w:lang w:val="en-US" w:eastAsia="zh-CN"/>
                    </w:rPr>
                  </w:pPr>
                  <w:r>
                    <w:rPr>
                      <w:rFonts w:hint="eastAsia" w:eastAsia="宋体"/>
                      <w:color w:val="auto"/>
                      <w:lang w:val="en-US" w:eastAsia="zh-CN"/>
                    </w:rPr>
                    <w:t>泥饼</w:t>
                  </w:r>
                </w:p>
              </w:tc>
              <w:tc>
                <w:tcPr>
                  <w:tcW w:w="512" w:type="pct"/>
                  <w:tcBorders>
                    <w:tl2br w:val="nil"/>
                    <w:tr2bl w:val="nil"/>
                  </w:tcBorders>
                  <w:vAlign w:val="center"/>
                </w:tcPr>
                <w:p w14:paraId="67A6F0D0">
                  <w:pPr>
                    <w:pStyle w:val="17"/>
                    <w:rPr>
                      <w:rFonts w:eastAsia="宋体"/>
                      <w:color w:val="auto"/>
                    </w:rPr>
                  </w:pPr>
                  <w:r>
                    <w:rPr>
                      <w:rFonts w:eastAsia="宋体"/>
                      <w:color w:val="auto"/>
                    </w:rPr>
                    <w:t>钻井</w:t>
                  </w:r>
                </w:p>
              </w:tc>
              <w:tc>
                <w:tcPr>
                  <w:tcW w:w="415" w:type="pct"/>
                  <w:vMerge w:val="restart"/>
                  <w:tcBorders>
                    <w:tl2br w:val="nil"/>
                    <w:tr2bl w:val="nil"/>
                  </w:tcBorders>
                  <w:vAlign w:val="center"/>
                </w:tcPr>
                <w:p w14:paraId="004D82E3">
                  <w:pPr>
                    <w:pStyle w:val="17"/>
                    <w:rPr>
                      <w:rFonts w:eastAsia="宋体"/>
                      <w:color w:val="auto"/>
                    </w:rPr>
                  </w:pPr>
                  <w:r>
                    <w:rPr>
                      <w:rFonts w:eastAsia="宋体"/>
                      <w:color w:val="auto"/>
                    </w:rPr>
                    <w:t>一般固废</w:t>
                  </w:r>
                </w:p>
              </w:tc>
              <w:tc>
                <w:tcPr>
                  <w:tcW w:w="939" w:type="dxa"/>
                  <w:tcBorders>
                    <w:tl2br w:val="nil"/>
                    <w:tr2bl w:val="nil"/>
                  </w:tcBorders>
                  <w:vAlign w:val="center"/>
                </w:tcPr>
                <w:p w14:paraId="60873A34">
                  <w:pPr>
                    <w:pStyle w:val="17"/>
                    <w:spacing w:line="240" w:lineRule="auto"/>
                    <w:ind w:firstLine="0" w:firstLineChars="0"/>
                    <w:rPr>
                      <w:rFonts w:eastAsia="宋体"/>
                      <w:color w:val="000000" w:themeColor="text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071-001-S12</w:t>
                  </w:r>
                </w:p>
              </w:tc>
              <w:tc>
                <w:tcPr>
                  <w:tcW w:w="613" w:type="pct"/>
                  <w:tcBorders>
                    <w:tl2br w:val="nil"/>
                    <w:tr2bl w:val="nil"/>
                  </w:tcBorders>
                  <w:vAlign w:val="center"/>
                </w:tcPr>
                <w:p w14:paraId="557A4A80">
                  <w:pPr>
                    <w:pStyle w:val="17"/>
                    <w:rPr>
                      <w:rFonts w:hint="default" w:eastAsia="宋体"/>
                      <w:color w:val="auto"/>
                      <w:lang w:val="en-US" w:eastAsia="zh-CN"/>
                    </w:rPr>
                  </w:pPr>
                  <w:r>
                    <w:rPr>
                      <w:rFonts w:hint="eastAsia" w:eastAsia="宋体"/>
                      <w:color w:val="auto"/>
                      <w:lang w:val="en-US" w:eastAsia="zh-CN"/>
                    </w:rPr>
                    <w:t>1500</w:t>
                  </w:r>
                </w:p>
              </w:tc>
              <w:tc>
                <w:tcPr>
                  <w:tcW w:w="676" w:type="pct"/>
                  <w:tcBorders>
                    <w:tl2br w:val="nil"/>
                    <w:tr2bl w:val="nil"/>
                  </w:tcBorders>
                  <w:vAlign w:val="center"/>
                </w:tcPr>
                <w:p w14:paraId="510D0B96">
                  <w:pPr>
                    <w:pStyle w:val="17"/>
                    <w:rPr>
                      <w:rFonts w:eastAsia="宋体"/>
                      <w:color w:val="auto"/>
                    </w:rPr>
                  </w:pPr>
                  <w:r>
                    <w:rPr>
                      <w:rFonts w:hint="eastAsia" w:eastAsia="宋体"/>
                      <w:color w:val="auto"/>
                    </w:rPr>
                    <w:t>综合</w:t>
                  </w:r>
                </w:p>
                <w:p w14:paraId="707309E7">
                  <w:pPr>
                    <w:pStyle w:val="17"/>
                    <w:rPr>
                      <w:rFonts w:eastAsia="宋体"/>
                      <w:color w:val="auto"/>
                    </w:rPr>
                  </w:pPr>
                  <w:r>
                    <w:rPr>
                      <w:rFonts w:hint="eastAsia" w:eastAsia="宋体"/>
                      <w:color w:val="auto"/>
                    </w:rPr>
                    <w:t>利用</w:t>
                  </w:r>
                </w:p>
              </w:tc>
              <w:tc>
                <w:tcPr>
                  <w:tcW w:w="700" w:type="pct"/>
                  <w:tcBorders>
                    <w:tl2br w:val="nil"/>
                    <w:tr2bl w:val="nil"/>
                  </w:tcBorders>
                  <w:vAlign w:val="center"/>
                </w:tcPr>
                <w:p w14:paraId="156CB206">
                  <w:pPr>
                    <w:pStyle w:val="17"/>
                    <w:rPr>
                      <w:rFonts w:eastAsia="宋体"/>
                      <w:color w:val="auto"/>
                    </w:rPr>
                  </w:pPr>
                  <w:r>
                    <w:rPr>
                      <w:rFonts w:eastAsia="宋体"/>
                      <w:color w:val="auto"/>
                    </w:rPr>
                    <w:t>/</w:t>
                  </w:r>
                </w:p>
              </w:tc>
              <w:tc>
                <w:tcPr>
                  <w:tcW w:w="553" w:type="pct"/>
                  <w:tcBorders>
                    <w:tl2br w:val="nil"/>
                    <w:tr2bl w:val="nil"/>
                  </w:tcBorders>
                  <w:vAlign w:val="center"/>
                </w:tcPr>
                <w:p w14:paraId="3B857FAF">
                  <w:pPr>
                    <w:pStyle w:val="17"/>
                    <w:rPr>
                      <w:rFonts w:eastAsia="宋体"/>
                      <w:color w:val="auto"/>
                    </w:rPr>
                  </w:pPr>
                  <w:r>
                    <w:rPr>
                      <w:rFonts w:eastAsia="宋体"/>
                      <w:color w:val="auto"/>
                    </w:rPr>
                    <w:t>满足</w:t>
                  </w:r>
                </w:p>
              </w:tc>
            </w:tr>
            <w:tr w14:paraId="11DAB2A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74" w:type="pct"/>
                  <w:tcBorders>
                    <w:tl2br w:val="nil"/>
                    <w:tr2bl w:val="nil"/>
                  </w:tcBorders>
                  <w:vAlign w:val="center"/>
                </w:tcPr>
                <w:p w14:paraId="78165F33">
                  <w:pPr>
                    <w:pStyle w:val="17"/>
                    <w:rPr>
                      <w:rFonts w:hint="eastAsia" w:eastAsia="宋体"/>
                      <w:color w:val="auto"/>
                      <w:lang w:eastAsia="zh-CN"/>
                    </w:rPr>
                  </w:pPr>
                  <w:r>
                    <w:rPr>
                      <w:rFonts w:hint="eastAsia" w:eastAsia="宋体"/>
                      <w:color w:val="auto"/>
                      <w:lang w:val="en-US" w:eastAsia="zh-CN"/>
                    </w:rPr>
                    <w:t>3</w:t>
                  </w:r>
                </w:p>
              </w:tc>
              <w:tc>
                <w:tcPr>
                  <w:tcW w:w="631" w:type="pct"/>
                  <w:tcBorders>
                    <w:tl2br w:val="nil"/>
                    <w:tr2bl w:val="nil"/>
                  </w:tcBorders>
                  <w:vAlign w:val="center"/>
                </w:tcPr>
                <w:p w14:paraId="2AC8F924">
                  <w:pPr>
                    <w:pStyle w:val="17"/>
                    <w:rPr>
                      <w:rFonts w:eastAsia="宋体"/>
                      <w:color w:val="auto"/>
                    </w:rPr>
                  </w:pPr>
                  <w:r>
                    <w:rPr>
                      <w:rFonts w:eastAsia="宋体"/>
                      <w:color w:val="auto"/>
                    </w:rPr>
                    <w:t>施工</w:t>
                  </w:r>
                </w:p>
                <w:p w14:paraId="78249586">
                  <w:pPr>
                    <w:pStyle w:val="17"/>
                    <w:rPr>
                      <w:rFonts w:eastAsia="宋体"/>
                      <w:color w:val="auto"/>
                    </w:rPr>
                  </w:pPr>
                  <w:r>
                    <w:rPr>
                      <w:rFonts w:eastAsia="宋体"/>
                      <w:color w:val="auto"/>
                    </w:rPr>
                    <w:t>废料</w:t>
                  </w:r>
                </w:p>
              </w:tc>
              <w:tc>
                <w:tcPr>
                  <w:tcW w:w="512" w:type="pct"/>
                  <w:tcBorders>
                    <w:tl2br w:val="nil"/>
                    <w:tr2bl w:val="nil"/>
                  </w:tcBorders>
                  <w:vAlign w:val="center"/>
                </w:tcPr>
                <w:p w14:paraId="289AA088">
                  <w:pPr>
                    <w:pStyle w:val="17"/>
                    <w:rPr>
                      <w:rFonts w:eastAsia="宋体"/>
                      <w:color w:val="auto"/>
                    </w:rPr>
                  </w:pPr>
                  <w:r>
                    <w:rPr>
                      <w:rFonts w:eastAsia="宋体"/>
                      <w:color w:val="auto"/>
                    </w:rPr>
                    <w:t>钻井</w:t>
                  </w:r>
                </w:p>
              </w:tc>
              <w:tc>
                <w:tcPr>
                  <w:tcW w:w="415" w:type="pct"/>
                  <w:vMerge w:val="continue"/>
                  <w:tcBorders>
                    <w:tl2br w:val="nil"/>
                    <w:tr2bl w:val="nil"/>
                  </w:tcBorders>
                  <w:vAlign w:val="center"/>
                </w:tcPr>
                <w:p w14:paraId="222470F4">
                  <w:pPr>
                    <w:pStyle w:val="17"/>
                    <w:rPr>
                      <w:rFonts w:eastAsia="宋体"/>
                      <w:color w:val="auto"/>
                    </w:rPr>
                  </w:pPr>
                </w:p>
              </w:tc>
              <w:tc>
                <w:tcPr>
                  <w:tcW w:w="621" w:type="pct"/>
                  <w:tcBorders>
                    <w:tl2br w:val="nil"/>
                    <w:tr2bl w:val="nil"/>
                  </w:tcBorders>
                  <w:vAlign w:val="center"/>
                </w:tcPr>
                <w:p w14:paraId="13DAC9AC">
                  <w:pPr>
                    <w:pStyle w:val="17"/>
                    <w:rPr>
                      <w:rFonts w:eastAsia="宋体"/>
                      <w:color w:val="000000" w:themeColor="text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900-001-S72</w:t>
                  </w:r>
                </w:p>
              </w:tc>
              <w:tc>
                <w:tcPr>
                  <w:tcW w:w="613" w:type="pct"/>
                  <w:tcBorders>
                    <w:tl2br w:val="nil"/>
                    <w:tr2bl w:val="nil"/>
                  </w:tcBorders>
                  <w:vAlign w:val="center"/>
                </w:tcPr>
                <w:p w14:paraId="33B26206">
                  <w:pPr>
                    <w:pStyle w:val="17"/>
                    <w:rPr>
                      <w:rFonts w:hint="default" w:eastAsia="宋体"/>
                      <w:color w:val="auto"/>
                      <w:lang w:val="en-US" w:eastAsia="zh-CN"/>
                    </w:rPr>
                  </w:pPr>
                  <w:r>
                    <w:rPr>
                      <w:rFonts w:hint="eastAsia" w:eastAsia="宋体"/>
                      <w:color w:val="auto"/>
                      <w:lang w:val="en-US" w:eastAsia="zh-CN"/>
                    </w:rPr>
                    <w:t>60</w:t>
                  </w:r>
                </w:p>
              </w:tc>
              <w:tc>
                <w:tcPr>
                  <w:tcW w:w="676" w:type="pct"/>
                  <w:tcBorders>
                    <w:tl2br w:val="nil"/>
                    <w:tr2bl w:val="nil"/>
                  </w:tcBorders>
                  <w:vAlign w:val="center"/>
                </w:tcPr>
                <w:p w14:paraId="7D231950">
                  <w:pPr>
                    <w:pStyle w:val="17"/>
                    <w:rPr>
                      <w:rFonts w:eastAsia="宋体"/>
                      <w:color w:val="auto"/>
                    </w:rPr>
                  </w:pPr>
                  <w:r>
                    <w:rPr>
                      <w:rFonts w:hint="eastAsia" w:eastAsia="宋体"/>
                      <w:color w:val="auto"/>
                    </w:rPr>
                    <w:t>回用或环卫清运</w:t>
                  </w:r>
                </w:p>
              </w:tc>
              <w:tc>
                <w:tcPr>
                  <w:tcW w:w="700" w:type="pct"/>
                  <w:tcBorders>
                    <w:tl2br w:val="nil"/>
                    <w:tr2bl w:val="nil"/>
                  </w:tcBorders>
                  <w:vAlign w:val="center"/>
                </w:tcPr>
                <w:p w14:paraId="02A2213C">
                  <w:pPr>
                    <w:pStyle w:val="17"/>
                    <w:rPr>
                      <w:rFonts w:eastAsia="宋体"/>
                      <w:color w:val="auto"/>
                    </w:rPr>
                  </w:pPr>
                  <w:r>
                    <w:rPr>
                      <w:rFonts w:eastAsia="宋体"/>
                      <w:color w:val="auto"/>
                    </w:rPr>
                    <w:t>/</w:t>
                  </w:r>
                </w:p>
              </w:tc>
              <w:tc>
                <w:tcPr>
                  <w:tcW w:w="553" w:type="pct"/>
                  <w:tcBorders>
                    <w:tl2br w:val="nil"/>
                    <w:tr2bl w:val="nil"/>
                  </w:tcBorders>
                  <w:vAlign w:val="center"/>
                </w:tcPr>
                <w:p w14:paraId="7FA54516">
                  <w:pPr>
                    <w:pStyle w:val="17"/>
                    <w:rPr>
                      <w:rFonts w:eastAsia="宋体"/>
                      <w:color w:val="auto"/>
                    </w:rPr>
                  </w:pPr>
                  <w:r>
                    <w:rPr>
                      <w:rFonts w:eastAsia="宋体"/>
                      <w:color w:val="auto"/>
                    </w:rPr>
                    <w:t>满足</w:t>
                  </w:r>
                </w:p>
              </w:tc>
            </w:tr>
            <w:tr w14:paraId="31E684E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74" w:type="pct"/>
                  <w:tcBorders>
                    <w:tl2br w:val="nil"/>
                    <w:tr2bl w:val="nil"/>
                  </w:tcBorders>
                  <w:vAlign w:val="center"/>
                </w:tcPr>
                <w:p w14:paraId="7614BA69">
                  <w:pPr>
                    <w:pStyle w:val="17"/>
                    <w:ind w:firstLine="0" w:firstLineChars="0"/>
                    <w:rPr>
                      <w:rFonts w:hint="eastAsia" w:eastAsia="宋体"/>
                      <w:color w:val="auto"/>
                      <w:lang w:val="en-US" w:eastAsia="zh-CN"/>
                    </w:rPr>
                  </w:pPr>
                  <w:r>
                    <w:rPr>
                      <w:rFonts w:hint="eastAsia" w:eastAsia="宋体"/>
                      <w:color w:val="auto"/>
                      <w:lang w:val="en-US" w:eastAsia="zh-CN"/>
                    </w:rPr>
                    <w:t>4</w:t>
                  </w:r>
                </w:p>
              </w:tc>
              <w:tc>
                <w:tcPr>
                  <w:tcW w:w="631" w:type="pct"/>
                  <w:tcBorders>
                    <w:tl2br w:val="nil"/>
                    <w:tr2bl w:val="nil"/>
                  </w:tcBorders>
                  <w:vAlign w:val="center"/>
                </w:tcPr>
                <w:p w14:paraId="5D649F8C">
                  <w:pPr>
                    <w:pStyle w:val="17"/>
                    <w:ind w:firstLine="0" w:firstLineChars="0"/>
                    <w:rPr>
                      <w:rFonts w:hint="default" w:eastAsia="宋体"/>
                      <w:color w:val="auto"/>
                      <w:lang w:val="en-US" w:eastAsia="zh-CN"/>
                    </w:rPr>
                  </w:pPr>
                  <w:r>
                    <w:rPr>
                      <w:rFonts w:hint="eastAsia" w:eastAsia="宋体"/>
                      <w:color w:val="auto"/>
                    </w:rPr>
                    <w:t>废</w:t>
                  </w:r>
                  <w:r>
                    <w:rPr>
                      <w:rFonts w:hint="eastAsia" w:eastAsia="宋体"/>
                      <w:color w:val="auto"/>
                      <w:lang w:val="en-US" w:eastAsia="zh-CN"/>
                    </w:rPr>
                    <w:t>沾油防渗膜</w:t>
                  </w:r>
                </w:p>
              </w:tc>
              <w:tc>
                <w:tcPr>
                  <w:tcW w:w="512" w:type="pct"/>
                  <w:tcBorders>
                    <w:tl2br w:val="nil"/>
                    <w:tr2bl w:val="nil"/>
                  </w:tcBorders>
                  <w:vAlign w:val="center"/>
                </w:tcPr>
                <w:p w14:paraId="640D94A5">
                  <w:pPr>
                    <w:pStyle w:val="17"/>
                    <w:ind w:firstLine="0" w:firstLineChars="0"/>
                    <w:rPr>
                      <w:rFonts w:hint="eastAsia" w:eastAsia="宋体"/>
                      <w:color w:val="auto"/>
                      <w:lang w:eastAsia="zh-CN"/>
                    </w:rPr>
                  </w:pPr>
                  <w:r>
                    <w:rPr>
                      <w:rFonts w:hint="eastAsia" w:eastAsia="宋体"/>
                      <w:color w:val="auto"/>
                      <w:lang w:val="en-US" w:eastAsia="zh-CN"/>
                    </w:rPr>
                    <w:t>防渗</w:t>
                  </w:r>
                </w:p>
              </w:tc>
              <w:tc>
                <w:tcPr>
                  <w:tcW w:w="415" w:type="pct"/>
                  <w:tcBorders>
                    <w:tl2br w:val="nil"/>
                    <w:tr2bl w:val="nil"/>
                  </w:tcBorders>
                  <w:vAlign w:val="center"/>
                </w:tcPr>
                <w:p w14:paraId="16632372">
                  <w:pPr>
                    <w:pStyle w:val="17"/>
                    <w:ind w:firstLine="0" w:firstLineChars="0"/>
                    <w:rPr>
                      <w:rFonts w:eastAsia="宋体"/>
                      <w:color w:val="auto"/>
                    </w:rPr>
                  </w:pPr>
                  <w:r>
                    <w:rPr>
                      <w:rFonts w:eastAsia="宋体"/>
                      <w:color w:val="auto"/>
                    </w:rPr>
                    <w:t>危险固废</w:t>
                  </w:r>
                </w:p>
              </w:tc>
              <w:tc>
                <w:tcPr>
                  <w:tcW w:w="621" w:type="pct"/>
                  <w:tcBorders>
                    <w:tl2br w:val="nil"/>
                    <w:tr2bl w:val="nil"/>
                  </w:tcBorders>
                  <w:vAlign w:val="center"/>
                </w:tcPr>
                <w:p w14:paraId="326A5258">
                  <w:pPr>
                    <w:pStyle w:val="17"/>
                    <w:ind w:firstLine="0" w:firstLineChars="0"/>
                    <w:rPr>
                      <w:rFonts w:hint="eastAsia" w:eastAsia="宋体"/>
                      <w:color w:val="auto"/>
                    </w:rPr>
                  </w:pPr>
                  <w:r>
                    <w:rPr>
                      <w:rFonts w:hint="eastAsia" w:eastAsia="宋体"/>
                      <w:color w:val="auto"/>
                    </w:rPr>
                    <w:t>900-249-08</w:t>
                  </w:r>
                </w:p>
              </w:tc>
              <w:tc>
                <w:tcPr>
                  <w:tcW w:w="613" w:type="pct"/>
                  <w:tcBorders>
                    <w:tl2br w:val="nil"/>
                    <w:tr2bl w:val="nil"/>
                  </w:tcBorders>
                  <w:vAlign w:val="center"/>
                </w:tcPr>
                <w:p w14:paraId="1B7B8B4C">
                  <w:pPr>
                    <w:pStyle w:val="17"/>
                    <w:ind w:firstLine="0" w:firstLineChars="0"/>
                    <w:rPr>
                      <w:rFonts w:hint="default" w:eastAsia="宋体"/>
                      <w:color w:val="auto"/>
                      <w:lang w:val="en-US" w:eastAsia="zh-CN"/>
                    </w:rPr>
                  </w:pPr>
                  <w:r>
                    <w:rPr>
                      <w:rFonts w:hint="eastAsia" w:eastAsia="宋体"/>
                      <w:color w:val="auto"/>
                      <w:lang w:val="en-US" w:eastAsia="zh-CN"/>
                    </w:rPr>
                    <w:t>0.1</w:t>
                  </w:r>
                </w:p>
              </w:tc>
              <w:tc>
                <w:tcPr>
                  <w:tcW w:w="676" w:type="pct"/>
                  <w:tcBorders>
                    <w:tl2br w:val="nil"/>
                    <w:tr2bl w:val="nil"/>
                  </w:tcBorders>
                  <w:vAlign w:val="center"/>
                </w:tcPr>
                <w:p w14:paraId="7314F1B3">
                  <w:pPr>
                    <w:pStyle w:val="17"/>
                    <w:ind w:firstLine="0" w:firstLineChars="0"/>
                    <w:rPr>
                      <w:rFonts w:eastAsia="宋体"/>
                      <w:color w:val="auto"/>
                    </w:rPr>
                  </w:pPr>
                  <w:r>
                    <w:rPr>
                      <w:rFonts w:eastAsia="宋体"/>
                      <w:color w:val="auto"/>
                    </w:rPr>
                    <w:t>委托资质单位处置</w:t>
                  </w:r>
                </w:p>
              </w:tc>
              <w:tc>
                <w:tcPr>
                  <w:tcW w:w="700" w:type="pct"/>
                  <w:tcBorders>
                    <w:tl2br w:val="nil"/>
                    <w:tr2bl w:val="nil"/>
                  </w:tcBorders>
                  <w:vAlign w:val="center"/>
                </w:tcPr>
                <w:p w14:paraId="7E7E55B7">
                  <w:pPr>
                    <w:pStyle w:val="17"/>
                    <w:ind w:firstLine="0" w:firstLineChars="0"/>
                    <w:rPr>
                      <w:rFonts w:eastAsia="宋体"/>
                      <w:color w:val="auto"/>
                    </w:rPr>
                  </w:pPr>
                  <w:r>
                    <w:rPr>
                      <w:rFonts w:eastAsia="宋体"/>
                      <w:color w:val="auto"/>
                    </w:rPr>
                    <w:t>/</w:t>
                  </w:r>
                </w:p>
              </w:tc>
              <w:tc>
                <w:tcPr>
                  <w:tcW w:w="553" w:type="pct"/>
                  <w:tcBorders>
                    <w:tl2br w:val="nil"/>
                    <w:tr2bl w:val="nil"/>
                  </w:tcBorders>
                  <w:vAlign w:val="center"/>
                </w:tcPr>
                <w:p w14:paraId="3ECA1C09">
                  <w:pPr>
                    <w:pStyle w:val="17"/>
                    <w:ind w:firstLine="0" w:firstLineChars="0"/>
                    <w:rPr>
                      <w:rFonts w:eastAsia="宋体"/>
                      <w:color w:val="auto"/>
                    </w:rPr>
                  </w:pPr>
                  <w:r>
                    <w:rPr>
                      <w:rFonts w:eastAsia="宋体"/>
                      <w:color w:val="auto"/>
                    </w:rPr>
                    <w:t>满足</w:t>
                  </w:r>
                </w:p>
              </w:tc>
            </w:tr>
          </w:tbl>
          <w:p w14:paraId="2AF402A5">
            <w:pPr>
              <w:pStyle w:val="2"/>
              <w:ind w:firstLine="480" w:firstLineChars="200"/>
              <w:rPr>
                <w:rFonts w:eastAsia="宋体"/>
                <w:b w:val="0"/>
                <w:bCs/>
                <w:color w:val="auto"/>
              </w:rPr>
            </w:pPr>
            <w:r>
              <w:rPr>
                <w:rFonts w:hint="eastAsia" w:eastAsia="宋体"/>
                <w:b w:val="0"/>
                <w:bCs/>
                <w:color w:val="auto"/>
              </w:rPr>
              <w:t>根据《建设项目危险废物环境影响评价指南》中危险废物环境管理要求如下：</w:t>
            </w:r>
          </w:p>
          <w:p w14:paraId="2072FBF6">
            <w:pPr>
              <w:pStyle w:val="2"/>
              <w:ind w:firstLine="480" w:firstLineChars="200"/>
              <w:rPr>
                <w:rFonts w:eastAsia="宋体"/>
                <w:b w:val="0"/>
                <w:bCs/>
                <w:color w:val="auto"/>
              </w:rPr>
            </w:pPr>
            <w:r>
              <w:rPr>
                <w:rFonts w:hint="eastAsia" w:eastAsia="宋体"/>
                <w:b w:val="0"/>
                <w:bCs/>
                <w:color w:val="auto"/>
              </w:rPr>
              <w:t>①落实危险废物鉴别管理制度，对于不排除具有危险特性的固体废物，应根据《国家危险废物名录》（2021 版）、《危险废物鉴别标准</w:t>
            </w:r>
            <w:r>
              <w:rPr>
                <w:rFonts w:hint="eastAsia" w:eastAsia="宋体"/>
                <w:b w:val="0"/>
                <w:bCs/>
                <w:color w:val="auto"/>
                <w:lang w:val="en-US" w:eastAsia="zh-CN"/>
              </w:rPr>
              <w:t xml:space="preserve"> 通则</w:t>
            </w:r>
            <w:r>
              <w:rPr>
                <w:rFonts w:hint="eastAsia" w:eastAsia="宋体"/>
                <w:b w:val="0"/>
                <w:bCs/>
                <w:color w:val="auto"/>
              </w:rPr>
              <w:t>》（GB 5085.</w:t>
            </w:r>
            <w:r>
              <w:rPr>
                <w:rFonts w:hint="eastAsia" w:eastAsia="宋体"/>
                <w:b w:val="0"/>
                <w:bCs/>
                <w:color w:val="auto"/>
                <w:lang w:val="en-US" w:eastAsia="zh-CN"/>
              </w:rPr>
              <w:t>7-2019</w:t>
            </w:r>
            <w:r>
              <w:rPr>
                <w:rFonts w:hint="eastAsia" w:eastAsia="宋体"/>
                <w:b w:val="0"/>
                <w:bCs/>
                <w:color w:val="auto"/>
              </w:rPr>
              <w:t>）</w:t>
            </w:r>
            <w:r>
              <w:rPr>
                <w:rFonts w:hint="eastAsia" w:eastAsia="宋体"/>
                <w:b w:val="0"/>
                <w:bCs/>
                <w:color w:val="auto"/>
                <w:lang w:eastAsia="zh-CN"/>
              </w:rPr>
              <w:t>、</w:t>
            </w:r>
            <w:r>
              <w:rPr>
                <w:rFonts w:hint="eastAsia" w:eastAsia="宋体"/>
                <w:b w:val="0"/>
                <w:bCs/>
                <w:color w:val="auto"/>
              </w:rPr>
              <w:t>《危险废物鉴别技术规范》（HJ 298</w:t>
            </w:r>
            <w:r>
              <w:rPr>
                <w:rFonts w:hint="eastAsia" w:eastAsia="宋体"/>
                <w:b w:val="0"/>
                <w:bCs/>
                <w:color w:val="auto"/>
                <w:lang w:val="en-US" w:eastAsia="zh-CN"/>
              </w:rPr>
              <w:t>-2019</w:t>
            </w:r>
            <w:r>
              <w:rPr>
                <w:rFonts w:hint="eastAsia" w:eastAsia="宋体"/>
                <w:b w:val="0"/>
                <w:bCs/>
                <w:color w:val="auto"/>
              </w:rPr>
              <w:t>）等判定是否属于危险废物，属于危险废物的应按危险废物相关要求进行管理。</w:t>
            </w:r>
          </w:p>
          <w:p w14:paraId="65045A39">
            <w:pPr>
              <w:pStyle w:val="2"/>
              <w:ind w:firstLine="480" w:firstLineChars="200"/>
              <w:rPr>
                <w:rFonts w:eastAsia="宋体"/>
                <w:b w:val="0"/>
                <w:bCs/>
                <w:color w:val="auto"/>
              </w:rPr>
            </w:pPr>
            <w:r>
              <w:rPr>
                <w:rFonts w:hint="eastAsia" w:eastAsia="宋体"/>
                <w:b w:val="0"/>
                <w:bCs/>
                <w:color w:val="auto"/>
              </w:rPr>
              <w:t>②落实污染环境防治责任制度，建立健全工业危险废物产生、收集、贮存、运输、利用、处置全过程的污染环境防治责任制度。</w:t>
            </w:r>
          </w:p>
          <w:p w14:paraId="537D78C3">
            <w:pPr>
              <w:pStyle w:val="2"/>
              <w:ind w:firstLine="480" w:firstLineChars="200"/>
              <w:rPr>
                <w:rFonts w:eastAsia="宋体"/>
                <w:b w:val="0"/>
                <w:bCs/>
                <w:color w:val="auto"/>
              </w:rPr>
            </w:pPr>
            <w:r>
              <w:rPr>
                <w:rFonts w:hint="eastAsia" w:eastAsia="宋体"/>
                <w:b w:val="0"/>
                <w:bCs/>
                <w:color w:val="auto"/>
              </w:rPr>
              <w:t>③落实危险废物识别标志制度，按照《环境保护图形标志固体废物贮存（处置）场》（GB 15562.2</w:t>
            </w:r>
            <w:r>
              <w:rPr>
                <w:rFonts w:hint="eastAsia" w:eastAsia="宋体"/>
                <w:b w:val="0"/>
                <w:bCs/>
                <w:color w:val="auto"/>
                <w:lang w:val="en-US" w:eastAsia="zh-CN"/>
              </w:rPr>
              <w:t>-1995</w:t>
            </w:r>
            <w:r>
              <w:rPr>
                <w:rFonts w:hint="eastAsia" w:eastAsia="宋体"/>
                <w:b w:val="0"/>
                <w:bCs/>
                <w:color w:val="auto"/>
              </w:rPr>
              <w:t>）等有关规定，对危险废物的容器和包装物以及收集、贮存、运输、利用、处置危险废物的设施、场所设置危险废物识别标志。</w:t>
            </w:r>
          </w:p>
          <w:p w14:paraId="30682E01">
            <w:pPr>
              <w:pStyle w:val="2"/>
              <w:ind w:firstLine="480" w:firstLineChars="200"/>
              <w:rPr>
                <w:rFonts w:eastAsia="宋体"/>
                <w:b w:val="0"/>
                <w:bCs/>
                <w:color w:val="auto"/>
              </w:rPr>
            </w:pPr>
            <w:r>
              <w:rPr>
                <w:rFonts w:hint="eastAsia" w:eastAsia="宋体"/>
                <w:b w:val="0"/>
                <w:bCs/>
                <w:color w:val="auto"/>
              </w:rPr>
              <w:t>④落实危险废物管理计划制度，按照《危险废物产生单位管理计划制定指南》等有关要求制定危险废物管理计划，并报所在地生态环境主管部门备案。</w:t>
            </w:r>
          </w:p>
          <w:p w14:paraId="27503A46">
            <w:pPr>
              <w:pStyle w:val="2"/>
              <w:ind w:firstLine="480" w:firstLineChars="200"/>
              <w:rPr>
                <w:rFonts w:eastAsia="宋体"/>
                <w:b w:val="0"/>
                <w:bCs/>
                <w:color w:val="auto"/>
              </w:rPr>
            </w:pPr>
            <w:r>
              <w:rPr>
                <w:rFonts w:hint="eastAsia" w:eastAsia="宋体"/>
                <w:b w:val="0"/>
                <w:bCs/>
                <w:color w:val="auto"/>
              </w:rPr>
              <w:t>⑤落实危险废物管理台账及申报制度，建立危险废物管理台账，如实记录有关信息，并通过国家危险废物信息管理系统向所在地生态环境主管部门申报危险废物的种类、产生量、流向、贮存、处置等有关资料。</w:t>
            </w:r>
          </w:p>
          <w:p w14:paraId="63A665E3">
            <w:pPr>
              <w:pStyle w:val="2"/>
              <w:ind w:firstLine="480" w:firstLineChars="200"/>
              <w:rPr>
                <w:rFonts w:eastAsia="宋体"/>
                <w:b w:val="0"/>
                <w:bCs/>
                <w:color w:val="auto"/>
              </w:rPr>
            </w:pPr>
            <w:r>
              <w:rPr>
                <w:rFonts w:hint="eastAsia" w:eastAsia="宋体"/>
                <w:b w:val="0"/>
                <w:bCs/>
                <w:color w:val="auto"/>
              </w:rPr>
              <w:t>⑥落实危险废物经营许可证制度，禁止将危险废物提供或委托给无危险废物经营许可证的单位或者其他生产经营者从事收集、贮存、利用、处置活动。</w:t>
            </w:r>
          </w:p>
          <w:p w14:paraId="04870AA8">
            <w:pPr>
              <w:pStyle w:val="2"/>
              <w:ind w:firstLine="480" w:firstLineChars="200"/>
              <w:rPr>
                <w:rFonts w:eastAsia="宋体"/>
                <w:b w:val="0"/>
                <w:bCs/>
                <w:color w:val="auto"/>
              </w:rPr>
            </w:pPr>
            <w:r>
              <w:rPr>
                <w:rFonts w:eastAsia="宋体"/>
                <w:b w:val="0"/>
                <w:bCs/>
                <w:color w:val="auto"/>
              </w:rPr>
              <w:t>⑦</w:t>
            </w:r>
            <w:r>
              <w:rPr>
                <w:rFonts w:hint="eastAsia" w:eastAsia="宋体"/>
                <w:b w:val="0"/>
                <w:bCs/>
                <w:color w:val="auto"/>
              </w:rPr>
              <w:t>落实危险废物转移联单制度，转移危险废物的，应当按照《危险废物转移管理办法》的有关规定填写、运行危险废物转移联单。运输危险废物，应当采取防止污染环境的措施，并遵守国家有关危险货物运输管理的规定。</w:t>
            </w:r>
          </w:p>
          <w:p w14:paraId="4AAB3792">
            <w:pPr>
              <w:pStyle w:val="2"/>
              <w:ind w:firstLine="480" w:firstLineChars="200"/>
              <w:rPr>
                <w:rFonts w:eastAsia="宋体"/>
                <w:b w:val="0"/>
                <w:bCs/>
                <w:color w:val="auto"/>
              </w:rPr>
            </w:pPr>
            <w:r>
              <w:rPr>
                <w:rFonts w:eastAsia="宋体"/>
                <w:b w:val="0"/>
                <w:bCs/>
                <w:color w:val="auto"/>
              </w:rPr>
              <w:t>⑧</w:t>
            </w:r>
            <w:r>
              <w:rPr>
                <w:rFonts w:hint="eastAsia" w:eastAsia="宋体"/>
                <w:b w:val="0"/>
                <w:bCs/>
                <w:color w:val="auto"/>
              </w:rPr>
              <w:t>产生工业危险废物的单位应当落实排污许可制度；已经取得排污许可证的，执行排污许可管理制度的规定。</w:t>
            </w:r>
          </w:p>
          <w:p w14:paraId="351AAEC8">
            <w:pPr>
              <w:pStyle w:val="2"/>
              <w:ind w:firstLine="480" w:firstLineChars="200"/>
              <w:rPr>
                <w:rFonts w:eastAsia="宋体"/>
                <w:b w:val="0"/>
                <w:bCs/>
                <w:color w:val="auto"/>
              </w:rPr>
            </w:pPr>
            <w:r>
              <w:rPr>
                <w:rFonts w:hint="default" w:ascii="Times New Roman" w:hAnsi="Times New Roman" w:eastAsia="宋体" w:cs="Times New Roman"/>
                <w:b w:val="0"/>
                <w:bCs/>
                <w:color w:val="auto"/>
              </w:rPr>
              <w:t>⑨</w:t>
            </w:r>
            <w:r>
              <w:rPr>
                <w:rFonts w:hint="eastAsia" w:eastAsia="宋体"/>
                <w:b w:val="0"/>
                <w:bCs/>
                <w:color w:val="auto"/>
              </w:rPr>
              <w:t>落实环境保护标准制度，按照国家有关规定和环境保护标准要求贮存、利用、处置危险废物，不得将其擅自倾倒处置；禁止混合收集、贮存、运输、处置性质不相容或未经安全性处置的危险废物。</w:t>
            </w:r>
          </w:p>
          <w:p w14:paraId="5FAF5616">
            <w:pPr>
              <w:pStyle w:val="2"/>
              <w:ind w:firstLine="480" w:firstLineChars="200"/>
              <w:rPr>
                <w:rFonts w:eastAsia="宋体"/>
                <w:b w:val="0"/>
                <w:bCs/>
                <w:color w:val="auto"/>
              </w:rPr>
            </w:pPr>
            <w:r>
              <w:rPr>
                <w:rFonts w:hint="eastAsia" w:eastAsia="宋体"/>
                <w:b w:val="0"/>
                <w:bCs/>
                <w:color w:val="auto"/>
              </w:rPr>
              <w:t>危险废物收集、贮存应当按照其特性分类进行；禁止将危险废物混入非危险废物中贮存。危险废物收集、贮存和运输过程的污染控制执行《危险废物贮存污染控制标准》（GB 18597</w:t>
            </w:r>
            <w:r>
              <w:rPr>
                <w:rFonts w:hint="eastAsia" w:eastAsia="宋体"/>
                <w:b w:val="0"/>
                <w:bCs/>
                <w:color w:val="auto"/>
                <w:lang w:val="en-US" w:eastAsia="zh-CN"/>
              </w:rPr>
              <w:t>-2023</w:t>
            </w:r>
            <w:r>
              <w:rPr>
                <w:rFonts w:hint="eastAsia" w:eastAsia="宋体"/>
                <w:b w:val="0"/>
                <w:bCs/>
                <w:color w:val="auto"/>
              </w:rPr>
              <w:t>）、《危险废物收集贮存 运输技术规范》（HJ 2025</w:t>
            </w:r>
            <w:r>
              <w:rPr>
                <w:rFonts w:hint="eastAsia" w:eastAsia="宋体"/>
                <w:b w:val="0"/>
                <w:bCs/>
                <w:color w:val="auto"/>
                <w:lang w:val="en-US" w:eastAsia="zh-CN"/>
              </w:rPr>
              <w:t>-2012</w:t>
            </w:r>
            <w:r>
              <w:rPr>
                <w:rFonts w:hint="eastAsia" w:eastAsia="宋体"/>
                <w:b w:val="0"/>
                <w:bCs/>
                <w:color w:val="auto"/>
              </w:rPr>
              <w:t>）等有关规定。</w:t>
            </w:r>
          </w:p>
          <w:p w14:paraId="08E1B212">
            <w:pPr>
              <w:pStyle w:val="2"/>
              <w:ind w:firstLine="480" w:firstLineChars="200"/>
              <w:rPr>
                <w:rFonts w:eastAsia="宋体"/>
                <w:b w:val="0"/>
                <w:bCs/>
                <w:color w:val="auto"/>
              </w:rPr>
            </w:pPr>
            <w:r>
              <w:rPr>
                <w:rFonts w:hint="eastAsia" w:eastAsia="宋体"/>
                <w:b w:val="0"/>
                <w:bCs/>
                <w:color w:val="auto"/>
              </w:rPr>
              <w:t>属于《挥发性有机物无组织排放控制标准》（GB 37822</w:t>
            </w:r>
            <w:r>
              <w:rPr>
                <w:rFonts w:hint="eastAsia" w:eastAsia="宋体"/>
                <w:b w:val="0"/>
                <w:bCs/>
                <w:color w:val="auto"/>
                <w:lang w:val="en-US" w:eastAsia="zh-CN"/>
              </w:rPr>
              <w:t>-2019</w:t>
            </w:r>
            <w:r>
              <w:rPr>
                <w:rFonts w:hint="eastAsia" w:eastAsia="宋体"/>
                <w:b w:val="0"/>
                <w:bCs/>
                <w:color w:val="auto"/>
              </w:rPr>
              <w:t>）定义的 VOCs物料的危险废物，其贮存、运输、预处理等环节的挥发性有机物无组织排放控制应符合《挥发性有机物无组织排放控制标准》（GB 37822</w:t>
            </w:r>
            <w:r>
              <w:rPr>
                <w:rFonts w:hint="eastAsia" w:eastAsia="宋体"/>
                <w:b w:val="0"/>
                <w:bCs/>
                <w:color w:val="auto"/>
                <w:lang w:val="en-US" w:eastAsia="zh-CN"/>
              </w:rPr>
              <w:t>-2019</w:t>
            </w:r>
            <w:r>
              <w:rPr>
                <w:rFonts w:hint="eastAsia" w:eastAsia="宋体"/>
                <w:b w:val="0"/>
                <w:bCs/>
                <w:color w:val="auto"/>
              </w:rPr>
              <w:t>）的相关规定。</w:t>
            </w:r>
          </w:p>
          <w:p w14:paraId="594CB878">
            <w:pPr>
              <w:pStyle w:val="2"/>
              <w:ind w:firstLine="480" w:firstLineChars="200"/>
              <w:rPr>
                <w:rFonts w:eastAsia="宋体"/>
                <w:b w:val="0"/>
                <w:bCs/>
                <w:color w:val="auto"/>
              </w:rPr>
            </w:pPr>
            <w:r>
              <w:rPr>
                <w:rFonts w:hint="eastAsia" w:eastAsia="宋体"/>
                <w:b w:val="0"/>
                <w:bCs/>
                <w:color w:val="auto"/>
              </w:rPr>
              <w:t>⑩落实环境影响评价制度及环境保护三同时制度，需要配套建设的危险废物贮存、利用和处置设施应当与主体工程同时设计、同时施工、同时投入使用。</w:t>
            </w:r>
          </w:p>
          <w:p w14:paraId="1006288E">
            <w:pPr>
              <w:pStyle w:val="2"/>
              <w:ind w:firstLine="480" w:firstLineChars="200"/>
              <w:rPr>
                <w:rFonts w:eastAsia="宋体"/>
                <w:b w:val="0"/>
                <w:bCs/>
                <w:color w:val="auto"/>
              </w:rPr>
            </w:pPr>
            <w:r>
              <w:rPr>
                <w:rFonts w:hint="default" w:ascii="Times New Roman" w:hAnsi="Times New Roman" w:eastAsia="宋体" w:cs="Times New Roman"/>
                <w:b w:val="0"/>
                <w:bCs/>
                <w:color w:val="auto"/>
              </w:rPr>
              <w:t>⑪</w:t>
            </w:r>
            <w:r>
              <w:rPr>
                <w:rFonts w:hint="eastAsia" w:eastAsia="宋体"/>
                <w:b w:val="0"/>
                <w:bCs/>
                <w:color w:val="auto"/>
              </w:rPr>
              <w:t>落实环境应急预案制度，参考《危险废物经营单位编制应急预案指南》有关规定制定意外事故的防范措施和环境应急预案，并向所在地生态环境主管部门和其他负有固体废物污染环境防治监督管理职责的部门备案。</w:t>
            </w:r>
          </w:p>
          <w:p w14:paraId="1545FA8C">
            <w:pPr>
              <w:pStyle w:val="2"/>
              <w:ind w:firstLine="480" w:firstLineChars="200"/>
              <w:rPr>
                <w:rFonts w:eastAsia="宋体"/>
                <w:b w:val="0"/>
                <w:bCs/>
                <w:color w:val="auto"/>
              </w:rPr>
            </w:pPr>
            <w:r>
              <w:rPr>
                <w:rFonts w:hint="default" w:ascii="Times New Roman" w:hAnsi="Times New Roman" w:eastAsia="宋体" w:cs="Times New Roman"/>
                <w:b w:val="0"/>
                <w:bCs/>
                <w:color w:val="auto"/>
              </w:rPr>
              <w:t>⑫</w:t>
            </w:r>
            <w:r>
              <w:rPr>
                <w:rFonts w:hint="eastAsia" w:eastAsia="宋体"/>
                <w:b w:val="0"/>
                <w:bCs/>
                <w:color w:val="auto"/>
              </w:rPr>
              <w:t>加强危险废物规范化环境管理，按照《危险废物规范化环境管理评估指标》有关要求，提升危险废物规范化环境管理水平。</w:t>
            </w:r>
          </w:p>
          <w:p w14:paraId="63A616D4">
            <w:pPr>
              <w:pStyle w:val="2"/>
              <w:ind w:firstLine="482" w:firstLineChars="200"/>
              <w:rPr>
                <w:rFonts w:eastAsia="宋体"/>
              </w:rPr>
            </w:pPr>
            <w:r>
              <w:rPr>
                <w:rFonts w:hint="eastAsia" w:eastAsia="宋体"/>
                <w:lang w:val="en-US" w:eastAsia="zh-CN"/>
              </w:rPr>
              <w:t>7</w:t>
            </w:r>
            <w:r>
              <w:rPr>
                <w:rFonts w:hint="eastAsia" w:eastAsia="宋体"/>
              </w:rPr>
              <w:t>、土壤环境影响</w:t>
            </w:r>
          </w:p>
          <w:p w14:paraId="78D2919C">
            <w:pPr>
              <w:pStyle w:val="3"/>
              <w:ind w:firstLine="480"/>
              <w:rPr>
                <w:rFonts w:eastAsia="宋体"/>
              </w:rPr>
            </w:pPr>
            <w:r>
              <w:rPr>
                <w:rFonts w:hint="eastAsia" w:eastAsia="宋体"/>
                <w:b/>
                <w:bCs/>
                <w:lang w:val="en-US" w:eastAsia="zh-CN"/>
              </w:rPr>
              <w:t>7</w:t>
            </w:r>
            <w:r>
              <w:rPr>
                <w:rFonts w:hint="eastAsia" w:eastAsia="宋体"/>
                <w:b/>
                <w:bCs/>
              </w:rPr>
              <w:t>.1 土壤评价等级判定</w:t>
            </w:r>
          </w:p>
          <w:p w14:paraId="3272ABC8">
            <w:pPr>
              <w:pStyle w:val="3"/>
              <w:ind w:firstLine="480"/>
              <w:rPr>
                <w:rFonts w:hint="eastAsia" w:eastAsia="宋体"/>
                <w:lang w:eastAsia="zh-CN"/>
              </w:rPr>
            </w:pPr>
            <w:r>
              <w:rPr>
                <w:rFonts w:eastAsia="宋体"/>
              </w:rPr>
              <w:t>根据《环境影响评价技术导则 土壤环境（试行）》（HJ 964-2018）附录A土壤环境影响评价项目类别，本项目为矿产资源地质勘查，行业类别属于其他行业，土壤环境影响评价项目类别为</w:t>
            </w:r>
            <w:r>
              <w:rPr>
                <w:rFonts w:hint="default" w:ascii="Times New Roman" w:hAnsi="Times New Roman" w:eastAsia="宋体" w:cs="Times New Roman"/>
              </w:rPr>
              <w:t>Ⅳ</w:t>
            </w:r>
            <w:r>
              <w:rPr>
                <w:rFonts w:eastAsia="宋体"/>
              </w:rPr>
              <w:t>类</w:t>
            </w:r>
            <w:r>
              <w:rPr>
                <w:rFonts w:hint="eastAsia" w:eastAsia="宋体"/>
                <w:lang w:eastAsia="zh-CN"/>
              </w:rPr>
              <w:t>，仅作简单分析。</w:t>
            </w:r>
          </w:p>
          <w:p w14:paraId="73536DEB">
            <w:pPr>
              <w:pStyle w:val="3"/>
              <w:ind w:firstLine="480"/>
              <w:rPr>
                <w:rFonts w:hint="eastAsia" w:eastAsia="宋体"/>
                <w:lang w:eastAsia="zh-CN"/>
              </w:rPr>
            </w:pPr>
            <w:r>
              <w:rPr>
                <w:rFonts w:hint="eastAsia" w:eastAsia="宋体"/>
                <w:b/>
                <w:bCs/>
                <w:lang w:val="en-US" w:eastAsia="zh-CN"/>
              </w:rPr>
              <w:t>7</w:t>
            </w:r>
            <w:r>
              <w:rPr>
                <w:rFonts w:hint="eastAsia" w:eastAsia="宋体"/>
                <w:b/>
                <w:bCs/>
                <w:lang w:eastAsia="zh-CN"/>
              </w:rPr>
              <w:t>.2 土壤影响评价</w:t>
            </w:r>
          </w:p>
          <w:p w14:paraId="7163391C">
            <w:pPr>
              <w:pStyle w:val="3"/>
              <w:ind w:firstLine="480"/>
              <w:rPr>
                <w:rFonts w:hint="eastAsia" w:eastAsia="宋体"/>
                <w:lang w:eastAsia="zh-CN"/>
              </w:rPr>
            </w:pPr>
            <w:r>
              <w:rPr>
                <w:rFonts w:hint="eastAsia" w:eastAsia="宋体"/>
                <w:lang w:eastAsia="zh-CN"/>
              </w:rPr>
              <w:t>（1）临时占地对土壤的影响</w:t>
            </w:r>
          </w:p>
          <w:p w14:paraId="3B79DB8A">
            <w:pPr>
              <w:pStyle w:val="3"/>
              <w:ind w:left="0" w:leftChars="0" w:firstLine="480" w:firstLineChars="200"/>
              <w:rPr>
                <w:rFonts w:hint="eastAsia" w:eastAsia="宋体"/>
                <w:lang w:eastAsia="zh-CN"/>
              </w:rPr>
            </w:pPr>
            <w:r>
              <w:rPr>
                <w:rFonts w:hint="eastAsia" w:eastAsia="宋体"/>
                <w:lang w:eastAsia="zh-CN"/>
              </w:rPr>
              <w:t>本顶目临时占地对土壤的影响主要来自施工便道及钻井井场对土壤的临时占压、对植被的碾压及井场铺设对表层土壤的破坏。钻井过程中各种大型、重型机械的拖拽、碾压、挖掘等活动，导致了地表破坏，土壤层次、结构发生了改变，破坏了原始植被，在短期内出现了局部裸地。施工便道采用铺设钻杆排的方式，井场用房均采用临时工棚，井场设施底部铺设防渗膜至外延1m，工程临时占地大多属于临时占压，只要工程在施工中做到尽量缩少影响范围，受影响的土壤、植被在工程结束后就能够在较短的时间内恢复，工程对土壤生态的影响是可接受的。减轻土壤生态影响的措施及建议：</w:t>
            </w:r>
          </w:p>
          <w:p w14:paraId="333E683E">
            <w:pPr>
              <w:pStyle w:val="3"/>
              <w:ind w:firstLine="480"/>
              <w:rPr>
                <w:rFonts w:hint="eastAsia" w:eastAsia="宋体"/>
                <w:lang w:eastAsia="zh-CN"/>
              </w:rPr>
            </w:pPr>
            <w:r>
              <w:rPr>
                <w:rFonts w:hint="eastAsia" w:eastAsia="宋体"/>
                <w:lang w:eastAsia="zh-CN"/>
              </w:rPr>
              <w:t>1）恢复土地生产能力，提高土壤肥力。开挖时尽量保护土地资源，不打乱土层，先挖表土层（20cm左右）单独堆放；然后挖心、底土层另外堆放。复原时先填心、底土，后平覆表土，以便尽快恢复土地原貌。</w:t>
            </w:r>
          </w:p>
          <w:p w14:paraId="59079775">
            <w:pPr>
              <w:pStyle w:val="3"/>
              <w:ind w:firstLine="480"/>
              <w:rPr>
                <w:rFonts w:hint="eastAsia" w:eastAsia="宋体"/>
                <w:lang w:eastAsia="zh-CN"/>
              </w:rPr>
            </w:pPr>
            <w:r>
              <w:rPr>
                <w:rFonts w:hint="eastAsia" w:eastAsia="宋体"/>
                <w:lang w:eastAsia="zh-CN"/>
              </w:rPr>
              <w:t>2）钻井施工过程中，应尽量减少占地面积，并规范行车路线及施工人员行为，严禁随意跋踏、碾压施工区范围外的植被，不准乱挖、乱采野生植物。</w:t>
            </w:r>
          </w:p>
          <w:p w14:paraId="636B5E5F">
            <w:pPr>
              <w:pStyle w:val="3"/>
              <w:ind w:firstLine="480"/>
              <w:rPr>
                <w:rFonts w:hint="eastAsia" w:eastAsia="宋体"/>
                <w:lang w:eastAsia="zh-CN"/>
              </w:rPr>
            </w:pPr>
            <w:r>
              <w:rPr>
                <w:rFonts w:hint="eastAsia" w:eastAsia="宋体"/>
                <w:lang w:eastAsia="zh-CN"/>
              </w:rPr>
              <w:t>（2）钻井泥浆对土壤的影响</w:t>
            </w:r>
          </w:p>
          <w:p w14:paraId="7CA1DAB5">
            <w:pPr>
              <w:pStyle w:val="3"/>
              <w:ind w:left="0" w:leftChars="0" w:firstLine="480" w:firstLineChars="200"/>
              <w:rPr>
                <w:rFonts w:hint="eastAsia" w:eastAsia="宋体"/>
                <w:lang w:eastAsia="zh-CN"/>
              </w:rPr>
            </w:pPr>
            <w:r>
              <w:rPr>
                <w:rFonts w:hint="eastAsia" w:eastAsia="宋体"/>
                <w:lang w:eastAsia="zh-CN"/>
              </w:rPr>
              <w:t>本工程采用低毒的悬浮乳液润滑防塌钻井液，其主要成分是膨润土、超细碳酸钙及少量的化学助剂如加重剂、降滤失剂、抑制剂等，pH值为8-9。导致环境污染的有害成分为盐类、化学添加剂，高分子有机化合物经生物降解后产生的低分子有机化合物和碱性物质。钻井泥浆经过固液分离的液态泥浆进入泥浆罐中搅拌循环使用，整个泥浆处理区及泥浆罐底部及外延1米范围铺设一层防渗膜，防止泥浆洒落到地面，然后用盛沙编织袋压住防渗布四周，以增加防渗布的稳固性。确保钻井泥浆不落地。</w:t>
            </w:r>
          </w:p>
          <w:p w14:paraId="67D58CF4">
            <w:pPr>
              <w:pStyle w:val="3"/>
              <w:ind w:left="0" w:leftChars="0" w:firstLine="480" w:firstLineChars="200"/>
              <w:rPr>
                <w:rFonts w:hint="eastAsia" w:eastAsia="宋体"/>
                <w:lang w:eastAsia="zh-CN"/>
              </w:rPr>
            </w:pPr>
            <w:r>
              <w:rPr>
                <w:rFonts w:hint="eastAsia" w:eastAsia="宋体"/>
                <w:lang w:eastAsia="zh-CN"/>
              </w:rPr>
              <w:t>（3）钻井废水对土壤的影响</w:t>
            </w:r>
          </w:p>
          <w:p w14:paraId="627194D2">
            <w:pPr>
              <w:pStyle w:val="3"/>
              <w:ind w:left="0" w:leftChars="0" w:firstLine="480" w:firstLineChars="200"/>
              <w:rPr>
                <w:rFonts w:hint="eastAsia" w:eastAsia="宋体"/>
                <w:lang w:val="en-US" w:eastAsia="zh-CN"/>
              </w:rPr>
            </w:pPr>
            <w:r>
              <w:rPr>
                <w:rFonts w:hint="eastAsia" w:eastAsia="宋体"/>
                <w:lang w:val="en-US" w:eastAsia="zh-CN"/>
              </w:rPr>
              <w:t>本项目采用</w:t>
            </w:r>
            <w:r>
              <w:rPr>
                <w:rFonts w:hint="default" w:ascii="Times New Roman" w:hAnsi="Times New Roman" w:eastAsia="宋体" w:cs="Times New Roman"/>
                <w:lang w:val="en-US" w:eastAsia="zh-CN"/>
              </w:rPr>
              <w:t>“</w:t>
            </w:r>
            <w:r>
              <w:rPr>
                <w:rFonts w:hint="eastAsia" w:eastAsia="宋体"/>
                <w:lang w:val="en-US" w:eastAsia="zh-CN"/>
              </w:rPr>
              <w:t>泥浆不落地工艺</w:t>
            </w:r>
            <w:r>
              <w:rPr>
                <w:rFonts w:hint="default" w:ascii="Times New Roman" w:hAnsi="Times New Roman" w:eastAsia="宋体" w:cs="Times New Roman"/>
                <w:lang w:val="en-US" w:eastAsia="zh-CN"/>
              </w:rPr>
              <w:t>”</w:t>
            </w:r>
            <w:r>
              <w:rPr>
                <w:rFonts w:hint="eastAsia" w:eastAsia="宋体"/>
                <w:lang w:val="en-US" w:eastAsia="zh-CN"/>
              </w:rPr>
              <w:t>处理泥浆，勘探井场作业废水排入采用密闭罐车拉运的方式送至附近联合站的水处理回注系统处理后再回注油井地层，不外排。因此，本项目钻探期通过废水泄露污染可能性很小。通过上述分析可知，本工程对土壤生态影响较大的是施工阶段对土壤碾压和填挖土方，污染影响为废弃泥浆及废水渗漏。建议在施工中应采取减小占地面积、规定好行车路线、对废弃泥浆进行及时处理，做到废弃泥浆不落地。综上所述，本项目勘探井场严格按照土壤和地下水保护措施进行防渗的条件下，对土壤环境的影响可以接受。</w:t>
            </w:r>
          </w:p>
          <w:p w14:paraId="206915AB">
            <w:pPr>
              <w:pStyle w:val="2"/>
              <w:ind w:firstLine="482" w:firstLineChars="200"/>
              <w:rPr>
                <w:rFonts w:eastAsia="宋体"/>
              </w:rPr>
            </w:pPr>
            <w:r>
              <w:rPr>
                <w:rFonts w:hint="eastAsia" w:eastAsia="宋体"/>
                <w:lang w:val="en-US" w:eastAsia="zh-CN"/>
              </w:rPr>
              <w:t>8</w:t>
            </w:r>
            <w:r>
              <w:rPr>
                <w:rFonts w:hint="eastAsia" w:eastAsia="宋体"/>
              </w:rPr>
              <w:t>、环境风险</w:t>
            </w:r>
          </w:p>
          <w:p w14:paraId="3846C0A3">
            <w:pPr>
              <w:pStyle w:val="3"/>
              <w:ind w:left="0" w:leftChars="0" w:firstLine="480" w:firstLineChars="200"/>
              <w:rPr>
                <w:rFonts w:hint="eastAsia" w:eastAsia="宋体"/>
                <w:lang w:val="en-US" w:eastAsia="zh-CN"/>
              </w:rPr>
            </w:pPr>
            <w:r>
              <w:rPr>
                <w:rFonts w:hint="eastAsia" w:eastAsia="宋体"/>
                <w:lang w:val="en-US" w:eastAsia="zh-CN"/>
              </w:rPr>
              <w:t>（1）评价等级确定</w:t>
            </w:r>
          </w:p>
          <w:p w14:paraId="0967C857">
            <w:pPr>
              <w:pStyle w:val="3"/>
              <w:ind w:firstLine="480"/>
              <w:rPr>
                <w:rFonts w:eastAsia="宋体"/>
              </w:rPr>
            </w:pPr>
            <w:r>
              <w:rPr>
                <w:rFonts w:hint="eastAsia" w:eastAsia="宋体"/>
                <w:lang w:val="en-US" w:eastAsia="zh-CN"/>
              </w:rPr>
              <w:t>计算所涉及的每种危险物质在场界内的最大存在总量与其在附录B中对应临界量的比值Q。在不同场区的同一种物质，按其在场界内的最大存在总量计算。</w:t>
            </w:r>
            <w:r>
              <w:rPr>
                <w:rFonts w:hint="eastAsia" w:eastAsia="宋体"/>
              </w:rPr>
              <w:t>当只涉及一种危险物质时，计算该物质的总量与其临界量比值，即为Q；</w:t>
            </w:r>
          </w:p>
          <w:p w14:paraId="1A0BA08A">
            <w:pPr>
              <w:pStyle w:val="3"/>
              <w:ind w:firstLine="480"/>
              <w:rPr>
                <w:rFonts w:eastAsia="宋体"/>
              </w:rPr>
            </w:pPr>
            <w:r>
              <w:rPr>
                <w:rFonts w:hint="eastAsia" w:eastAsia="宋体"/>
              </w:rPr>
              <w:t>当存在多种危险物质时，则按式(C.1)计算物质总量与其临界量比值(Q)：</w:t>
            </w:r>
          </w:p>
          <w:p w14:paraId="01F1FBDA">
            <w:pPr>
              <w:pStyle w:val="3"/>
              <w:ind w:firstLine="0" w:firstLineChars="0"/>
              <w:jc w:val="center"/>
              <w:rPr>
                <w:rFonts w:eastAsia="宋体"/>
              </w:rPr>
            </w:pPr>
            <w:r>
              <w:rPr>
                <w:rFonts w:hint="default" w:ascii="Times New Roman" w:hAnsi="Times New Roman" w:eastAsia="宋体" w:cs="Times New Roman"/>
                <w:color w:val="auto"/>
                <w:kern w:val="0"/>
                <w:position w:val="-28"/>
                <w:sz w:val="24"/>
                <w:szCs w:val="24"/>
                <w:highlight w:val="none"/>
                <w:lang w:val="en-US" w:eastAsia="zh-CN" w:bidi="ar"/>
              </w:rPr>
              <w:object>
                <v:shape id="_x0000_i1035" o:spt="75" type="#_x0000_t75" style="height:33pt;width:108pt;" o:ole="t" filled="f" o:preferrelative="t" stroked="f" coordsize="21600,21600">
                  <v:path/>
                  <v:fill on="f" focussize="0,0"/>
                  <v:stroke on="f"/>
                  <v:imagedata r:id="rId28" o:title=""/>
                  <o:lock v:ext="edit" aspectratio="t"/>
                  <w10:wrap type="none"/>
                  <w10:anchorlock/>
                </v:shape>
                <o:OLEObject Type="Embed" ProgID="Equation.KSEE3" ShapeID="_x0000_i1035" DrawAspect="Content" ObjectID="_1468075735" r:id="rId27">
                  <o:LockedField>false</o:LockedField>
                </o:OLEObject>
              </w:object>
            </w:r>
          </w:p>
          <w:p w14:paraId="716F5358">
            <w:pPr>
              <w:pStyle w:val="3"/>
              <w:ind w:firstLine="480"/>
              <w:rPr>
                <w:rFonts w:eastAsia="宋体"/>
              </w:rPr>
            </w:pPr>
            <w:r>
              <w:rPr>
                <w:rFonts w:hint="eastAsia" w:eastAsia="宋体"/>
              </w:rPr>
              <w:t>式中，q1，q2…，qn--每种危险物质的最大存在总量，t。</w:t>
            </w:r>
          </w:p>
          <w:p w14:paraId="66AC7EA5">
            <w:pPr>
              <w:pStyle w:val="3"/>
              <w:ind w:firstLine="480"/>
              <w:rPr>
                <w:rFonts w:eastAsia="宋体"/>
              </w:rPr>
            </w:pPr>
            <w:r>
              <w:rPr>
                <w:rFonts w:hint="eastAsia" w:eastAsia="宋体"/>
              </w:rPr>
              <w:tab/>
            </w:r>
            <w:r>
              <w:rPr>
                <w:rFonts w:hint="eastAsia" w:eastAsia="宋体"/>
              </w:rPr>
              <w:tab/>
            </w:r>
            <w:r>
              <w:rPr>
                <w:rFonts w:hint="eastAsia" w:eastAsia="宋体"/>
              </w:rPr>
              <w:t>Q1，Q2…Qn—每种危险物质的临界量，t。</w:t>
            </w:r>
          </w:p>
          <w:p w14:paraId="5ABB35A1">
            <w:pPr>
              <w:pStyle w:val="3"/>
              <w:ind w:firstLine="480"/>
              <w:rPr>
                <w:rFonts w:eastAsia="宋体"/>
              </w:rPr>
            </w:pPr>
            <w:r>
              <w:rPr>
                <w:rFonts w:hint="eastAsia" w:eastAsia="宋体"/>
              </w:rPr>
              <w:t>当Q＜1时，该项目环境风险潜势为Ⅰ。</w:t>
            </w:r>
          </w:p>
          <w:p w14:paraId="5C548D50">
            <w:pPr>
              <w:pStyle w:val="3"/>
              <w:ind w:firstLine="480"/>
              <w:rPr>
                <w:rFonts w:eastAsia="宋体"/>
              </w:rPr>
            </w:pPr>
            <w:r>
              <w:rPr>
                <w:rFonts w:hint="eastAsia" w:eastAsia="宋体"/>
              </w:rPr>
              <w:t>当Q≥1时，将Q值划分为：（1）1≤Q＜10；（2）10≤Q＜100；（3）Q≥100。</w:t>
            </w:r>
          </w:p>
          <w:p w14:paraId="51F5978B">
            <w:pPr>
              <w:pStyle w:val="3"/>
              <w:ind w:firstLine="480"/>
              <w:rPr>
                <w:rFonts w:hint="eastAsia" w:eastAsia="宋体"/>
              </w:rPr>
            </w:pPr>
            <w:r>
              <w:rPr>
                <w:rFonts w:hint="eastAsia" w:eastAsia="宋体"/>
              </w:rPr>
              <w:t>拟建项目涉及危险物质q/Q值计算见下表。</w:t>
            </w:r>
          </w:p>
          <w:p w14:paraId="704919E0">
            <w:pPr>
              <w:pStyle w:val="16"/>
              <w:jc w:val="center"/>
              <w:rPr>
                <w:rFonts w:hint="eastAsia" w:eastAsia="宋体"/>
              </w:rPr>
            </w:pPr>
            <w:r>
              <w:rPr>
                <w:rFonts w:hint="eastAsia" w:eastAsia="宋体"/>
              </w:rPr>
              <w:t>表4-1</w:t>
            </w:r>
            <w:r>
              <w:rPr>
                <w:rFonts w:hint="eastAsia" w:eastAsia="宋体"/>
                <w:lang w:val="en-US" w:eastAsia="zh-CN"/>
              </w:rPr>
              <w:t>2</w:t>
            </w:r>
            <w:r>
              <w:rPr>
                <w:rFonts w:hint="eastAsia" w:eastAsia="宋体"/>
              </w:rPr>
              <w:t xml:space="preserve">  本项目Q值确定表</w:t>
            </w:r>
          </w:p>
          <w:tbl>
            <w:tblPr>
              <w:tblStyle w:val="11"/>
              <w:tblW w:w="776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495"/>
              <w:gridCol w:w="950"/>
              <w:gridCol w:w="1977"/>
              <w:gridCol w:w="1296"/>
              <w:gridCol w:w="1299"/>
            </w:tblGrid>
            <w:tr w14:paraId="6F0588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2" w:type="dxa"/>
                  <w:tcBorders>
                    <w:tl2br w:val="nil"/>
                    <w:tr2bl w:val="nil"/>
                  </w:tcBorders>
                  <w:shd w:val="clear" w:color="auto" w:fill="auto"/>
                  <w:vAlign w:val="center"/>
                </w:tcPr>
                <w:p w14:paraId="438B9AF0">
                  <w:pPr>
                    <w:pStyle w:val="17"/>
                    <w:rPr>
                      <w:rFonts w:eastAsia="宋体"/>
                      <w:b/>
                      <w:bCs/>
                      <w:color w:val="auto"/>
                    </w:rPr>
                  </w:pPr>
                  <w:r>
                    <w:rPr>
                      <w:rFonts w:hint="eastAsia" w:eastAsia="宋体"/>
                      <w:b/>
                      <w:bCs/>
                      <w:color w:val="auto"/>
                    </w:rPr>
                    <w:t>序号</w:t>
                  </w:r>
                </w:p>
              </w:tc>
              <w:tc>
                <w:tcPr>
                  <w:tcW w:w="1495" w:type="dxa"/>
                  <w:tcBorders>
                    <w:tl2br w:val="nil"/>
                    <w:tr2bl w:val="nil"/>
                  </w:tcBorders>
                  <w:shd w:val="clear" w:color="auto" w:fill="auto"/>
                  <w:vAlign w:val="center"/>
                </w:tcPr>
                <w:p w14:paraId="40A3E17B">
                  <w:pPr>
                    <w:pStyle w:val="17"/>
                    <w:rPr>
                      <w:rFonts w:eastAsia="宋体"/>
                      <w:b/>
                      <w:bCs/>
                      <w:color w:val="auto"/>
                    </w:rPr>
                  </w:pPr>
                  <w:r>
                    <w:rPr>
                      <w:rFonts w:hint="eastAsia" w:eastAsia="宋体"/>
                      <w:b/>
                      <w:bCs/>
                      <w:color w:val="auto"/>
                    </w:rPr>
                    <w:t>化学品名称</w:t>
                  </w:r>
                </w:p>
              </w:tc>
              <w:tc>
                <w:tcPr>
                  <w:tcW w:w="950" w:type="dxa"/>
                  <w:tcBorders>
                    <w:tl2br w:val="nil"/>
                    <w:tr2bl w:val="nil"/>
                  </w:tcBorders>
                  <w:shd w:val="clear" w:color="auto" w:fill="auto"/>
                  <w:vAlign w:val="center"/>
                </w:tcPr>
                <w:p w14:paraId="295C0DE7">
                  <w:pPr>
                    <w:pStyle w:val="17"/>
                    <w:rPr>
                      <w:rFonts w:eastAsia="宋体"/>
                      <w:b/>
                      <w:bCs/>
                      <w:color w:val="auto"/>
                    </w:rPr>
                  </w:pPr>
                  <w:r>
                    <w:rPr>
                      <w:rFonts w:hint="eastAsia" w:eastAsia="宋体"/>
                      <w:b/>
                      <w:bCs/>
                      <w:color w:val="auto"/>
                    </w:rPr>
                    <w:t>CAS号</w:t>
                  </w:r>
                </w:p>
              </w:tc>
              <w:tc>
                <w:tcPr>
                  <w:tcW w:w="1977" w:type="dxa"/>
                  <w:tcBorders>
                    <w:tl2br w:val="nil"/>
                    <w:tr2bl w:val="nil"/>
                  </w:tcBorders>
                  <w:shd w:val="clear" w:color="auto" w:fill="auto"/>
                  <w:vAlign w:val="center"/>
                </w:tcPr>
                <w:p w14:paraId="12194E85">
                  <w:pPr>
                    <w:pStyle w:val="17"/>
                    <w:rPr>
                      <w:rFonts w:eastAsia="宋体"/>
                      <w:b/>
                      <w:bCs/>
                      <w:color w:val="auto"/>
                    </w:rPr>
                  </w:pPr>
                  <w:r>
                    <w:rPr>
                      <w:rFonts w:hint="eastAsia" w:eastAsia="宋体"/>
                      <w:b/>
                      <w:bCs/>
                      <w:color w:val="auto"/>
                    </w:rPr>
                    <w:t>最大存在总量q</w:t>
                  </w:r>
                  <w:r>
                    <w:rPr>
                      <w:rFonts w:hint="eastAsia" w:eastAsia="宋体"/>
                      <w:b/>
                      <w:bCs/>
                      <w:color w:val="auto"/>
                      <w:vertAlign w:val="subscript"/>
                    </w:rPr>
                    <w:t>n</w:t>
                  </w:r>
                  <w:r>
                    <w:rPr>
                      <w:rFonts w:hint="eastAsia" w:eastAsia="宋体"/>
                      <w:b/>
                      <w:bCs/>
                      <w:color w:val="auto"/>
                    </w:rPr>
                    <w:t>/t</w:t>
                  </w:r>
                </w:p>
              </w:tc>
              <w:tc>
                <w:tcPr>
                  <w:tcW w:w="1296" w:type="dxa"/>
                  <w:tcBorders>
                    <w:tl2br w:val="nil"/>
                    <w:tr2bl w:val="nil"/>
                  </w:tcBorders>
                  <w:shd w:val="clear" w:color="auto" w:fill="auto"/>
                  <w:vAlign w:val="center"/>
                </w:tcPr>
                <w:p w14:paraId="4DDCF1D2">
                  <w:pPr>
                    <w:pStyle w:val="17"/>
                    <w:rPr>
                      <w:rFonts w:eastAsia="宋体"/>
                      <w:b/>
                      <w:bCs/>
                      <w:color w:val="auto"/>
                    </w:rPr>
                  </w:pPr>
                  <w:r>
                    <w:rPr>
                      <w:rFonts w:hint="eastAsia" w:eastAsia="宋体"/>
                      <w:b/>
                      <w:bCs/>
                      <w:color w:val="auto"/>
                    </w:rPr>
                    <w:t>临界量Q</w:t>
                  </w:r>
                  <w:r>
                    <w:rPr>
                      <w:rFonts w:hint="eastAsia" w:eastAsia="宋体"/>
                      <w:b/>
                      <w:bCs/>
                      <w:color w:val="auto"/>
                      <w:vertAlign w:val="subscript"/>
                    </w:rPr>
                    <w:t>n</w:t>
                  </w:r>
                  <w:r>
                    <w:rPr>
                      <w:rFonts w:hint="eastAsia" w:eastAsia="宋体"/>
                      <w:b/>
                      <w:bCs/>
                      <w:color w:val="auto"/>
                    </w:rPr>
                    <w:t>/t</w:t>
                  </w:r>
                </w:p>
              </w:tc>
              <w:tc>
                <w:tcPr>
                  <w:tcW w:w="1299" w:type="dxa"/>
                  <w:tcBorders>
                    <w:tl2br w:val="nil"/>
                    <w:tr2bl w:val="nil"/>
                  </w:tcBorders>
                  <w:shd w:val="clear" w:color="auto" w:fill="auto"/>
                  <w:vAlign w:val="center"/>
                </w:tcPr>
                <w:p w14:paraId="0BC7FC06">
                  <w:pPr>
                    <w:pStyle w:val="17"/>
                    <w:rPr>
                      <w:rFonts w:eastAsia="宋体"/>
                      <w:b/>
                      <w:bCs/>
                      <w:color w:val="auto"/>
                    </w:rPr>
                  </w:pPr>
                  <w:r>
                    <w:rPr>
                      <w:rFonts w:hint="eastAsia" w:eastAsia="宋体"/>
                      <w:b/>
                      <w:bCs/>
                      <w:color w:val="auto"/>
                    </w:rPr>
                    <w:t>Q值</w:t>
                  </w:r>
                </w:p>
              </w:tc>
            </w:tr>
            <w:tr w14:paraId="454302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2" w:type="dxa"/>
                  <w:tcBorders>
                    <w:tl2br w:val="nil"/>
                    <w:tr2bl w:val="nil"/>
                  </w:tcBorders>
                  <w:shd w:val="clear" w:color="auto" w:fill="auto"/>
                  <w:vAlign w:val="center"/>
                </w:tcPr>
                <w:p w14:paraId="583EF8D7">
                  <w:pPr>
                    <w:pStyle w:val="17"/>
                    <w:rPr>
                      <w:rFonts w:eastAsia="宋体"/>
                      <w:color w:val="auto"/>
                    </w:rPr>
                  </w:pPr>
                  <w:r>
                    <w:rPr>
                      <w:rFonts w:hint="eastAsia" w:eastAsia="宋体"/>
                      <w:color w:val="auto"/>
                    </w:rPr>
                    <w:t>1</w:t>
                  </w:r>
                </w:p>
              </w:tc>
              <w:tc>
                <w:tcPr>
                  <w:tcW w:w="1495" w:type="dxa"/>
                  <w:tcBorders>
                    <w:tl2br w:val="nil"/>
                    <w:tr2bl w:val="nil"/>
                  </w:tcBorders>
                  <w:shd w:val="clear" w:color="auto" w:fill="auto"/>
                  <w:vAlign w:val="center"/>
                </w:tcPr>
                <w:p w14:paraId="62443DAE">
                  <w:pPr>
                    <w:pStyle w:val="17"/>
                    <w:rPr>
                      <w:rFonts w:eastAsia="宋体"/>
                      <w:color w:val="auto"/>
                    </w:rPr>
                  </w:pPr>
                  <w:r>
                    <w:rPr>
                      <w:rFonts w:hint="eastAsia" w:eastAsia="宋体"/>
                      <w:color w:val="auto"/>
                    </w:rPr>
                    <w:t>0#柴油</w:t>
                  </w:r>
                </w:p>
              </w:tc>
              <w:tc>
                <w:tcPr>
                  <w:tcW w:w="950" w:type="dxa"/>
                  <w:tcBorders>
                    <w:tl2br w:val="nil"/>
                    <w:tr2bl w:val="nil"/>
                  </w:tcBorders>
                  <w:shd w:val="clear" w:color="auto" w:fill="auto"/>
                  <w:vAlign w:val="center"/>
                </w:tcPr>
                <w:p w14:paraId="0D196E02">
                  <w:pPr>
                    <w:pStyle w:val="17"/>
                    <w:rPr>
                      <w:rFonts w:eastAsia="宋体"/>
                      <w:color w:val="auto"/>
                    </w:rPr>
                  </w:pPr>
                  <w:r>
                    <w:rPr>
                      <w:rFonts w:hint="eastAsia" w:eastAsia="宋体"/>
                      <w:color w:val="auto"/>
                    </w:rPr>
                    <w:t>/</w:t>
                  </w:r>
                </w:p>
              </w:tc>
              <w:tc>
                <w:tcPr>
                  <w:tcW w:w="1977" w:type="dxa"/>
                  <w:tcBorders>
                    <w:tl2br w:val="nil"/>
                    <w:tr2bl w:val="nil"/>
                  </w:tcBorders>
                  <w:shd w:val="clear" w:color="auto" w:fill="auto"/>
                  <w:vAlign w:val="center"/>
                </w:tcPr>
                <w:p w14:paraId="20CE3EAF">
                  <w:pPr>
                    <w:pStyle w:val="17"/>
                    <w:rPr>
                      <w:rFonts w:hint="default" w:eastAsia="宋体"/>
                      <w:color w:val="auto"/>
                      <w:lang w:val="en-US" w:eastAsia="zh-CN"/>
                    </w:rPr>
                  </w:pPr>
                  <w:r>
                    <w:rPr>
                      <w:rFonts w:hint="eastAsia" w:eastAsia="宋体"/>
                      <w:color w:val="auto"/>
                      <w:lang w:val="en-US" w:eastAsia="zh-CN"/>
                    </w:rPr>
                    <w:t>1.503</w:t>
                  </w:r>
                </w:p>
              </w:tc>
              <w:tc>
                <w:tcPr>
                  <w:tcW w:w="1296" w:type="dxa"/>
                  <w:tcBorders>
                    <w:tl2br w:val="nil"/>
                    <w:tr2bl w:val="nil"/>
                  </w:tcBorders>
                  <w:shd w:val="clear" w:color="auto" w:fill="auto"/>
                  <w:vAlign w:val="center"/>
                </w:tcPr>
                <w:p w14:paraId="00456D40">
                  <w:pPr>
                    <w:pStyle w:val="17"/>
                    <w:rPr>
                      <w:rFonts w:eastAsia="宋体"/>
                      <w:color w:val="auto"/>
                    </w:rPr>
                  </w:pPr>
                  <w:r>
                    <w:rPr>
                      <w:rFonts w:hint="eastAsia" w:eastAsia="宋体"/>
                      <w:color w:val="auto"/>
                    </w:rPr>
                    <w:t>2500</w:t>
                  </w:r>
                </w:p>
              </w:tc>
              <w:tc>
                <w:tcPr>
                  <w:tcW w:w="1299" w:type="dxa"/>
                  <w:tcBorders>
                    <w:tl2br w:val="nil"/>
                    <w:tr2bl w:val="nil"/>
                  </w:tcBorders>
                  <w:shd w:val="clear" w:color="auto" w:fill="auto"/>
                  <w:vAlign w:val="center"/>
                </w:tcPr>
                <w:p w14:paraId="55609A04">
                  <w:pPr>
                    <w:pStyle w:val="17"/>
                    <w:rPr>
                      <w:rFonts w:hint="default" w:eastAsia="宋体"/>
                      <w:color w:val="auto"/>
                      <w:lang w:val="en-US" w:eastAsia="zh-CN"/>
                    </w:rPr>
                  </w:pPr>
                  <w:r>
                    <w:rPr>
                      <w:rFonts w:hint="eastAsia" w:eastAsia="宋体"/>
                      <w:color w:val="auto"/>
                    </w:rPr>
                    <w:t>0.0</w:t>
                  </w:r>
                  <w:r>
                    <w:rPr>
                      <w:rFonts w:hint="eastAsia" w:eastAsia="宋体"/>
                      <w:color w:val="auto"/>
                      <w:lang w:val="en-US" w:eastAsia="zh-CN"/>
                    </w:rPr>
                    <w:t>006</w:t>
                  </w:r>
                </w:p>
              </w:tc>
            </w:tr>
            <w:tr w14:paraId="7DA899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2" w:type="dxa"/>
                  <w:tcBorders>
                    <w:tl2br w:val="nil"/>
                    <w:tr2bl w:val="nil"/>
                  </w:tcBorders>
                  <w:shd w:val="clear" w:color="auto" w:fill="auto"/>
                  <w:vAlign w:val="center"/>
                </w:tcPr>
                <w:p w14:paraId="3414172D">
                  <w:pPr>
                    <w:pStyle w:val="17"/>
                    <w:rPr>
                      <w:rFonts w:hint="default" w:eastAsia="宋体"/>
                      <w:color w:val="auto"/>
                      <w:lang w:val="en-US" w:eastAsia="zh-CN"/>
                    </w:rPr>
                  </w:pPr>
                  <w:r>
                    <w:rPr>
                      <w:rFonts w:hint="eastAsia" w:eastAsia="宋体"/>
                      <w:color w:val="auto"/>
                      <w:lang w:val="en-US" w:eastAsia="zh-CN"/>
                    </w:rPr>
                    <w:t>2</w:t>
                  </w:r>
                </w:p>
              </w:tc>
              <w:tc>
                <w:tcPr>
                  <w:tcW w:w="1495" w:type="dxa"/>
                  <w:tcBorders>
                    <w:tl2br w:val="nil"/>
                    <w:tr2bl w:val="nil"/>
                  </w:tcBorders>
                  <w:shd w:val="clear" w:color="auto" w:fill="auto"/>
                  <w:vAlign w:val="center"/>
                </w:tcPr>
                <w:p w14:paraId="06AC4A1C">
                  <w:pPr>
                    <w:pStyle w:val="17"/>
                    <w:rPr>
                      <w:rFonts w:hint="default" w:eastAsia="宋体"/>
                      <w:color w:val="auto"/>
                      <w:lang w:val="en-US" w:eastAsia="zh-CN"/>
                    </w:rPr>
                  </w:pPr>
                  <w:r>
                    <w:rPr>
                      <w:rFonts w:hint="eastAsia" w:eastAsia="宋体"/>
                      <w:color w:val="auto"/>
                      <w:lang w:val="en-US" w:eastAsia="zh-CN"/>
                    </w:rPr>
                    <w:t>废沾油防渗膜</w:t>
                  </w:r>
                </w:p>
              </w:tc>
              <w:tc>
                <w:tcPr>
                  <w:tcW w:w="950" w:type="dxa"/>
                  <w:tcBorders>
                    <w:tl2br w:val="nil"/>
                    <w:tr2bl w:val="nil"/>
                  </w:tcBorders>
                  <w:shd w:val="clear" w:color="auto" w:fill="auto"/>
                  <w:vAlign w:val="center"/>
                </w:tcPr>
                <w:p w14:paraId="2074899C">
                  <w:pPr>
                    <w:pStyle w:val="17"/>
                    <w:rPr>
                      <w:rFonts w:hint="eastAsia" w:eastAsia="宋体"/>
                      <w:color w:val="auto"/>
                    </w:rPr>
                  </w:pPr>
                  <w:r>
                    <w:rPr>
                      <w:rFonts w:hint="eastAsia" w:eastAsia="宋体"/>
                      <w:color w:val="auto"/>
                    </w:rPr>
                    <w:t>/</w:t>
                  </w:r>
                </w:p>
              </w:tc>
              <w:tc>
                <w:tcPr>
                  <w:tcW w:w="1977" w:type="dxa"/>
                  <w:tcBorders>
                    <w:tl2br w:val="nil"/>
                    <w:tr2bl w:val="nil"/>
                  </w:tcBorders>
                  <w:shd w:val="clear" w:color="auto" w:fill="auto"/>
                  <w:vAlign w:val="center"/>
                </w:tcPr>
                <w:p w14:paraId="1EFAF7B6">
                  <w:pPr>
                    <w:pStyle w:val="17"/>
                    <w:rPr>
                      <w:rFonts w:hint="default" w:eastAsia="宋体"/>
                      <w:color w:val="auto"/>
                      <w:lang w:val="en-US" w:eastAsia="zh-CN"/>
                    </w:rPr>
                  </w:pPr>
                  <w:r>
                    <w:rPr>
                      <w:rFonts w:hint="eastAsia" w:eastAsia="宋体"/>
                      <w:color w:val="auto"/>
                      <w:lang w:val="en-US" w:eastAsia="zh-CN"/>
                    </w:rPr>
                    <w:t>0.1</w:t>
                  </w:r>
                </w:p>
              </w:tc>
              <w:tc>
                <w:tcPr>
                  <w:tcW w:w="1296" w:type="dxa"/>
                  <w:tcBorders>
                    <w:tl2br w:val="nil"/>
                    <w:tr2bl w:val="nil"/>
                  </w:tcBorders>
                  <w:shd w:val="clear" w:color="auto" w:fill="auto"/>
                  <w:vAlign w:val="center"/>
                </w:tcPr>
                <w:p w14:paraId="2222BF25">
                  <w:pPr>
                    <w:pStyle w:val="17"/>
                    <w:rPr>
                      <w:rFonts w:hint="default" w:eastAsia="宋体"/>
                      <w:color w:val="auto"/>
                      <w:lang w:val="en-US" w:eastAsia="zh-CN"/>
                    </w:rPr>
                  </w:pPr>
                  <w:r>
                    <w:rPr>
                      <w:rFonts w:hint="eastAsia" w:eastAsia="宋体"/>
                      <w:color w:val="auto"/>
                      <w:lang w:val="en-US" w:eastAsia="zh-CN"/>
                    </w:rPr>
                    <w:t>50</w:t>
                  </w:r>
                </w:p>
              </w:tc>
              <w:tc>
                <w:tcPr>
                  <w:tcW w:w="1299" w:type="dxa"/>
                  <w:tcBorders>
                    <w:tl2br w:val="nil"/>
                    <w:tr2bl w:val="nil"/>
                  </w:tcBorders>
                  <w:shd w:val="clear" w:color="auto" w:fill="auto"/>
                  <w:vAlign w:val="center"/>
                </w:tcPr>
                <w:p w14:paraId="26819ABA">
                  <w:pPr>
                    <w:pStyle w:val="17"/>
                    <w:rPr>
                      <w:rFonts w:hint="default" w:eastAsia="宋体"/>
                      <w:color w:val="auto"/>
                      <w:lang w:val="en-US" w:eastAsia="zh-CN"/>
                    </w:rPr>
                  </w:pPr>
                  <w:r>
                    <w:rPr>
                      <w:rFonts w:hint="eastAsia" w:eastAsia="宋体"/>
                      <w:color w:val="auto"/>
                      <w:lang w:val="en-US" w:eastAsia="zh-CN"/>
                    </w:rPr>
                    <w:t>0.002</w:t>
                  </w:r>
                </w:p>
              </w:tc>
            </w:tr>
            <w:tr w14:paraId="5E3B8A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70" w:type="dxa"/>
                  <w:gridSpan w:val="5"/>
                  <w:tcBorders>
                    <w:tl2br w:val="nil"/>
                    <w:tr2bl w:val="nil"/>
                  </w:tcBorders>
                  <w:shd w:val="clear" w:color="auto" w:fill="auto"/>
                  <w:vAlign w:val="center"/>
                </w:tcPr>
                <w:p w14:paraId="46FA8647">
                  <w:pPr>
                    <w:pStyle w:val="17"/>
                    <w:rPr>
                      <w:rFonts w:eastAsia="宋体"/>
                      <w:color w:val="auto"/>
                    </w:rPr>
                  </w:pPr>
                  <w:r>
                    <w:rPr>
                      <w:rFonts w:hint="eastAsia" w:eastAsia="宋体"/>
                      <w:color w:val="auto"/>
                    </w:rPr>
                    <w:t>Q值合计</w:t>
                  </w:r>
                </w:p>
              </w:tc>
              <w:tc>
                <w:tcPr>
                  <w:tcW w:w="1299" w:type="dxa"/>
                  <w:tcBorders>
                    <w:tl2br w:val="nil"/>
                    <w:tr2bl w:val="nil"/>
                  </w:tcBorders>
                  <w:shd w:val="clear" w:color="auto" w:fill="auto"/>
                  <w:vAlign w:val="center"/>
                </w:tcPr>
                <w:p w14:paraId="094B7EB5">
                  <w:pPr>
                    <w:pStyle w:val="17"/>
                    <w:rPr>
                      <w:rFonts w:hint="default" w:eastAsia="宋体"/>
                      <w:color w:val="auto"/>
                      <w:lang w:val="en-US" w:eastAsia="zh-CN"/>
                    </w:rPr>
                  </w:pPr>
                  <w:r>
                    <w:rPr>
                      <w:rFonts w:hint="eastAsia" w:eastAsia="宋体"/>
                      <w:color w:val="auto"/>
                    </w:rPr>
                    <w:t>0.</w:t>
                  </w:r>
                  <w:r>
                    <w:rPr>
                      <w:rFonts w:hint="eastAsia" w:eastAsia="宋体"/>
                      <w:color w:val="auto"/>
                      <w:lang w:val="en-US" w:eastAsia="zh-CN"/>
                    </w:rPr>
                    <w:t>0026</w:t>
                  </w:r>
                </w:p>
              </w:tc>
            </w:tr>
          </w:tbl>
          <w:p w14:paraId="5DB075F3">
            <w:pPr>
              <w:pStyle w:val="3"/>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注：（1）本项目</w:t>
            </w:r>
            <w:r>
              <w:rPr>
                <w:rFonts w:hint="eastAsia" w:eastAsia="宋体" w:cs="Times New Roman"/>
                <w:b w:val="0"/>
                <w:bCs w:val="0"/>
                <w:color w:val="auto"/>
                <w:sz w:val="21"/>
                <w:szCs w:val="21"/>
                <w:highlight w:val="none"/>
                <w:lang w:val="en-US" w:eastAsia="zh-CN"/>
              </w:rPr>
              <w:t>单个井场配备1</w:t>
            </w:r>
            <w:r>
              <w:rPr>
                <w:rFonts w:hint="default" w:ascii="Times New Roman" w:hAnsi="Times New Roman" w:eastAsia="宋体" w:cs="Times New Roman"/>
                <w:b w:val="0"/>
                <w:bCs w:val="0"/>
                <w:color w:val="auto"/>
                <w:sz w:val="21"/>
                <w:szCs w:val="21"/>
                <w:highlight w:val="none"/>
              </w:rPr>
              <w:t>个柴油储罐</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容积</w:t>
            </w:r>
            <w:r>
              <w:rPr>
                <w:rFonts w:hint="default" w:ascii="Times New Roman" w:hAnsi="Times New Roman" w:eastAsia="宋体"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rPr>
              <w:t>0m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/个</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柴油最大存储量为</w:t>
            </w:r>
            <w:r>
              <w:rPr>
                <w:rFonts w:hint="eastAsia" w:eastAsia="宋体" w:cs="Times New Roman"/>
                <w:b w:val="0"/>
                <w:bCs w:val="0"/>
                <w:color w:val="auto"/>
                <w:sz w:val="21"/>
                <w:szCs w:val="21"/>
                <w:highlight w:val="none"/>
                <w:lang w:val="en-US" w:eastAsia="zh-CN"/>
              </w:rPr>
              <w:t>1.503</w:t>
            </w:r>
            <w:r>
              <w:rPr>
                <w:rFonts w:hint="default" w:ascii="Times New Roman" w:hAnsi="Times New Roman" w:eastAsia="宋体" w:cs="Times New Roman"/>
                <w:b w:val="0"/>
                <w:bCs w:val="0"/>
                <w:color w:val="auto"/>
                <w:sz w:val="21"/>
                <w:szCs w:val="21"/>
                <w:highlight w:val="none"/>
              </w:rPr>
              <w:t>t。</w:t>
            </w:r>
          </w:p>
          <w:p w14:paraId="0BFA588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eastAsia="宋体"/>
                <w:color w:val="auto"/>
              </w:rPr>
            </w:pPr>
            <w:r>
              <w:rPr>
                <w:rFonts w:hint="default" w:ascii="Times New Roman" w:hAnsi="Times New Roman" w:eastAsia="宋体" w:cs="Times New Roman"/>
                <w:b w:val="0"/>
                <w:bCs w:val="0"/>
                <w:color w:val="auto"/>
                <w:kern w:val="0"/>
                <w:sz w:val="21"/>
                <w:szCs w:val="21"/>
                <w:lang w:val="en-US" w:eastAsia="zh-CN" w:bidi="ar-SA"/>
              </w:rPr>
              <w:t>（</w:t>
            </w:r>
            <w:r>
              <w:rPr>
                <w:rFonts w:hint="eastAsia" w:cs="Times New Roman"/>
                <w:b w:val="0"/>
                <w:bCs w:val="0"/>
                <w:color w:val="auto"/>
                <w:kern w:val="0"/>
                <w:sz w:val="21"/>
                <w:szCs w:val="21"/>
                <w:lang w:val="en-US" w:eastAsia="zh-CN" w:bidi="ar-SA"/>
              </w:rPr>
              <w:t>2</w:t>
            </w:r>
            <w:r>
              <w:rPr>
                <w:rFonts w:hint="default" w:ascii="Times New Roman" w:hAnsi="Times New Roman" w:eastAsia="宋体" w:cs="Times New Roman"/>
                <w:b w:val="0"/>
                <w:bCs w:val="0"/>
                <w:color w:val="auto"/>
                <w:kern w:val="0"/>
                <w:sz w:val="21"/>
                <w:szCs w:val="21"/>
                <w:lang w:val="en-US" w:eastAsia="zh-CN" w:bidi="ar-SA"/>
              </w:rPr>
              <w:t>）</w:t>
            </w:r>
            <w:r>
              <w:rPr>
                <w:rFonts w:hint="default" w:ascii="Times New Roman" w:hAnsi="Times New Roman" w:eastAsia="宋体" w:cs="Times New Roman"/>
                <w:color w:val="auto"/>
                <w:sz w:val="21"/>
                <w:szCs w:val="21"/>
                <w:shd w:val="clear" w:color="auto" w:fill="FFFFFF"/>
                <w:lang w:val="en-US" w:eastAsia="zh-CN"/>
              </w:rPr>
              <w:t>废沾油防渗膜</w:t>
            </w:r>
            <w:r>
              <w:rPr>
                <w:rFonts w:hint="default" w:ascii="Times New Roman" w:hAnsi="Times New Roman" w:eastAsia="宋体" w:cs="Times New Roman"/>
                <w:b w:val="0"/>
                <w:bCs w:val="0"/>
                <w:color w:val="auto"/>
                <w:kern w:val="0"/>
                <w:sz w:val="21"/>
                <w:szCs w:val="21"/>
                <w:lang w:val="en-US" w:eastAsia="zh-CN" w:bidi="ar-SA"/>
              </w:rPr>
              <w:t>属于危险废物，参照急性类别3，临界量取50t。</w:t>
            </w:r>
          </w:p>
          <w:p w14:paraId="1757F467">
            <w:pPr>
              <w:pStyle w:val="3"/>
              <w:ind w:firstLine="480"/>
              <w:rPr>
                <w:rFonts w:eastAsia="宋体"/>
                <w:color w:val="auto"/>
              </w:rPr>
            </w:pPr>
            <w:r>
              <w:rPr>
                <w:rFonts w:hint="eastAsia" w:eastAsia="宋体"/>
                <w:color w:val="auto"/>
              </w:rPr>
              <w:t>经识别，本项目Q值为0.</w:t>
            </w:r>
            <w:r>
              <w:rPr>
                <w:rFonts w:hint="eastAsia" w:eastAsia="宋体"/>
                <w:color w:val="auto"/>
                <w:lang w:val="en-US" w:eastAsia="zh-CN"/>
              </w:rPr>
              <w:t>0026</w:t>
            </w:r>
            <w:r>
              <w:rPr>
                <w:rFonts w:hint="eastAsia" w:eastAsia="宋体"/>
                <w:color w:val="auto"/>
              </w:rPr>
              <w:t>，在Q＜1范围内，该项目环境风险潜势为Ⅰ。根据</w:t>
            </w:r>
            <w:r>
              <w:rPr>
                <w:rFonts w:eastAsia="宋体"/>
                <w:color w:val="auto"/>
              </w:rPr>
              <w:t>《建设项目环境风险评价技术导则》（HJ/T169-2018）</w:t>
            </w:r>
            <w:r>
              <w:rPr>
                <w:rFonts w:hint="eastAsia" w:eastAsia="宋体"/>
                <w:color w:val="auto"/>
              </w:rPr>
              <w:t>表1评价工作等级划分，本项目评价等级为简单分析。</w:t>
            </w:r>
          </w:p>
          <w:p w14:paraId="61A7E927">
            <w:pPr>
              <w:pStyle w:val="3"/>
              <w:ind w:firstLine="480"/>
              <w:rPr>
                <w:rFonts w:eastAsia="宋体"/>
              </w:rPr>
            </w:pPr>
            <w:r>
              <w:rPr>
                <w:rFonts w:hint="eastAsia" w:eastAsia="宋体"/>
              </w:rPr>
              <w:t>（2）环境敏感目标概况</w:t>
            </w:r>
          </w:p>
          <w:p w14:paraId="08EEA0F8">
            <w:pPr>
              <w:pStyle w:val="3"/>
              <w:ind w:firstLine="480"/>
              <w:rPr>
                <w:rFonts w:eastAsia="宋体"/>
              </w:rPr>
            </w:pPr>
            <w:r>
              <w:rPr>
                <w:rFonts w:hint="eastAsia" w:eastAsia="宋体"/>
              </w:rPr>
              <w:t>本项目周边环境敏感目标见表3-</w:t>
            </w:r>
            <w:r>
              <w:rPr>
                <w:rFonts w:hint="eastAsia" w:eastAsia="宋体"/>
                <w:lang w:val="en-US" w:eastAsia="zh-CN"/>
              </w:rPr>
              <w:t>2</w:t>
            </w:r>
            <w:r>
              <w:rPr>
                <w:rFonts w:hint="eastAsia" w:eastAsia="宋体"/>
              </w:rPr>
              <w:t>。</w:t>
            </w:r>
          </w:p>
          <w:p w14:paraId="7EE4DD82">
            <w:pPr>
              <w:pStyle w:val="3"/>
              <w:ind w:firstLine="480"/>
              <w:rPr>
                <w:rFonts w:eastAsia="宋体"/>
              </w:rPr>
            </w:pPr>
            <w:r>
              <w:rPr>
                <w:rFonts w:hint="eastAsia" w:eastAsia="宋体"/>
              </w:rPr>
              <w:t>（3）环境风险识别</w:t>
            </w:r>
          </w:p>
          <w:p w14:paraId="25782EB3">
            <w:pPr>
              <w:pStyle w:val="3"/>
              <w:ind w:firstLine="480"/>
              <w:rPr>
                <w:rFonts w:eastAsia="宋体"/>
              </w:rPr>
            </w:pPr>
            <w:r>
              <w:rPr>
                <w:rFonts w:eastAsia="宋体"/>
              </w:rPr>
              <w:t>①</w:t>
            </w:r>
            <w:r>
              <w:rPr>
                <w:rFonts w:hint="eastAsia" w:eastAsia="宋体"/>
              </w:rPr>
              <w:t>物质风险识别</w:t>
            </w:r>
          </w:p>
          <w:p w14:paraId="4E1D9E68">
            <w:pPr>
              <w:pStyle w:val="3"/>
              <w:ind w:firstLine="480"/>
              <w:rPr>
                <w:rFonts w:hint="eastAsia" w:eastAsia="宋体"/>
              </w:rPr>
            </w:pPr>
            <w:r>
              <w:rPr>
                <w:rFonts w:hint="eastAsia" w:eastAsia="宋体"/>
              </w:rPr>
              <w:t>本项目主要风险物质为柴油、原油</w:t>
            </w:r>
            <w:r>
              <w:rPr>
                <w:rFonts w:hint="eastAsia" w:eastAsia="宋体"/>
                <w:lang w:val="en-US" w:eastAsia="zh-CN"/>
              </w:rPr>
              <w:t>和</w:t>
            </w:r>
            <w:r>
              <w:rPr>
                <w:rFonts w:hint="eastAsia" w:eastAsia="宋体"/>
              </w:rPr>
              <w:t>天然气。主要理化性质如下。</w:t>
            </w:r>
          </w:p>
          <w:p w14:paraId="199D0B61">
            <w:pPr>
              <w:pStyle w:val="16"/>
              <w:rPr>
                <w:rFonts w:eastAsia="宋体"/>
              </w:rPr>
            </w:pPr>
            <w:r>
              <w:rPr>
                <w:rFonts w:hint="eastAsia" w:eastAsia="宋体"/>
              </w:rPr>
              <w:t>表4-1</w:t>
            </w:r>
            <w:r>
              <w:rPr>
                <w:rFonts w:hint="eastAsia" w:eastAsia="宋体"/>
                <w:lang w:val="en-US" w:eastAsia="zh-CN"/>
              </w:rPr>
              <w:t>3</w:t>
            </w:r>
            <w:r>
              <w:rPr>
                <w:rFonts w:hint="eastAsia" w:eastAsia="宋体"/>
              </w:rPr>
              <w:t xml:space="preserve">  风险物质理化性质</w:t>
            </w:r>
          </w:p>
          <w:tbl>
            <w:tblPr>
              <w:tblStyle w:val="11"/>
              <w:tblW w:w="757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0"/>
              <w:gridCol w:w="2301"/>
              <w:gridCol w:w="2963"/>
              <w:gridCol w:w="1524"/>
            </w:tblGrid>
            <w:tr w14:paraId="7060B6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7" w:hRule="atLeast"/>
              </w:trPr>
              <w:tc>
                <w:tcPr>
                  <w:tcW w:w="790" w:type="dxa"/>
                  <w:tcBorders>
                    <w:tl2br w:val="nil"/>
                    <w:tr2bl w:val="nil"/>
                  </w:tcBorders>
                  <w:shd w:val="clear" w:color="auto" w:fill="auto"/>
                  <w:vAlign w:val="center"/>
                </w:tcPr>
                <w:p w14:paraId="1287BC04">
                  <w:pPr>
                    <w:pStyle w:val="17"/>
                    <w:rPr>
                      <w:rFonts w:eastAsia="宋体"/>
                      <w:b/>
                      <w:bCs/>
                    </w:rPr>
                  </w:pPr>
                  <w:r>
                    <w:rPr>
                      <w:rFonts w:eastAsia="宋体"/>
                      <w:b/>
                      <w:bCs/>
                    </w:rPr>
                    <w:t>名称</w:t>
                  </w:r>
                </w:p>
              </w:tc>
              <w:tc>
                <w:tcPr>
                  <w:tcW w:w="2301" w:type="dxa"/>
                  <w:tcBorders>
                    <w:tl2br w:val="nil"/>
                    <w:tr2bl w:val="nil"/>
                  </w:tcBorders>
                  <w:shd w:val="clear" w:color="auto" w:fill="auto"/>
                  <w:vAlign w:val="center"/>
                </w:tcPr>
                <w:p w14:paraId="1D6F9950">
                  <w:pPr>
                    <w:pStyle w:val="17"/>
                    <w:rPr>
                      <w:rFonts w:eastAsia="宋体"/>
                      <w:b/>
                      <w:bCs/>
                    </w:rPr>
                  </w:pPr>
                  <w:r>
                    <w:rPr>
                      <w:rFonts w:eastAsia="宋体"/>
                      <w:b/>
                      <w:bCs/>
                    </w:rPr>
                    <w:t>理化特性</w:t>
                  </w:r>
                </w:p>
              </w:tc>
              <w:tc>
                <w:tcPr>
                  <w:tcW w:w="2963" w:type="dxa"/>
                  <w:tcBorders>
                    <w:tl2br w:val="nil"/>
                    <w:tr2bl w:val="nil"/>
                  </w:tcBorders>
                  <w:shd w:val="clear" w:color="auto" w:fill="auto"/>
                  <w:vAlign w:val="center"/>
                </w:tcPr>
                <w:p w14:paraId="339CB301">
                  <w:pPr>
                    <w:pStyle w:val="17"/>
                    <w:rPr>
                      <w:rFonts w:eastAsia="宋体"/>
                      <w:b/>
                      <w:bCs/>
                    </w:rPr>
                  </w:pPr>
                  <w:r>
                    <w:rPr>
                      <w:rFonts w:eastAsia="宋体"/>
                      <w:b/>
                      <w:bCs/>
                    </w:rPr>
                    <w:t>燃烧爆炸性</w:t>
                  </w:r>
                </w:p>
              </w:tc>
              <w:tc>
                <w:tcPr>
                  <w:tcW w:w="1524" w:type="dxa"/>
                  <w:tcBorders>
                    <w:tl2br w:val="nil"/>
                    <w:tr2bl w:val="nil"/>
                  </w:tcBorders>
                  <w:shd w:val="clear" w:color="auto" w:fill="auto"/>
                  <w:vAlign w:val="center"/>
                </w:tcPr>
                <w:p w14:paraId="18FEE079">
                  <w:pPr>
                    <w:pStyle w:val="17"/>
                    <w:rPr>
                      <w:rFonts w:eastAsia="宋体"/>
                      <w:b/>
                      <w:bCs/>
                    </w:rPr>
                  </w:pPr>
                  <w:r>
                    <w:rPr>
                      <w:rFonts w:eastAsia="宋体"/>
                      <w:b/>
                      <w:bCs/>
                    </w:rPr>
                    <w:t>毒理毒性</w:t>
                  </w:r>
                </w:p>
              </w:tc>
            </w:tr>
            <w:tr w14:paraId="70945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9" w:hRule="atLeast"/>
              </w:trPr>
              <w:tc>
                <w:tcPr>
                  <w:tcW w:w="790" w:type="dxa"/>
                  <w:tcBorders>
                    <w:tl2br w:val="nil"/>
                    <w:tr2bl w:val="nil"/>
                  </w:tcBorders>
                  <w:shd w:val="clear" w:color="auto" w:fill="auto"/>
                  <w:vAlign w:val="center"/>
                </w:tcPr>
                <w:p w14:paraId="1D4C1B0C">
                  <w:pPr>
                    <w:pStyle w:val="17"/>
                    <w:rPr>
                      <w:rFonts w:eastAsia="宋体"/>
                    </w:rPr>
                  </w:pPr>
                  <w:r>
                    <w:rPr>
                      <w:rFonts w:eastAsia="宋体"/>
                    </w:rPr>
                    <w:t>柴油</w:t>
                  </w:r>
                </w:p>
              </w:tc>
              <w:tc>
                <w:tcPr>
                  <w:tcW w:w="2301" w:type="dxa"/>
                  <w:tcBorders>
                    <w:tl2br w:val="nil"/>
                    <w:tr2bl w:val="nil"/>
                  </w:tcBorders>
                  <w:shd w:val="clear" w:color="auto" w:fill="auto"/>
                  <w:vAlign w:val="center"/>
                </w:tcPr>
                <w:p w14:paraId="47AE7023">
                  <w:pPr>
                    <w:pStyle w:val="17"/>
                    <w:rPr>
                      <w:rFonts w:eastAsia="宋体"/>
                    </w:rPr>
                  </w:pPr>
                  <w:r>
                    <w:rPr>
                      <w:rFonts w:eastAsia="宋体"/>
                    </w:rPr>
                    <w:t>轻柴油（沸点范围约180～370℃）和重柴油（沸点范围约350～-410℃）理化性质两大类，热值为3.3*10^</w:t>
                  </w:r>
                  <w:r>
                    <w:rPr>
                      <w:rFonts w:eastAsia="宋体"/>
                      <w:vertAlign w:val="superscript"/>
                    </w:rPr>
                    <w:t>7</w:t>
                  </w:r>
                  <w:r>
                    <w:rPr>
                      <w:rFonts w:eastAsia="宋体"/>
                    </w:rPr>
                    <w:t>JL，易燃易挥发，不溶于水，易溶于醇和其他有机溶剂。</w:t>
                  </w:r>
                </w:p>
              </w:tc>
              <w:tc>
                <w:tcPr>
                  <w:tcW w:w="2963" w:type="dxa"/>
                  <w:tcBorders>
                    <w:tl2br w:val="nil"/>
                    <w:tr2bl w:val="nil"/>
                  </w:tcBorders>
                  <w:shd w:val="clear" w:color="auto" w:fill="auto"/>
                  <w:vAlign w:val="center"/>
                </w:tcPr>
                <w:p w14:paraId="2AEFA5B9">
                  <w:pPr>
                    <w:pStyle w:val="17"/>
                    <w:rPr>
                      <w:rFonts w:eastAsia="宋体"/>
                    </w:rPr>
                  </w:pPr>
                  <w:r>
                    <w:rPr>
                      <w:rFonts w:eastAsia="宋体"/>
                    </w:rPr>
                    <w:t>易燃，具刺激性。遇明火、高热源或与氧化剂接触，有引起燃烧爆炸的危险。若遇高热，容器内压增大，有开裂和爆炸的危险。</w:t>
                  </w:r>
                </w:p>
                <w:p w14:paraId="24813E02">
                  <w:pPr>
                    <w:pStyle w:val="17"/>
                    <w:rPr>
                      <w:rFonts w:eastAsia="宋体"/>
                    </w:rPr>
                  </w:pPr>
                  <w:r>
                    <w:rPr>
                      <w:rFonts w:eastAsia="宋体"/>
                    </w:rPr>
                    <w:t>燃烧(分解)产物： 一氧化碳、二氧化碳和不完全燃烧时的大量黑烟</w:t>
                  </w:r>
                </w:p>
              </w:tc>
              <w:tc>
                <w:tcPr>
                  <w:tcW w:w="1524" w:type="dxa"/>
                  <w:tcBorders>
                    <w:tl2br w:val="nil"/>
                    <w:tr2bl w:val="nil"/>
                  </w:tcBorders>
                  <w:shd w:val="clear" w:color="auto" w:fill="auto"/>
                  <w:vAlign w:val="center"/>
                </w:tcPr>
                <w:p w14:paraId="44197A4F">
                  <w:pPr>
                    <w:pStyle w:val="17"/>
                    <w:rPr>
                      <w:rFonts w:eastAsia="宋体"/>
                    </w:rPr>
                  </w:pPr>
                  <w:r>
                    <w:rPr>
                      <w:rFonts w:eastAsia="宋体"/>
                    </w:rPr>
                    <w:t>低毒</w:t>
                  </w:r>
                </w:p>
              </w:tc>
            </w:tr>
            <w:tr w14:paraId="2CEB40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9" w:hRule="atLeast"/>
              </w:trPr>
              <w:tc>
                <w:tcPr>
                  <w:tcW w:w="790" w:type="dxa"/>
                  <w:tcBorders>
                    <w:tl2br w:val="nil"/>
                    <w:tr2bl w:val="nil"/>
                  </w:tcBorders>
                  <w:shd w:val="clear" w:color="auto" w:fill="auto"/>
                  <w:vAlign w:val="center"/>
                </w:tcPr>
                <w:p w14:paraId="4D62BB9A">
                  <w:pPr>
                    <w:pStyle w:val="17"/>
                    <w:rPr>
                      <w:rFonts w:eastAsia="宋体"/>
                    </w:rPr>
                  </w:pPr>
                  <w:r>
                    <w:rPr>
                      <w:rFonts w:eastAsia="宋体"/>
                    </w:rPr>
                    <w:t>原油</w:t>
                  </w:r>
                </w:p>
              </w:tc>
              <w:tc>
                <w:tcPr>
                  <w:tcW w:w="2301" w:type="dxa"/>
                  <w:tcBorders>
                    <w:tl2br w:val="nil"/>
                    <w:tr2bl w:val="nil"/>
                  </w:tcBorders>
                  <w:shd w:val="clear" w:color="auto" w:fill="auto"/>
                  <w:vAlign w:val="center"/>
                </w:tcPr>
                <w:p w14:paraId="1433EEF9">
                  <w:pPr>
                    <w:pStyle w:val="17"/>
                    <w:rPr>
                      <w:rFonts w:eastAsia="宋体"/>
                    </w:rPr>
                  </w:pPr>
                  <w:r>
                    <w:rPr>
                      <w:rFonts w:eastAsia="宋体"/>
                    </w:rPr>
                    <w:t>原油主要由碳、氢、硫、氮、氧及金属组成，</w:t>
                  </w:r>
                  <w:r>
                    <w:rPr>
                      <w:rFonts w:eastAsia="宋体"/>
                    </w:rPr>
                    <w:fldChar w:fldCharType="begin"/>
                  </w:r>
                  <w:r>
                    <w:instrText xml:space="preserve"> HYPERLINK "https://baike.baidu.com/item/%E5%8E%9F%E6%B2%B9%E7%9B%B8%E5%AF%B9%E5%AF%86%E5%BA%A6" \t "https://baike.baidu.com/item/%E5%8E%9F%E6%B2%B9/_blank" </w:instrText>
                  </w:r>
                  <w:r>
                    <w:rPr>
                      <w:rFonts w:eastAsia="宋体"/>
                    </w:rPr>
                    <w:fldChar w:fldCharType="separate"/>
                  </w:r>
                  <w:r>
                    <w:rPr>
                      <w:rFonts w:eastAsia="宋体"/>
                    </w:rPr>
                    <w:t>相对密度</w:t>
                  </w:r>
                  <w:r>
                    <w:rPr>
                      <w:rFonts w:eastAsia="宋体"/>
                    </w:rPr>
                    <w:fldChar w:fldCharType="end"/>
                  </w:r>
                  <w:r>
                    <w:rPr>
                      <w:rFonts w:eastAsia="宋体"/>
                    </w:rPr>
                    <w:t>一般在0.75-0.95之间，粘度变化较大，一般在1-100mPa·s之间，凝固点大约在-50℃-35℃之间</w:t>
                  </w:r>
                </w:p>
              </w:tc>
              <w:tc>
                <w:tcPr>
                  <w:tcW w:w="2963" w:type="dxa"/>
                  <w:tcBorders>
                    <w:tl2br w:val="nil"/>
                    <w:tr2bl w:val="nil"/>
                  </w:tcBorders>
                  <w:shd w:val="clear" w:color="auto" w:fill="auto"/>
                  <w:vAlign w:val="center"/>
                </w:tcPr>
                <w:p w14:paraId="0D277525">
                  <w:pPr>
                    <w:pStyle w:val="17"/>
                    <w:rPr>
                      <w:rFonts w:eastAsia="宋体"/>
                    </w:rPr>
                  </w:pPr>
                  <w:r>
                    <w:rPr>
                      <w:rFonts w:eastAsia="宋体"/>
                    </w:rPr>
                    <w:t>其蒸汽与空气形成爆炸性混合物，遇明火、高热时极易 燃烧爆炸，与氧化剂能发生强烈反应，若遇高热，容器 内压增大，有开裂和爆炸的危险。</w:t>
                  </w:r>
                </w:p>
              </w:tc>
              <w:tc>
                <w:tcPr>
                  <w:tcW w:w="1524" w:type="dxa"/>
                  <w:tcBorders>
                    <w:tl2br w:val="nil"/>
                    <w:tr2bl w:val="nil"/>
                  </w:tcBorders>
                  <w:shd w:val="clear" w:color="auto" w:fill="auto"/>
                  <w:vAlign w:val="center"/>
                </w:tcPr>
                <w:p w14:paraId="12466128">
                  <w:pPr>
                    <w:pStyle w:val="17"/>
                    <w:rPr>
                      <w:rFonts w:eastAsia="宋体"/>
                    </w:rPr>
                  </w:pPr>
                  <w:r>
                    <w:rPr>
                      <w:rFonts w:eastAsia="宋体"/>
                    </w:rPr>
                    <w:t>LD50</w:t>
                  </w:r>
                  <w:r>
                    <w:rPr>
                      <w:rFonts w:eastAsia="宋体"/>
                      <w:spacing w:val="-12"/>
                    </w:rPr>
                    <w:t xml:space="preserve"> </w:t>
                  </w:r>
                  <w:r>
                    <w:rPr>
                      <w:rFonts w:eastAsia="宋体"/>
                    </w:rPr>
                    <w:t>:500-5000mg/kg（哺乳动物吸入）</w:t>
                  </w:r>
                </w:p>
              </w:tc>
            </w:tr>
            <w:tr w14:paraId="483EB4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9" w:hRule="atLeast"/>
              </w:trPr>
              <w:tc>
                <w:tcPr>
                  <w:tcW w:w="790" w:type="dxa"/>
                  <w:tcBorders>
                    <w:tl2br w:val="nil"/>
                    <w:tr2bl w:val="nil"/>
                  </w:tcBorders>
                  <w:shd w:val="clear" w:color="auto" w:fill="auto"/>
                  <w:vAlign w:val="center"/>
                </w:tcPr>
                <w:p w14:paraId="16F18BE7">
                  <w:pPr>
                    <w:pStyle w:val="17"/>
                    <w:rPr>
                      <w:rFonts w:eastAsia="宋体"/>
                    </w:rPr>
                  </w:pPr>
                  <w:r>
                    <w:rPr>
                      <w:rFonts w:eastAsia="宋体"/>
                    </w:rPr>
                    <w:t>天然气</w:t>
                  </w:r>
                </w:p>
              </w:tc>
              <w:tc>
                <w:tcPr>
                  <w:tcW w:w="2301" w:type="dxa"/>
                  <w:tcBorders>
                    <w:tl2br w:val="nil"/>
                    <w:tr2bl w:val="nil"/>
                  </w:tcBorders>
                  <w:shd w:val="clear" w:color="auto" w:fill="auto"/>
                  <w:vAlign w:val="center"/>
                </w:tcPr>
                <w:p w14:paraId="36EA6E6B">
                  <w:pPr>
                    <w:pStyle w:val="17"/>
                    <w:rPr>
                      <w:rFonts w:eastAsia="宋体"/>
                    </w:rPr>
                  </w:pPr>
                  <w:r>
                    <w:rPr>
                      <w:rFonts w:eastAsia="宋体"/>
                    </w:rPr>
                    <w:t>无色无味的气体，熔点-182.48℃，沸点-161.49℃</w:t>
                  </w:r>
                </w:p>
                <w:p w14:paraId="1AA9227D">
                  <w:pPr>
                    <w:pStyle w:val="17"/>
                    <w:rPr>
                      <w:rFonts w:eastAsia="宋体"/>
                    </w:rPr>
                  </w:pPr>
                  <w:r>
                    <w:rPr>
                      <w:rFonts w:eastAsia="宋体"/>
                    </w:rPr>
                    <w:t>相对密度（空气＝1）0.554</w:t>
                  </w:r>
                </w:p>
                <w:p w14:paraId="5726EBEF">
                  <w:pPr>
                    <w:pStyle w:val="17"/>
                    <w:jc w:val="both"/>
                    <w:rPr>
                      <w:rFonts w:eastAsia="宋体"/>
                    </w:rPr>
                  </w:pPr>
                  <w:r>
                    <w:rPr>
                      <w:rFonts w:eastAsia="宋体"/>
                    </w:rPr>
                    <w:t>相对密度（水=1）0.42(-164℃)；闪点-188℃；溶解性：微溶于水，溶于醇、乙醚；自燃温度537℃</w:t>
                  </w:r>
                </w:p>
              </w:tc>
              <w:tc>
                <w:tcPr>
                  <w:tcW w:w="2963" w:type="dxa"/>
                  <w:tcBorders>
                    <w:tl2br w:val="nil"/>
                    <w:tr2bl w:val="nil"/>
                  </w:tcBorders>
                  <w:shd w:val="clear" w:color="auto" w:fill="auto"/>
                  <w:vAlign w:val="center"/>
                </w:tcPr>
                <w:p w14:paraId="7A868875">
                  <w:pPr>
                    <w:pStyle w:val="17"/>
                    <w:rPr>
                      <w:rFonts w:eastAsia="宋体"/>
                    </w:rPr>
                  </w:pPr>
                  <w:r>
                    <w:rPr>
                      <w:rFonts w:eastAsia="宋体"/>
                    </w:rPr>
                    <w:t>第 2.1 类易燃气体，闪点/引燃温度（℃）&lt;-18/350</w:t>
                  </w:r>
                </w:p>
                <w:p w14:paraId="4FE11922">
                  <w:pPr>
                    <w:pStyle w:val="17"/>
                    <w:rPr>
                      <w:rFonts w:eastAsia="宋体"/>
                    </w:rPr>
                  </w:pPr>
                  <w:r>
                    <w:rPr>
                      <w:rFonts w:eastAsia="宋体"/>
                    </w:rPr>
                    <w:t>爆炸极限（vol%）</w:t>
                  </w:r>
                  <w:r>
                    <w:rPr>
                      <w:rFonts w:eastAsia="宋体"/>
                    </w:rPr>
                    <w:tab/>
                  </w:r>
                  <w:r>
                    <w:rPr>
                      <w:rFonts w:eastAsia="宋体"/>
                    </w:rPr>
                    <w:t>5-15；易燃，与空气混合能形成爆炸性混合物，遇热源和明火有燃烧爆炸的危险。与五氧化溴、氯气、次氯酸、三氟</w:t>
                  </w:r>
                  <w:r>
                    <w:rPr>
                      <w:rFonts w:eastAsia="宋体"/>
                      <w:spacing w:val="4"/>
                    </w:rPr>
                    <w:t>化氮、液氧、二氟化氮及其它强氧化剂接触剧烈反应，</w:t>
                  </w:r>
                  <w:r>
                    <w:rPr>
                      <w:rFonts w:eastAsia="宋体"/>
                    </w:rPr>
                    <w:t>燃烧(分解)产物：一氧化碳、二氧化碳</w:t>
                  </w:r>
                </w:p>
              </w:tc>
              <w:tc>
                <w:tcPr>
                  <w:tcW w:w="1524" w:type="dxa"/>
                  <w:tcBorders>
                    <w:tl2br w:val="nil"/>
                    <w:tr2bl w:val="nil"/>
                  </w:tcBorders>
                  <w:shd w:val="clear" w:color="auto" w:fill="auto"/>
                  <w:vAlign w:val="center"/>
                </w:tcPr>
                <w:p w14:paraId="586C94DA">
                  <w:pPr>
                    <w:pStyle w:val="17"/>
                    <w:rPr>
                      <w:rFonts w:eastAsia="宋体"/>
                    </w:rPr>
                  </w:pPr>
                  <w:r>
                    <w:rPr>
                      <w:rFonts w:eastAsia="宋体"/>
                      <w:spacing w:val="2"/>
                    </w:rPr>
                    <w:t>属微毒类，急性毒性：小鼠吸入 42%浓度×60 分钟，麻醉作用；兔吸入 42%浓度×60分钟，麻醉作用。</w:t>
                  </w:r>
                </w:p>
              </w:tc>
            </w:tr>
          </w:tbl>
          <w:p w14:paraId="5748DDE5">
            <w:pPr>
              <w:pStyle w:val="3"/>
              <w:ind w:left="0" w:leftChars="0" w:firstLine="480" w:firstLineChars="200"/>
              <w:rPr>
                <w:rFonts w:eastAsia="宋体"/>
              </w:rPr>
            </w:pPr>
            <w:r>
              <w:rPr>
                <w:rFonts w:eastAsia="宋体"/>
              </w:rPr>
              <w:t>②</w:t>
            </w:r>
            <w:r>
              <w:rPr>
                <w:rFonts w:hint="eastAsia" w:eastAsia="宋体"/>
              </w:rPr>
              <w:t>生产系统危险性识别</w:t>
            </w:r>
          </w:p>
          <w:p w14:paraId="782C947B">
            <w:pPr>
              <w:pStyle w:val="3"/>
              <w:ind w:firstLine="480"/>
              <w:rPr>
                <w:rFonts w:eastAsia="宋体"/>
              </w:rPr>
            </w:pPr>
            <w:r>
              <w:rPr>
                <w:rFonts w:eastAsia="宋体"/>
              </w:rPr>
              <w:t>根据调查资料，油田勘探过程中风险主要为钻井事故。钻井过程中发生对环境影响较为严重的事故是井喷、井漏</w:t>
            </w:r>
            <w:r>
              <w:rPr>
                <w:rFonts w:hint="eastAsia" w:eastAsia="宋体"/>
              </w:rPr>
              <w:t>、储罐</w:t>
            </w:r>
            <w:r>
              <w:rPr>
                <w:rFonts w:eastAsia="宋体"/>
              </w:rPr>
              <w:t>泄</w:t>
            </w:r>
            <w:r>
              <w:rPr>
                <w:rFonts w:hint="eastAsia" w:eastAsia="宋体"/>
                <w:lang w:val="en-US" w:eastAsia="zh-CN"/>
              </w:rPr>
              <w:t>漏</w:t>
            </w:r>
            <w:r>
              <w:rPr>
                <w:rFonts w:eastAsia="宋体"/>
              </w:rPr>
              <w:t>。</w:t>
            </w:r>
          </w:p>
          <w:p w14:paraId="3335B37B">
            <w:pPr>
              <w:pStyle w:val="3"/>
              <w:ind w:firstLine="480"/>
              <w:rPr>
                <w:rFonts w:eastAsia="宋体"/>
              </w:rPr>
            </w:pPr>
            <w:r>
              <w:rPr>
                <w:rFonts w:eastAsia="宋体"/>
              </w:rPr>
              <w:t>A井喷</w:t>
            </w:r>
            <w:r>
              <w:rPr>
                <w:rFonts w:hint="eastAsia" w:eastAsia="宋体"/>
                <w:lang w:val="en-US" w:eastAsia="zh-CN"/>
              </w:rPr>
              <w:t>泄漏</w:t>
            </w:r>
            <w:r>
              <w:rPr>
                <w:rFonts w:eastAsia="宋体"/>
              </w:rPr>
              <w:t xml:space="preserve"> </w:t>
            </w:r>
          </w:p>
          <w:p w14:paraId="1305BAEF">
            <w:pPr>
              <w:pStyle w:val="3"/>
              <w:ind w:firstLine="480"/>
              <w:rPr>
                <w:rFonts w:ascii="Times New Roman" w:hAnsi="Times New Roman" w:eastAsia="宋体" w:cs="Times New Roman"/>
              </w:rPr>
            </w:pPr>
            <w:r>
              <w:rPr>
                <w:rFonts w:ascii="Times New Roman" w:hAnsi="Times New Roman" w:eastAsia="宋体" w:cs="Times New Roman"/>
              </w:rPr>
              <w:t>所谓井喷是在钻获高压油层时，由于处理措施不当，使油气流从井口喷出的事故。在石油勘探开发过程中，对环境影响较严重的灾害性事故是井喷。</w:t>
            </w:r>
            <w:r>
              <w:rPr>
                <w:rFonts w:hint="eastAsia" w:ascii="Times New Roman" w:hAnsi="Times New Roman" w:eastAsia="宋体" w:cs="Times New Roman"/>
              </w:rPr>
              <w:t>根据统计，</w:t>
            </w:r>
            <w:r>
              <w:rPr>
                <w:rFonts w:ascii="Times New Roman" w:hAnsi="Times New Roman" w:eastAsia="宋体" w:cs="Times New Roman"/>
              </w:rPr>
              <w:t>从事故原因分析表明，多数井喷的发生是由于操作人员直接原因造成。可能造成潜在环境风险的主要环节包括：钻井、起下钻、下套管、固井、测井和</w:t>
            </w:r>
            <w:r>
              <w:rPr>
                <w:rFonts w:hint="eastAsia" w:eastAsia="宋体" w:cs="Times New Roman"/>
                <w:lang w:val="en-US" w:eastAsia="zh-CN"/>
              </w:rPr>
              <w:t>试采</w:t>
            </w:r>
            <w:r>
              <w:rPr>
                <w:rFonts w:ascii="Times New Roman" w:hAnsi="Times New Roman" w:eastAsia="宋体" w:cs="Times New Roman"/>
              </w:rPr>
              <w:t>作业等，在整个钻井过程中可能发生的事故以井喷后果最为严重，井喷失控易酿成火灾、爆炸事故，造成人员伤亡、设备损坏、油井报废和自然环境的污染。</w:t>
            </w:r>
          </w:p>
          <w:p w14:paraId="6F9B7A9C">
            <w:pPr>
              <w:pStyle w:val="3"/>
              <w:ind w:firstLine="480"/>
              <w:rPr>
                <w:rFonts w:eastAsia="宋体"/>
              </w:rPr>
            </w:pPr>
            <w:r>
              <w:rPr>
                <w:rFonts w:eastAsia="宋体"/>
              </w:rPr>
              <w:t>B井漏</w:t>
            </w:r>
          </w:p>
          <w:p w14:paraId="54DCA7E9">
            <w:pPr>
              <w:pStyle w:val="3"/>
              <w:ind w:firstLine="480"/>
              <w:rPr>
                <w:rFonts w:eastAsia="宋体"/>
              </w:rPr>
            </w:pPr>
            <w:r>
              <w:rPr>
                <w:rFonts w:eastAsia="宋体"/>
              </w:rPr>
              <w:t>井漏是钻井过程中钻井液漏入地层的现象，这是钻井过程中最复杂和耗资最多的事故。漏层的类型、井漏的严重程度及漏失层位各不相同，因此，变化也很大。井漏除了使大量泥浆漏失，造成经济损失以外，有时还会对地下水和油层产生一定的危害。井漏主要发生于具有特殊地质结构的油藏区，根据统计，这类事故主要发生在具有溶洞、裂隙等不稳定的地层构造区域。</w:t>
            </w:r>
          </w:p>
          <w:p w14:paraId="6255AF36">
            <w:pPr>
              <w:pStyle w:val="3"/>
              <w:ind w:firstLine="480"/>
              <w:rPr>
                <w:rFonts w:eastAsia="宋体"/>
              </w:rPr>
            </w:pPr>
            <w:r>
              <w:rPr>
                <w:rFonts w:eastAsia="宋体"/>
              </w:rPr>
              <w:t>C储罐泄</w:t>
            </w:r>
            <w:r>
              <w:rPr>
                <w:rFonts w:hint="eastAsia" w:eastAsia="宋体"/>
                <w:lang w:val="en-US" w:eastAsia="zh-CN"/>
              </w:rPr>
              <w:t>漏</w:t>
            </w:r>
          </w:p>
          <w:p w14:paraId="4D7425AE">
            <w:pPr>
              <w:pStyle w:val="3"/>
              <w:ind w:firstLine="480"/>
              <w:rPr>
                <w:rFonts w:eastAsia="宋体"/>
              </w:rPr>
            </w:pPr>
            <w:r>
              <w:rPr>
                <w:rFonts w:eastAsia="宋体"/>
              </w:rPr>
              <w:t>本项目使用的柴油</w:t>
            </w:r>
            <w:r>
              <w:rPr>
                <w:rFonts w:hint="eastAsia" w:eastAsia="宋体"/>
              </w:rPr>
              <w:t>、泥浆</w:t>
            </w:r>
            <w:r>
              <w:rPr>
                <w:rFonts w:eastAsia="宋体"/>
              </w:rPr>
              <w:t>在井场</w:t>
            </w:r>
            <w:r>
              <w:rPr>
                <w:rFonts w:hint="eastAsia" w:eastAsia="宋体"/>
              </w:rPr>
              <w:t>储</w:t>
            </w:r>
            <w:r>
              <w:rPr>
                <w:rFonts w:eastAsia="宋体"/>
              </w:rPr>
              <w:t>罐中储存，存在</w:t>
            </w:r>
            <w:r>
              <w:rPr>
                <w:rFonts w:hint="eastAsia" w:eastAsia="宋体"/>
              </w:rPr>
              <w:t>储</w:t>
            </w:r>
            <w:r>
              <w:rPr>
                <w:rFonts w:eastAsia="宋体"/>
              </w:rPr>
              <w:t>罐破裂导致</w:t>
            </w:r>
            <w:r>
              <w:rPr>
                <w:rFonts w:hint="eastAsia" w:eastAsia="宋体"/>
              </w:rPr>
              <w:t>罐内物质</w:t>
            </w:r>
            <w:r>
              <w:rPr>
                <w:rFonts w:eastAsia="宋体"/>
              </w:rPr>
              <w:t>泄漏的</w:t>
            </w:r>
            <w:r>
              <w:rPr>
                <w:rFonts w:hint="eastAsia" w:eastAsia="宋体"/>
              </w:rPr>
              <w:t>可</w:t>
            </w:r>
            <w:r>
              <w:rPr>
                <w:rFonts w:eastAsia="宋体"/>
              </w:rPr>
              <w:t>能性。主要原因有：</w:t>
            </w:r>
          </w:p>
          <w:p w14:paraId="2D18A694">
            <w:pPr>
              <w:pStyle w:val="3"/>
              <w:ind w:firstLine="480"/>
              <w:rPr>
                <w:rFonts w:eastAsia="宋体"/>
              </w:rPr>
            </w:pPr>
            <w:r>
              <w:rPr>
                <w:rFonts w:eastAsia="宋体"/>
              </w:rPr>
              <w:t>1）罐体安装前及管线敷设前，设备、管材焊接存在缺陷</w:t>
            </w:r>
            <w:r>
              <w:rPr>
                <w:rFonts w:hint="eastAsia" w:eastAsia="宋体"/>
              </w:rPr>
              <w:t>；</w:t>
            </w:r>
          </w:p>
          <w:p w14:paraId="1C557420">
            <w:pPr>
              <w:pStyle w:val="3"/>
              <w:ind w:firstLine="480"/>
              <w:rPr>
                <w:rFonts w:eastAsia="宋体"/>
              </w:rPr>
            </w:pPr>
            <w:r>
              <w:rPr>
                <w:rFonts w:eastAsia="宋体"/>
              </w:rPr>
              <w:t>2）未对罐体及管线全线进行水压试验</w:t>
            </w:r>
          </w:p>
          <w:p w14:paraId="067AE84E">
            <w:pPr>
              <w:pStyle w:val="3"/>
              <w:ind w:firstLine="480"/>
              <w:rPr>
                <w:rFonts w:eastAsia="宋体"/>
              </w:rPr>
            </w:pPr>
            <w:r>
              <w:rPr>
                <w:rFonts w:eastAsia="宋体"/>
              </w:rPr>
              <w:t>3）罐区防渗处理不合格</w:t>
            </w:r>
          </w:p>
          <w:p w14:paraId="37E98B4B">
            <w:pPr>
              <w:pStyle w:val="3"/>
              <w:ind w:firstLine="480"/>
              <w:rPr>
                <w:rFonts w:eastAsia="宋体"/>
              </w:rPr>
            </w:pPr>
            <w:r>
              <w:rPr>
                <w:rFonts w:hint="eastAsia" w:eastAsia="宋体"/>
              </w:rPr>
              <w:t>③</w:t>
            </w:r>
            <w:r>
              <w:rPr>
                <w:rFonts w:eastAsia="宋体"/>
              </w:rPr>
              <w:t>环境影响途径识别</w:t>
            </w:r>
          </w:p>
          <w:p w14:paraId="7F1CB114">
            <w:pPr>
              <w:pStyle w:val="3"/>
              <w:ind w:firstLine="480"/>
              <w:rPr>
                <w:rFonts w:eastAsia="宋体"/>
              </w:rPr>
            </w:pPr>
            <w:r>
              <w:rPr>
                <w:rFonts w:eastAsia="宋体"/>
              </w:rPr>
              <w:t>根据项目物质危险性识别、生产系统危险性识别，本项目危险物质在事故情形下对环境的影响途径</w:t>
            </w:r>
            <w:r>
              <w:rPr>
                <w:rFonts w:hint="eastAsia" w:eastAsia="宋体"/>
              </w:rPr>
              <w:t>见表4-1</w:t>
            </w:r>
            <w:r>
              <w:rPr>
                <w:rFonts w:hint="eastAsia" w:eastAsia="宋体"/>
                <w:lang w:val="en-US" w:eastAsia="zh-CN"/>
              </w:rPr>
              <w:t>4</w:t>
            </w:r>
            <w:r>
              <w:rPr>
                <w:rFonts w:eastAsia="宋体"/>
              </w:rPr>
              <w:t>。</w:t>
            </w:r>
          </w:p>
          <w:p w14:paraId="4BEECFA8">
            <w:pPr>
              <w:pStyle w:val="16"/>
              <w:jc w:val="center"/>
              <w:rPr>
                <w:rFonts w:eastAsia="宋体"/>
              </w:rPr>
            </w:pPr>
            <w:r>
              <w:rPr>
                <w:rFonts w:eastAsia="宋体"/>
              </w:rPr>
              <w:t>表</w:t>
            </w:r>
            <w:r>
              <w:rPr>
                <w:rFonts w:hint="eastAsia" w:eastAsia="宋体"/>
              </w:rPr>
              <w:t>4-1</w:t>
            </w:r>
            <w:r>
              <w:rPr>
                <w:rFonts w:hint="eastAsia" w:eastAsia="宋体"/>
                <w:lang w:val="en-US" w:eastAsia="zh-CN"/>
              </w:rPr>
              <w:t>4</w:t>
            </w:r>
            <w:r>
              <w:rPr>
                <w:rFonts w:hint="eastAsia" w:eastAsia="宋体"/>
              </w:rPr>
              <w:t xml:space="preserve"> </w:t>
            </w:r>
            <w:r>
              <w:rPr>
                <w:rFonts w:eastAsia="宋体"/>
              </w:rPr>
              <w:t xml:space="preserve"> 建设项目环境风险识别表</w:t>
            </w:r>
          </w:p>
          <w:tbl>
            <w:tblPr>
              <w:tblStyle w:val="11"/>
              <w:tblW w:w="77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8"/>
              <w:gridCol w:w="998"/>
              <w:gridCol w:w="1056"/>
              <w:gridCol w:w="1325"/>
              <w:gridCol w:w="1100"/>
              <w:gridCol w:w="1080"/>
              <w:gridCol w:w="1709"/>
            </w:tblGrid>
            <w:tr w14:paraId="2EC246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dxa"/>
                  <w:tcBorders>
                    <w:tl2br w:val="nil"/>
                    <w:tr2bl w:val="nil"/>
                  </w:tcBorders>
                  <w:shd w:val="clear" w:color="auto" w:fill="auto"/>
                  <w:vAlign w:val="center"/>
                </w:tcPr>
                <w:p w14:paraId="453A313C">
                  <w:pPr>
                    <w:pStyle w:val="17"/>
                    <w:bidi w:val="0"/>
                    <w:rPr>
                      <w:rFonts w:eastAsia="宋体"/>
                      <w:b/>
                      <w:bCs/>
                    </w:rPr>
                  </w:pPr>
                  <w:r>
                    <w:rPr>
                      <w:rFonts w:eastAsia="宋体"/>
                      <w:b/>
                      <w:bCs/>
                    </w:rPr>
                    <w:t>序号</w:t>
                  </w:r>
                </w:p>
              </w:tc>
              <w:tc>
                <w:tcPr>
                  <w:tcW w:w="998" w:type="dxa"/>
                  <w:tcBorders>
                    <w:tl2br w:val="nil"/>
                    <w:tr2bl w:val="nil"/>
                  </w:tcBorders>
                  <w:shd w:val="clear" w:color="auto" w:fill="auto"/>
                  <w:vAlign w:val="center"/>
                </w:tcPr>
                <w:p w14:paraId="6F35C912">
                  <w:pPr>
                    <w:pStyle w:val="17"/>
                    <w:bidi w:val="0"/>
                    <w:rPr>
                      <w:rFonts w:eastAsia="宋体"/>
                      <w:b/>
                      <w:bCs/>
                    </w:rPr>
                  </w:pPr>
                  <w:r>
                    <w:rPr>
                      <w:rFonts w:eastAsia="宋体"/>
                      <w:b/>
                      <w:bCs/>
                    </w:rPr>
                    <w:t>危险单元</w:t>
                  </w:r>
                </w:p>
              </w:tc>
              <w:tc>
                <w:tcPr>
                  <w:tcW w:w="1056" w:type="dxa"/>
                  <w:tcBorders>
                    <w:tl2br w:val="nil"/>
                    <w:tr2bl w:val="nil"/>
                  </w:tcBorders>
                  <w:shd w:val="clear" w:color="auto" w:fill="auto"/>
                  <w:vAlign w:val="center"/>
                </w:tcPr>
                <w:p w14:paraId="1A5B28C7">
                  <w:pPr>
                    <w:pStyle w:val="17"/>
                    <w:bidi w:val="0"/>
                    <w:rPr>
                      <w:rFonts w:eastAsia="宋体"/>
                      <w:b/>
                      <w:bCs/>
                    </w:rPr>
                  </w:pPr>
                  <w:r>
                    <w:rPr>
                      <w:rFonts w:eastAsia="宋体"/>
                      <w:b/>
                      <w:bCs/>
                    </w:rPr>
                    <w:t>风险源</w:t>
                  </w:r>
                </w:p>
              </w:tc>
              <w:tc>
                <w:tcPr>
                  <w:tcW w:w="1325" w:type="dxa"/>
                  <w:tcBorders>
                    <w:tl2br w:val="nil"/>
                    <w:tr2bl w:val="nil"/>
                  </w:tcBorders>
                  <w:shd w:val="clear" w:color="auto" w:fill="auto"/>
                  <w:vAlign w:val="center"/>
                </w:tcPr>
                <w:p w14:paraId="781DB70D">
                  <w:pPr>
                    <w:pStyle w:val="17"/>
                    <w:bidi w:val="0"/>
                    <w:rPr>
                      <w:rFonts w:eastAsia="宋体"/>
                      <w:b/>
                      <w:bCs/>
                    </w:rPr>
                  </w:pPr>
                  <w:r>
                    <w:rPr>
                      <w:rFonts w:eastAsia="宋体"/>
                      <w:b/>
                      <w:bCs/>
                    </w:rPr>
                    <w:t>主要危险</w:t>
                  </w:r>
                </w:p>
                <w:p w14:paraId="38F5CF0B">
                  <w:pPr>
                    <w:pStyle w:val="17"/>
                    <w:bidi w:val="0"/>
                    <w:rPr>
                      <w:rFonts w:eastAsia="宋体"/>
                      <w:b/>
                      <w:bCs/>
                    </w:rPr>
                  </w:pPr>
                  <w:r>
                    <w:rPr>
                      <w:rFonts w:eastAsia="宋体"/>
                      <w:b/>
                      <w:bCs/>
                    </w:rPr>
                    <w:t>物质</w:t>
                  </w:r>
                </w:p>
              </w:tc>
              <w:tc>
                <w:tcPr>
                  <w:tcW w:w="1100" w:type="dxa"/>
                  <w:tcBorders>
                    <w:tl2br w:val="nil"/>
                    <w:tr2bl w:val="nil"/>
                  </w:tcBorders>
                  <w:shd w:val="clear" w:color="auto" w:fill="auto"/>
                  <w:vAlign w:val="center"/>
                </w:tcPr>
                <w:p w14:paraId="04AD0D96">
                  <w:pPr>
                    <w:pStyle w:val="17"/>
                    <w:bidi w:val="0"/>
                    <w:rPr>
                      <w:rFonts w:eastAsia="宋体"/>
                      <w:b/>
                      <w:bCs/>
                    </w:rPr>
                  </w:pPr>
                  <w:r>
                    <w:rPr>
                      <w:rFonts w:eastAsia="宋体"/>
                      <w:b/>
                      <w:bCs/>
                    </w:rPr>
                    <w:t>环境风险</w:t>
                  </w:r>
                </w:p>
                <w:p w14:paraId="0FFA7507">
                  <w:pPr>
                    <w:pStyle w:val="17"/>
                    <w:bidi w:val="0"/>
                    <w:rPr>
                      <w:rFonts w:eastAsia="宋体"/>
                      <w:b/>
                      <w:bCs/>
                    </w:rPr>
                  </w:pPr>
                  <w:r>
                    <w:rPr>
                      <w:rFonts w:eastAsia="宋体"/>
                      <w:b/>
                      <w:bCs/>
                    </w:rPr>
                    <w:t>类型</w:t>
                  </w:r>
                </w:p>
              </w:tc>
              <w:tc>
                <w:tcPr>
                  <w:tcW w:w="1080" w:type="dxa"/>
                  <w:tcBorders>
                    <w:tl2br w:val="nil"/>
                    <w:tr2bl w:val="nil"/>
                  </w:tcBorders>
                  <w:shd w:val="clear" w:color="auto" w:fill="auto"/>
                  <w:vAlign w:val="center"/>
                </w:tcPr>
                <w:p w14:paraId="0F97D843">
                  <w:pPr>
                    <w:pStyle w:val="17"/>
                    <w:bidi w:val="0"/>
                    <w:rPr>
                      <w:rFonts w:eastAsia="宋体"/>
                      <w:b/>
                      <w:bCs/>
                    </w:rPr>
                  </w:pPr>
                  <w:r>
                    <w:rPr>
                      <w:rFonts w:eastAsia="宋体"/>
                      <w:b/>
                      <w:bCs/>
                    </w:rPr>
                    <w:t>环境影响</w:t>
                  </w:r>
                </w:p>
                <w:p w14:paraId="47CAEF2E">
                  <w:pPr>
                    <w:pStyle w:val="17"/>
                    <w:bidi w:val="0"/>
                    <w:rPr>
                      <w:rFonts w:eastAsia="宋体"/>
                      <w:b/>
                      <w:bCs/>
                    </w:rPr>
                  </w:pPr>
                  <w:r>
                    <w:rPr>
                      <w:rFonts w:eastAsia="宋体"/>
                      <w:b/>
                      <w:bCs/>
                    </w:rPr>
                    <w:t>途径</w:t>
                  </w:r>
                </w:p>
              </w:tc>
              <w:tc>
                <w:tcPr>
                  <w:tcW w:w="1709" w:type="dxa"/>
                  <w:tcBorders>
                    <w:tl2br w:val="nil"/>
                    <w:tr2bl w:val="nil"/>
                  </w:tcBorders>
                  <w:shd w:val="clear" w:color="auto" w:fill="auto"/>
                  <w:vAlign w:val="center"/>
                </w:tcPr>
                <w:p w14:paraId="3B0C7158">
                  <w:pPr>
                    <w:pStyle w:val="17"/>
                    <w:bidi w:val="0"/>
                    <w:rPr>
                      <w:rFonts w:eastAsia="宋体"/>
                      <w:b/>
                      <w:bCs/>
                    </w:rPr>
                  </w:pPr>
                  <w:r>
                    <w:rPr>
                      <w:rFonts w:eastAsia="宋体"/>
                      <w:b/>
                      <w:bCs/>
                    </w:rPr>
                    <w:t>可能受影响的环境敏感目标</w:t>
                  </w:r>
                </w:p>
              </w:tc>
            </w:tr>
            <w:tr w14:paraId="6B601A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8" w:type="dxa"/>
                  <w:tcBorders>
                    <w:tl2br w:val="nil"/>
                    <w:tr2bl w:val="nil"/>
                  </w:tcBorders>
                  <w:shd w:val="clear" w:color="auto" w:fill="auto"/>
                  <w:vAlign w:val="center"/>
                </w:tcPr>
                <w:p w14:paraId="506CF3B1">
                  <w:pPr>
                    <w:pStyle w:val="17"/>
                    <w:bidi w:val="0"/>
                    <w:rPr>
                      <w:rFonts w:eastAsia="宋体"/>
                    </w:rPr>
                  </w:pPr>
                  <w:r>
                    <w:rPr>
                      <w:rFonts w:hint="eastAsia" w:eastAsia="宋体"/>
                    </w:rPr>
                    <w:t>1</w:t>
                  </w:r>
                </w:p>
              </w:tc>
              <w:tc>
                <w:tcPr>
                  <w:tcW w:w="998" w:type="dxa"/>
                  <w:tcBorders>
                    <w:tl2br w:val="nil"/>
                    <w:tr2bl w:val="nil"/>
                  </w:tcBorders>
                  <w:shd w:val="clear" w:color="auto" w:fill="auto"/>
                  <w:vAlign w:val="center"/>
                </w:tcPr>
                <w:p w14:paraId="13D2651D">
                  <w:pPr>
                    <w:pStyle w:val="17"/>
                    <w:bidi w:val="0"/>
                    <w:rPr>
                      <w:rFonts w:eastAsia="宋体"/>
                    </w:rPr>
                  </w:pPr>
                  <w:r>
                    <w:rPr>
                      <w:rFonts w:hint="eastAsia" w:eastAsia="宋体"/>
                    </w:rPr>
                    <w:t>勘探井</w:t>
                  </w:r>
                </w:p>
              </w:tc>
              <w:tc>
                <w:tcPr>
                  <w:tcW w:w="1056" w:type="dxa"/>
                  <w:tcBorders>
                    <w:tl2br w:val="nil"/>
                    <w:tr2bl w:val="nil"/>
                  </w:tcBorders>
                  <w:shd w:val="clear" w:color="auto" w:fill="auto"/>
                  <w:vAlign w:val="center"/>
                </w:tcPr>
                <w:p w14:paraId="74D586AF">
                  <w:pPr>
                    <w:pStyle w:val="17"/>
                    <w:bidi w:val="0"/>
                    <w:rPr>
                      <w:rFonts w:eastAsia="宋体"/>
                    </w:rPr>
                  </w:pPr>
                  <w:r>
                    <w:rPr>
                      <w:rFonts w:hint="eastAsia" w:eastAsia="宋体"/>
                    </w:rPr>
                    <w:t>石油</w:t>
                  </w:r>
                </w:p>
              </w:tc>
              <w:tc>
                <w:tcPr>
                  <w:tcW w:w="1325" w:type="dxa"/>
                  <w:tcBorders>
                    <w:tl2br w:val="nil"/>
                    <w:tr2bl w:val="nil"/>
                  </w:tcBorders>
                  <w:shd w:val="clear" w:color="auto" w:fill="auto"/>
                  <w:vAlign w:val="center"/>
                </w:tcPr>
                <w:p w14:paraId="73122105">
                  <w:pPr>
                    <w:pStyle w:val="17"/>
                    <w:bidi w:val="0"/>
                    <w:rPr>
                      <w:rFonts w:eastAsia="宋体"/>
                    </w:rPr>
                  </w:pPr>
                  <w:r>
                    <w:rPr>
                      <w:rFonts w:hint="eastAsia" w:eastAsia="宋体"/>
                    </w:rPr>
                    <w:t>非甲烷总烃、天然气、</w:t>
                  </w:r>
                  <w:r>
                    <w:rPr>
                      <w:rFonts w:eastAsia="宋体"/>
                    </w:rPr>
                    <w:t>H</w:t>
                  </w:r>
                  <w:r>
                    <w:rPr>
                      <w:rFonts w:eastAsia="宋体"/>
                      <w:vertAlign w:val="subscript"/>
                    </w:rPr>
                    <w:t>2</w:t>
                  </w:r>
                  <w:r>
                    <w:rPr>
                      <w:rFonts w:eastAsia="宋体"/>
                    </w:rPr>
                    <w:t>S</w:t>
                  </w:r>
                  <w:r>
                    <w:rPr>
                      <w:rFonts w:hint="eastAsia" w:eastAsia="宋体"/>
                    </w:rPr>
                    <w:t>、石油</w:t>
                  </w:r>
                </w:p>
              </w:tc>
              <w:tc>
                <w:tcPr>
                  <w:tcW w:w="1100" w:type="dxa"/>
                  <w:tcBorders>
                    <w:tl2br w:val="nil"/>
                    <w:tr2bl w:val="nil"/>
                  </w:tcBorders>
                  <w:shd w:val="clear" w:color="auto" w:fill="auto"/>
                  <w:vAlign w:val="center"/>
                </w:tcPr>
                <w:p w14:paraId="60AE3683">
                  <w:pPr>
                    <w:pStyle w:val="17"/>
                    <w:bidi w:val="0"/>
                    <w:rPr>
                      <w:rFonts w:eastAsia="宋体"/>
                    </w:rPr>
                  </w:pPr>
                  <w:r>
                    <w:rPr>
                      <w:rFonts w:eastAsia="宋体"/>
                    </w:rPr>
                    <w:t>泄漏</w:t>
                  </w:r>
                  <w:r>
                    <w:rPr>
                      <w:rFonts w:hint="eastAsia" w:eastAsia="宋体"/>
                    </w:rPr>
                    <w:t>、爆炸、火灾</w:t>
                  </w:r>
                </w:p>
              </w:tc>
              <w:tc>
                <w:tcPr>
                  <w:tcW w:w="1080" w:type="dxa"/>
                  <w:tcBorders>
                    <w:tl2br w:val="nil"/>
                    <w:tr2bl w:val="nil"/>
                  </w:tcBorders>
                  <w:shd w:val="clear" w:color="auto" w:fill="auto"/>
                  <w:vAlign w:val="center"/>
                </w:tcPr>
                <w:p w14:paraId="124CD330">
                  <w:pPr>
                    <w:pStyle w:val="17"/>
                    <w:bidi w:val="0"/>
                    <w:rPr>
                      <w:rFonts w:eastAsia="宋体"/>
                    </w:rPr>
                  </w:pPr>
                  <w:r>
                    <w:rPr>
                      <w:rFonts w:eastAsia="宋体"/>
                    </w:rPr>
                    <w:t>大气</w:t>
                  </w:r>
                  <w:r>
                    <w:rPr>
                      <w:rFonts w:hint="eastAsia" w:eastAsia="宋体"/>
                    </w:rPr>
                    <w:t>、地表水、土壤</w:t>
                  </w:r>
                </w:p>
              </w:tc>
              <w:tc>
                <w:tcPr>
                  <w:tcW w:w="1709" w:type="dxa"/>
                  <w:tcBorders>
                    <w:tl2br w:val="nil"/>
                    <w:tr2bl w:val="nil"/>
                  </w:tcBorders>
                  <w:shd w:val="clear" w:color="auto" w:fill="auto"/>
                  <w:vAlign w:val="center"/>
                </w:tcPr>
                <w:p w14:paraId="228607E4">
                  <w:pPr>
                    <w:pStyle w:val="17"/>
                    <w:bidi w:val="0"/>
                    <w:rPr>
                      <w:rFonts w:eastAsia="宋体"/>
                    </w:rPr>
                  </w:pPr>
                  <w:r>
                    <w:rPr>
                      <w:rFonts w:eastAsia="宋体"/>
                    </w:rPr>
                    <w:t>周边居民</w:t>
                  </w:r>
                  <w:r>
                    <w:rPr>
                      <w:rFonts w:hint="eastAsia" w:eastAsia="宋体"/>
                      <w:lang w:eastAsia="zh-CN"/>
                    </w:rPr>
                    <w:t>、</w:t>
                  </w:r>
                  <w:r>
                    <w:rPr>
                      <w:rFonts w:hint="eastAsia" w:eastAsia="宋体"/>
                      <w:lang w:val="en-US" w:eastAsia="zh-CN"/>
                    </w:rPr>
                    <w:t>植物、微生物等</w:t>
                  </w:r>
                </w:p>
              </w:tc>
            </w:tr>
            <w:tr w14:paraId="1BB2D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8" w:type="dxa"/>
                  <w:tcBorders>
                    <w:tl2br w:val="nil"/>
                    <w:tr2bl w:val="nil"/>
                  </w:tcBorders>
                  <w:shd w:val="clear" w:color="auto" w:fill="auto"/>
                  <w:vAlign w:val="center"/>
                </w:tcPr>
                <w:p w14:paraId="696AD304">
                  <w:pPr>
                    <w:pStyle w:val="17"/>
                    <w:bidi w:val="0"/>
                    <w:rPr>
                      <w:rFonts w:eastAsia="宋体"/>
                    </w:rPr>
                  </w:pPr>
                  <w:r>
                    <w:rPr>
                      <w:rFonts w:hint="eastAsia" w:eastAsia="宋体"/>
                    </w:rPr>
                    <w:t>2</w:t>
                  </w:r>
                </w:p>
              </w:tc>
              <w:tc>
                <w:tcPr>
                  <w:tcW w:w="998" w:type="dxa"/>
                  <w:tcBorders>
                    <w:tl2br w:val="nil"/>
                    <w:tr2bl w:val="nil"/>
                  </w:tcBorders>
                  <w:shd w:val="clear" w:color="auto" w:fill="auto"/>
                  <w:vAlign w:val="center"/>
                </w:tcPr>
                <w:p w14:paraId="732A35FB">
                  <w:pPr>
                    <w:pStyle w:val="17"/>
                    <w:bidi w:val="0"/>
                    <w:rPr>
                      <w:rFonts w:eastAsia="宋体"/>
                    </w:rPr>
                  </w:pPr>
                  <w:r>
                    <w:rPr>
                      <w:rFonts w:hint="eastAsia" w:eastAsia="宋体"/>
                    </w:rPr>
                    <w:t>勘探井</w:t>
                  </w:r>
                </w:p>
              </w:tc>
              <w:tc>
                <w:tcPr>
                  <w:tcW w:w="1056" w:type="dxa"/>
                  <w:tcBorders>
                    <w:tl2br w:val="nil"/>
                    <w:tr2bl w:val="nil"/>
                  </w:tcBorders>
                  <w:shd w:val="clear" w:color="auto" w:fill="auto"/>
                  <w:vAlign w:val="center"/>
                </w:tcPr>
                <w:p w14:paraId="23157632">
                  <w:pPr>
                    <w:pStyle w:val="17"/>
                    <w:bidi w:val="0"/>
                    <w:rPr>
                      <w:rFonts w:eastAsia="宋体"/>
                    </w:rPr>
                  </w:pPr>
                  <w:r>
                    <w:rPr>
                      <w:rFonts w:hint="eastAsia" w:eastAsia="宋体"/>
                    </w:rPr>
                    <w:t>钻井</w:t>
                  </w:r>
                  <w:r>
                    <w:rPr>
                      <w:rFonts w:eastAsia="宋体"/>
                    </w:rPr>
                    <w:t>泥浆</w:t>
                  </w:r>
                </w:p>
              </w:tc>
              <w:tc>
                <w:tcPr>
                  <w:tcW w:w="1325" w:type="dxa"/>
                  <w:tcBorders>
                    <w:tl2br w:val="nil"/>
                    <w:tr2bl w:val="nil"/>
                  </w:tcBorders>
                  <w:shd w:val="clear" w:color="auto" w:fill="auto"/>
                  <w:vAlign w:val="center"/>
                </w:tcPr>
                <w:p w14:paraId="3D853BD3">
                  <w:pPr>
                    <w:pStyle w:val="17"/>
                    <w:bidi w:val="0"/>
                    <w:rPr>
                      <w:rFonts w:eastAsia="宋体"/>
                    </w:rPr>
                  </w:pPr>
                  <w:r>
                    <w:rPr>
                      <w:rFonts w:hint="eastAsia" w:eastAsia="宋体"/>
                    </w:rPr>
                    <w:t>钻井液</w:t>
                  </w:r>
                </w:p>
              </w:tc>
              <w:tc>
                <w:tcPr>
                  <w:tcW w:w="1100" w:type="dxa"/>
                  <w:tcBorders>
                    <w:tl2br w:val="nil"/>
                    <w:tr2bl w:val="nil"/>
                  </w:tcBorders>
                  <w:shd w:val="clear" w:color="auto" w:fill="auto"/>
                  <w:vAlign w:val="center"/>
                </w:tcPr>
                <w:p w14:paraId="262BB543">
                  <w:pPr>
                    <w:pStyle w:val="17"/>
                    <w:bidi w:val="0"/>
                    <w:rPr>
                      <w:rFonts w:eastAsia="宋体"/>
                    </w:rPr>
                  </w:pPr>
                  <w:r>
                    <w:rPr>
                      <w:rFonts w:hint="eastAsia" w:eastAsia="宋体"/>
                    </w:rPr>
                    <w:t>泄</w:t>
                  </w:r>
                  <w:r>
                    <w:rPr>
                      <w:rFonts w:eastAsia="宋体"/>
                    </w:rPr>
                    <w:t>漏</w:t>
                  </w:r>
                </w:p>
              </w:tc>
              <w:tc>
                <w:tcPr>
                  <w:tcW w:w="1080" w:type="dxa"/>
                  <w:tcBorders>
                    <w:tl2br w:val="nil"/>
                    <w:tr2bl w:val="nil"/>
                  </w:tcBorders>
                  <w:shd w:val="clear" w:color="auto" w:fill="auto"/>
                  <w:vAlign w:val="center"/>
                </w:tcPr>
                <w:p w14:paraId="282C21DA">
                  <w:pPr>
                    <w:pStyle w:val="17"/>
                    <w:bidi w:val="0"/>
                    <w:rPr>
                      <w:rFonts w:eastAsia="宋体"/>
                    </w:rPr>
                  </w:pPr>
                  <w:r>
                    <w:rPr>
                      <w:rFonts w:hint="eastAsia" w:eastAsia="宋体"/>
                    </w:rPr>
                    <w:t>地下水</w:t>
                  </w:r>
                </w:p>
              </w:tc>
              <w:tc>
                <w:tcPr>
                  <w:tcW w:w="1709" w:type="dxa"/>
                  <w:tcBorders>
                    <w:tl2br w:val="nil"/>
                    <w:tr2bl w:val="nil"/>
                  </w:tcBorders>
                  <w:shd w:val="clear" w:color="auto" w:fill="auto"/>
                  <w:vAlign w:val="center"/>
                </w:tcPr>
                <w:p w14:paraId="4E90334F">
                  <w:pPr>
                    <w:pStyle w:val="17"/>
                    <w:bidi w:val="0"/>
                    <w:rPr>
                      <w:rFonts w:hint="eastAsia" w:eastAsia="宋体"/>
                      <w:lang w:eastAsia="zh-CN"/>
                    </w:rPr>
                  </w:pPr>
                  <w:r>
                    <w:rPr>
                      <w:rFonts w:hint="eastAsia" w:eastAsia="宋体"/>
                    </w:rPr>
                    <w:t>深层地下水</w:t>
                  </w:r>
                  <w:r>
                    <w:rPr>
                      <w:rFonts w:hint="eastAsia" w:eastAsia="宋体"/>
                      <w:lang w:eastAsia="zh-CN"/>
                    </w:rPr>
                    <w:t>、</w:t>
                  </w:r>
                  <w:r>
                    <w:rPr>
                      <w:rFonts w:hint="eastAsia" w:eastAsia="宋体"/>
                      <w:lang w:val="en-US" w:eastAsia="zh-CN"/>
                    </w:rPr>
                    <w:t>植物、微生物等</w:t>
                  </w:r>
                </w:p>
              </w:tc>
            </w:tr>
            <w:tr w14:paraId="5DECA6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dxa"/>
                  <w:tcBorders>
                    <w:tl2br w:val="nil"/>
                    <w:tr2bl w:val="nil"/>
                  </w:tcBorders>
                  <w:shd w:val="clear" w:color="auto" w:fill="auto"/>
                  <w:vAlign w:val="center"/>
                </w:tcPr>
                <w:p w14:paraId="27220D35">
                  <w:pPr>
                    <w:pStyle w:val="17"/>
                    <w:bidi w:val="0"/>
                    <w:rPr>
                      <w:rFonts w:eastAsia="宋体"/>
                    </w:rPr>
                  </w:pPr>
                  <w:r>
                    <w:rPr>
                      <w:rFonts w:hint="eastAsia" w:eastAsia="宋体"/>
                    </w:rPr>
                    <w:t>3</w:t>
                  </w:r>
                </w:p>
              </w:tc>
              <w:tc>
                <w:tcPr>
                  <w:tcW w:w="998" w:type="dxa"/>
                  <w:tcBorders>
                    <w:tl2br w:val="nil"/>
                    <w:tr2bl w:val="nil"/>
                  </w:tcBorders>
                  <w:shd w:val="clear" w:color="auto" w:fill="auto"/>
                  <w:vAlign w:val="center"/>
                </w:tcPr>
                <w:p w14:paraId="035C0B18">
                  <w:pPr>
                    <w:pStyle w:val="17"/>
                    <w:bidi w:val="0"/>
                    <w:rPr>
                      <w:rFonts w:eastAsia="宋体"/>
                    </w:rPr>
                  </w:pPr>
                  <w:r>
                    <w:rPr>
                      <w:rFonts w:hint="eastAsia" w:eastAsia="宋体"/>
                    </w:rPr>
                    <w:t>柴油罐区</w:t>
                  </w:r>
                </w:p>
              </w:tc>
              <w:tc>
                <w:tcPr>
                  <w:tcW w:w="1056" w:type="dxa"/>
                  <w:tcBorders>
                    <w:tl2br w:val="nil"/>
                    <w:tr2bl w:val="nil"/>
                  </w:tcBorders>
                  <w:shd w:val="clear" w:color="auto" w:fill="auto"/>
                  <w:vAlign w:val="center"/>
                </w:tcPr>
                <w:p w14:paraId="0EC8E4DB">
                  <w:pPr>
                    <w:pStyle w:val="17"/>
                    <w:bidi w:val="0"/>
                    <w:rPr>
                      <w:rFonts w:eastAsia="宋体"/>
                    </w:rPr>
                  </w:pPr>
                  <w:r>
                    <w:rPr>
                      <w:rFonts w:hint="eastAsia" w:eastAsia="宋体"/>
                    </w:rPr>
                    <w:t>柴油罐</w:t>
                  </w:r>
                </w:p>
              </w:tc>
              <w:tc>
                <w:tcPr>
                  <w:tcW w:w="1325" w:type="dxa"/>
                  <w:tcBorders>
                    <w:tl2br w:val="nil"/>
                    <w:tr2bl w:val="nil"/>
                  </w:tcBorders>
                  <w:shd w:val="clear" w:color="auto" w:fill="auto"/>
                  <w:vAlign w:val="center"/>
                </w:tcPr>
                <w:p w14:paraId="5A41B822">
                  <w:pPr>
                    <w:pStyle w:val="17"/>
                    <w:bidi w:val="0"/>
                    <w:rPr>
                      <w:rFonts w:eastAsia="宋体"/>
                    </w:rPr>
                  </w:pPr>
                  <w:r>
                    <w:rPr>
                      <w:rFonts w:hint="eastAsia" w:eastAsia="宋体"/>
                    </w:rPr>
                    <w:t>柴油</w:t>
                  </w:r>
                </w:p>
              </w:tc>
              <w:tc>
                <w:tcPr>
                  <w:tcW w:w="1100" w:type="dxa"/>
                  <w:tcBorders>
                    <w:tl2br w:val="nil"/>
                    <w:tr2bl w:val="nil"/>
                  </w:tcBorders>
                  <w:shd w:val="clear" w:color="auto" w:fill="auto"/>
                  <w:vAlign w:val="center"/>
                </w:tcPr>
                <w:p w14:paraId="2B0C945B">
                  <w:pPr>
                    <w:pStyle w:val="17"/>
                    <w:bidi w:val="0"/>
                    <w:rPr>
                      <w:rFonts w:eastAsia="宋体"/>
                    </w:rPr>
                  </w:pPr>
                  <w:r>
                    <w:rPr>
                      <w:rFonts w:hint="eastAsia" w:eastAsia="宋体"/>
                    </w:rPr>
                    <w:t>泄</w:t>
                  </w:r>
                  <w:r>
                    <w:rPr>
                      <w:rFonts w:eastAsia="宋体"/>
                    </w:rPr>
                    <w:t>漏</w:t>
                  </w:r>
                  <w:r>
                    <w:rPr>
                      <w:rFonts w:hint="eastAsia" w:eastAsia="宋体"/>
                    </w:rPr>
                    <w:t>、爆炸、火灾</w:t>
                  </w:r>
                </w:p>
              </w:tc>
              <w:tc>
                <w:tcPr>
                  <w:tcW w:w="1080" w:type="dxa"/>
                  <w:tcBorders>
                    <w:tl2br w:val="nil"/>
                    <w:tr2bl w:val="nil"/>
                  </w:tcBorders>
                  <w:shd w:val="clear" w:color="auto" w:fill="auto"/>
                  <w:vAlign w:val="center"/>
                </w:tcPr>
                <w:p w14:paraId="0F1E63CA">
                  <w:pPr>
                    <w:pStyle w:val="17"/>
                    <w:bidi w:val="0"/>
                    <w:rPr>
                      <w:rFonts w:eastAsia="宋体"/>
                    </w:rPr>
                  </w:pPr>
                  <w:r>
                    <w:rPr>
                      <w:rFonts w:eastAsia="宋体"/>
                    </w:rPr>
                    <w:t>大气</w:t>
                  </w:r>
                  <w:r>
                    <w:rPr>
                      <w:rFonts w:hint="eastAsia" w:eastAsia="宋体"/>
                    </w:rPr>
                    <w:t>、地表水、土壤</w:t>
                  </w:r>
                </w:p>
              </w:tc>
              <w:tc>
                <w:tcPr>
                  <w:tcW w:w="1709" w:type="dxa"/>
                  <w:tcBorders>
                    <w:tl2br w:val="nil"/>
                    <w:tr2bl w:val="nil"/>
                  </w:tcBorders>
                  <w:shd w:val="clear" w:color="auto" w:fill="auto"/>
                  <w:vAlign w:val="center"/>
                </w:tcPr>
                <w:p w14:paraId="2A4C83D1">
                  <w:pPr>
                    <w:pStyle w:val="17"/>
                    <w:bidi w:val="0"/>
                    <w:rPr>
                      <w:rFonts w:eastAsia="宋体"/>
                    </w:rPr>
                  </w:pPr>
                  <w:r>
                    <w:rPr>
                      <w:rFonts w:eastAsia="宋体"/>
                    </w:rPr>
                    <w:t>周边居民</w:t>
                  </w:r>
                  <w:r>
                    <w:rPr>
                      <w:rFonts w:hint="eastAsia" w:eastAsia="宋体"/>
                      <w:lang w:eastAsia="zh-CN"/>
                    </w:rPr>
                    <w:t>、</w:t>
                  </w:r>
                  <w:r>
                    <w:rPr>
                      <w:rFonts w:hint="eastAsia" w:eastAsia="宋体"/>
                      <w:lang w:val="en-US" w:eastAsia="zh-CN"/>
                    </w:rPr>
                    <w:t>植物、微生物等</w:t>
                  </w:r>
                </w:p>
              </w:tc>
            </w:tr>
          </w:tbl>
          <w:p w14:paraId="25F46850">
            <w:pPr>
              <w:pStyle w:val="3"/>
              <w:ind w:firstLine="480"/>
              <w:rPr>
                <w:rFonts w:eastAsia="宋体"/>
              </w:rPr>
            </w:pPr>
            <w:r>
              <w:rPr>
                <w:rFonts w:hint="eastAsia" w:eastAsia="宋体"/>
              </w:rPr>
              <w:t>（4）环境风险分析</w:t>
            </w:r>
          </w:p>
          <w:p w14:paraId="7C106817">
            <w:pPr>
              <w:pStyle w:val="3"/>
              <w:rPr>
                <w:rFonts w:hint="eastAsia" w:eastAsia="宋体"/>
                <w:lang w:val="en-US" w:eastAsia="zh-CN"/>
              </w:rPr>
            </w:pPr>
            <w:r>
              <w:rPr>
                <w:rFonts w:eastAsia="宋体"/>
              </w:rPr>
              <w:t>本</w:t>
            </w:r>
            <w:r>
              <w:rPr>
                <w:rFonts w:hint="eastAsia" w:eastAsia="宋体"/>
              </w:rPr>
              <w:t>项目</w:t>
            </w:r>
            <w:r>
              <w:rPr>
                <w:rFonts w:eastAsia="宋体"/>
              </w:rPr>
              <w:t>环境风险影响包括原油井喷</w:t>
            </w:r>
            <w:r>
              <w:rPr>
                <w:rFonts w:hint="eastAsia" w:eastAsia="宋体"/>
              </w:rPr>
              <w:t>、</w:t>
            </w:r>
            <w:r>
              <w:rPr>
                <w:rFonts w:eastAsia="宋体"/>
              </w:rPr>
              <w:t>钻井液泄漏</w:t>
            </w:r>
            <w:r>
              <w:rPr>
                <w:rFonts w:hint="eastAsia" w:eastAsia="宋体"/>
                <w:lang w:val="en-US" w:eastAsia="zh-CN"/>
              </w:rPr>
              <w:t>和</w:t>
            </w:r>
            <w:r>
              <w:rPr>
                <w:rFonts w:eastAsia="宋体"/>
              </w:rPr>
              <w:t>柴油</w:t>
            </w:r>
            <w:r>
              <w:rPr>
                <w:rFonts w:hint="eastAsia" w:eastAsia="宋体"/>
              </w:rPr>
              <w:t>储罐</w:t>
            </w:r>
            <w:r>
              <w:rPr>
                <w:rFonts w:eastAsia="宋体"/>
              </w:rPr>
              <w:t>泄</w:t>
            </w:r>
            <w:r>
              <w:rPr>
                <w:rFonts w:hint="eastAsia" w:eastAsia="宋体"/>
                <w:lang w:val="en-US" w:eastAsia="zh-CN"/>
              </w:rPr>
              <w:t>漏</w:t>
            </w:r>
            <w:r>
              <w:rPr>
                <w:rFonts w:eastAsia="宋体"/>
              </w:rPr>
              <w:t>对环境产生的影响</w:t>
            </w:r>
            <w:r>
              <w:rPr>
                <w:rFonts w:hint="eastAsia" w:eastAsia="宋体"/>
              </w:rPr>
              <w:t>。</w:t>
            </w:r>
          </w:p>
          <w:p w14:paraId="23E6BFFB">
            <w:pPr>
              <w:pStyle w:val="3"/>
              <w:ind w:firstLine="480"/>
              <w:rPr>
                <w:rFonts w:eastAsia="宋体"/>
              </w:rPr>
            </w:pPr>
            <w:r>
              <w:rPr>
                <w:rFonts w:hint="eastAsia" w:eastAsia="宋体"/>
              </w:rPr>
              <w:t>A井喷</w:t>
            </w:r>
          </w:p>
          <w:p w14:paraId="5EC90D20">
            <w:pPr>
              <w:pStyle w:val="3"/>
              <w:ind w:firstLine="480"/>
              <w:rPr>
                <w:rFonts w:eastAsia="宋体"/>
              </w:rPr>
            </w:pPr>
            <w:r>
              <w:rPr>
                <w:rFonts w:hint="eastAsia" w:eastAsia="宋体"/>
              </w:rPr>
              <w:t>1）对大气环境的影响</w:t>
            </w:r>
          </w:p>
          <w:p w14:paraId="70706BC5">
            <w:pPr>
              <w:pStyle w:val="3"/>
              <w:ind w:firstLine="480"/>
              <w:rPr>
                <w:rFonts w:eastAsia="宋体"/>
                <w:color w:val="auto"/>
              </w:rPr>
            </w:pPr>
            <w:r>
              <w:rPr>
                <w:rFonts w:eastAsia="宋体"/>
                <w:color w:val="auto"/>
              </w:rPr>
              <w:t>发生井喷后，若不能及时采取措施制止，即发生井喷失控，致使大量原油及少量伴生气（含</w:t>
            </w:r>
            <w:r>
              <w:rPr>
                <w:rFonts w:hint="eastAsia" w:eastAsia="宋体"/>
                <w:color w:val="auto"/>
                <w:lang w:val="en-US" w:eastAsia="zh-CN"/>
              </w:rPr>
              <w:t>天然气</w:t>
            </w:r>
            <w:r>
              <w:rPr>
                <w:rFonts w:eastAsia="宋体"/>
                <w:color w:val="auto"/>
              </w:rPr>
              <w:t>）从井口敞喷进入环境当中，伴生气在喷射过程中若遇明火则会引发火灾和爆炸等危害极大的事故。伴生气（含</w:t>
            </w:r>
            <w:r>
              <w:rPr>
                <w:rFonts w:hint="eastAsia" w:eastAsia="宋体"/>
                <w:color w:val="auto"/>
                <w:lang w:val="en-US" w:eastAsia="zh-CN"/>
              </w:rPr>
              <w:t>天然气</w:t>
            </w:r>
            <w:r>
              <w:rPr>
                <w:rFonts w:eastAsia="宋体"/>
                <w:color w:val="auto"/>
              </w:rPr>
              <w:t>）泄漏后，</w:t>
            </w:r>
            <w:r>
              <w:rPr>
                <w:rFonts w:hint="eastAsia" w:eastAsia="宋体"/>
                <w:color w:val="auto"/>
                <w:lang w:val="en-US" w:eastAsia="zh-CN"/>
              </w:rPr>
              <w:t>天然气</w:t>
            </w:r>
            <w:r>
              <w:rPr>
                <w:rFonts w:eastAsia="宋体"/>
                <w:color w:val="auto"/>
              </w:rPr>
              <w:t>会导致人员中毒并污染周围环境空气；事故性释放的伴生气可能立即着火，对周围产生热辐射危害；也可能在扩散过程中着火或爆炸，对周围造成冲击波危害；或者经扩散稀释低于爆炸极限下限，未着火，仅污染周围环境空气。江苏油田油藏</w:t>
            </w:r>
            <w:r>
              <w:rPr>
                <w:rFonts w:hint="eastAsia" w:eastAsia="宋体"/>
                <w:color w:val="auto"/>
                <w:lang w:val="en-US" w:eastAsia="zh-CN"/>
              </w:rPr>
              <w:t>天然气</w:t>
            </w:r>
            <w:r>
              <w:rPr>
                <w:rFonts w:eastAsia="宋体"/>
                <w:color w:val="auto"/>
              </w:rPr>
              <w:t>含量较低，未发生过油井喷造成</w:t>
            </w:r>
            <w:r>
              <w:rPr>
                <w:rFonts w:hint="eastAsia" w:eastAsia="宋体"/>
                <w:color w:val="auto"/>
                <w:lang w:val="en-US" w:eastAsia="zh-CN"/>
              </w:rPr>
              <w:t>天然气</w:t>
            </w:r>
            <w:r>
              <w:rPr>
                <w:rFonts w:eastAsia="宋体"/>
                <w:color w:val="auto"/>
              </w:rPr>
              <w:t>气体泄漏的事故。</w:t>
            </w:r>
          </w:p>
          <w:p w14:paraId="61E32616">
            <w:pPr>
              <w:pStyle w:val="3"/>
              <w:ind w:firstLine="480"/>
              <w:rPr>
                <w:rFonts w:eastAsia="宋体"/>
              </w:rPr>
            </w:pPr>
            <w:r>
              <w:rPr>
                <w:rFonts w:eastAsia="宋体"/>
              </w:rPr>
              <w:t>射孔压裂作业后，测试阶段井口如排放油气则需使用专用管线将井内油气引至放喷池点火燃烧，放喷时间约4-6小时。放喷口严格执行《石油天然气钻井、开发、储运、防火防爆安全生产技术规程》</w:t>
            </w:r>
            <w:r>
              <w:rPr>
                <w:rFonts w:hint="eastAsia" w:eastAsia="宋体"/>
                <w:lang w:eastAsia="zh-CN"/>
              </w:rPr>
              <w:t>（</w:t>
            </w:r>
            <w:r>
              <w:rPr>
                <w:rFonts w:eastAsia="宋体"/>
              </w:rPr>
              <w:t>SY5225-2012</w:t>
            </w:r>
            <w:r>
              <w:rPr>
                <w:rFonts w:hint="eastAsia" w:eastAsia="宋体"/>
                <w:lang w:eastAsia="zh-CN"/>
              </w:rPr>
              <w:t>）</w:t>
            </w:r>
            <w:r>
              <w:rPr>
                <w:rFonts w:eastAsia="宋体"/>
              </w:rPr>
              <w:t>关于放喷口选址要求，项目放喷口必须远离民房50m以上，距离井口100m以上，位于主导风向的下风向或侧风向处，周边植被稀少，放喷池口外50m范围内无高大林木，地势空旷便于废气扩散。</w:t>
            </w:r>
          </w:p>
          <w:p w14:paraId="78375399">
            <w:pPr>
              <w:pStyle w:val="3"/>
              <w:ind w:firstLine="480"/>
              <w:rPr>
                <w:rFonts w:eastAsia="宋体"/>
              </w:rPr>
            </w:pPr>
            <w:r>
              <w:rPr>
                <w:rFonts w:eastAsia="宋体"/>
              </w:rPr>
              <w:t>在放喷前，建设单位会对距离井口300m范围内的居民临时撒离，并建立警戒点进行24小时警戒，严禁居民靠近，以减轻放喷废气对这些居民的影响。由于甲烷燃烧产生的二氧化碳和水对周边环境没有影响，故在严格执行《石油天然气钻井、开发储运、防火防爆安全生产技术规程》</w:t>
            </w:r>
            <w:r>
              <w:rPr>
                <w:rFonts w:hint="eastAsia" w:eastAsia="宋体"/>
                <w:lang w:eastAsia="zh-CN"/>
              </w:rPr>
              <w:t>（</w:t>
            </w:r>
            <w:r>
              <w:rPr>
                <w:rFonts w:eastAsia="宋体"/>
              </w:rPr>
              <w:t>SY5225-2012</w:t>
            </w:r>
            <w:r>
              <w:rPr>
                <w:rFonts w:hint="eastAsia" w:eastAsia="宋体"/>
                <w:lang w:eastAsia="zh-CN"/>
              </w:rPr>
              <w:t>）</w:t>
            </w:r>
            <w:r>
              <w:rPr>
                <w:rFonts w:hint="eastAsia" w:eastAsia="宋体"/>
              </w:rPr>
              <w:t>关于</w:t>
            </w:r>
            <w:r>
              <w:rPr>
                <w:rFonts w:eastAsia="宋体"/>
              </w:rPr>
              <w:t>放喷池选址要求及放喷撤离要求的前提下，项目测试放喷废气对周边环境产生的影响可接受，采取的措施能满足环保要求。</w:t>
            </w:r>
          </w:p>
          <w:p w14:paraId="465915B0">
            <w:pPr>
              <w:pStyle w:val="3"/>
              <w:ind w:firstLine="480"/>
              <w:rPr>
                <w:rFonts w:eastAsia="宋体"/>
              </w:rPr>
            </w:pPr>
            <w:r>
              <w:rPr>
                <w:rFonts w:eastAsia="宋体"/>
              </w:rPr>
              <w:t>本项目测试放喷在昼间进行，且时间较短，燃烧后主要污染物为NOx、CO</w:t>
            </w:r>
            <w:r>
              <w:rPr>
                <w:rFonts w:eastAsia="宋体"/>
                <w:vertAlign w:val="subscript"/>
              </w:rPr>
              <w:t>2</w:t>
            </w:r>
            <w:r>
              <w:rPr>
                <w:rFonts w:eastAsia="宋体"/>
              </w:rPr>
              <w:t>、H</w:t>
            </w:r>
            <w:r>
              <w:rPr>
                <w:rFonts w:eastAsia="宋体"/>
                <w:vertAlign w:val="subscript"/>
              </w:rPr>
              <w:t>2</w:t>
            </w:r>
            <w:r>
              <w:rPr>
                <w:rFonts w:eastAsia="宋体"/>
              </w:rPr>
              <w:t>O，所产生的污染物产生量较小，并将随测试放喷的结束而消除。在严格执行《石油天然气钻井、开发、储运、防火防爆安全生产技术规程》</w:t>
            </w:r>
            <w:r>
              <w:rPr>
                <w:rFonts w:hint="eastAsia" w:eastAsia="宋体"/>
                <w:lang w:eastAsia="zh-CN"/>
              </w:rPr>
              <w:t>（</w:t>
            </w:r>
            <w:r>
              <w:rPr>
                <w:rFonts w:eastAsia="宋体"/>
              </w:rPr>
              <w:t>SY5225-2012</w:t>
            </w:r>
            <w:r>
              <w:rPr>
                <w:rFonts w:hint="eastAsia" w:eastAsia="宋体"/>
                <w:lang w:eastAsia="zh-CN"/>
              </w:rPr>
              <w:t>）</w:t>
            </w:r>
            <w:r>
              <w:rPr>
                <w:rFonts w:eastAsia="宋体"/>
              </w:rPr>
              <w:t>关于放喷池选址要求及放喷撤离要求的前提下，项目的实施不会造成该区域的环境空气质量发生改变，不会对周边大气环境造成明显不利影响。</w:t>
            </w:r>
          </w:p>
          <w:p w14:paraId="23497D1F">
            <w:pPr>
              <w:pStyle w:val="3"/>
              <w:ind w:firstLine="480"/>
              <w:rPr>
                <w:rFonts w:eastAsia="宋体"/>
              </w:rPr>
            </w:pPr>
            <w:r>
              <w:rPr>
                <w:rFonts w:eastAsia="宋体"/>
              </w:rPr>
              <w:t>发生原油井喷泄漏时，其中的轻组分轻烃将逐渐挥发进入大气，会对大气环境造成影响。其影响程度一般取决于油品泄漏量、覆盖面积、气温及持续时间等，油品泄漏量越多、覆盖面积越大、气温越高、持续时间越长，则因此而造成的烃类气体污染也越严重，局部大气中烃浓度高出正常情况的数倍或更多，但不会导致大气环境的明显恶化。反之，则污染不显著。</w:t>
            </w:r>
          </w:p>
          <w:p w14:paraId="1CC069BE">
            <w:pPr>
              <w:pStyle w:val="3"/>
              <w:ind w:firstLine="480"/>
              <w:rPr>
                <w:rFonts w:eastAsia="宋体"/>
              </w:rPr>
            </w:pPr>
            <w:r>
              <w:rPr>
                <w:rFonts w:eastAsia="宋体"/>
              </w:rPr>
              <w:t>在原油泄漏并发生火灾时，会因其中重组分原油燃烧不完全引起浓烟，使局部环境空气中TSP和烃浓度猛增，造成污染，使局部地区大气污染物超标，但不会导致整个区域大气环境的明显恶化。</w:t>
            </w:r>
          </w:p>
          <w:p w14:paraId="1845361B">
            <w:pPr>
              <w:pStyle w:val="3"/>
              <w:ind w:firstLine="480"/>
              <w:rPr>
                <w:rFonts w:eastAsia="宋体"/>
              </w:rPr>
            </w:pPr>
            <w:r>
              <w:rPr>
                <w:rFonts w:eastAsia="宋体"/>
              </w:rPr>
              <w:t>2）对生态环境的影响</w:t>
            </w:r>
          </w:p>
          <w:p w14:paraId="6AFD43A5">
            <w:pPr>
              <w:pStyle w:val="3"/>
              <w:ind w:firstLine="480"/>
              <w:rPr>
                <w:rFonts w:eastAsia="宋体"/>
              </w:rPr>
            </w:pPr>
            <w:r>
              <w:rPr>
                <w:rFonts w:eastAsia="宋体"/>
              </w:rPr>
              <w:t>原油泄漏时，原油类污染物进入土壤后，由于原油的疏水性，土壤中绝大部分原油类物质吸附在固体表面。在土壤环境条件下，原油的吸附是干态或亚干态的吸附，除了吸附态以外，原油类物质在土壤中还有两种存在形式：一是存在于水相中，二是逸散于气态环境中。这样的吸附状态原油污染使生长于地表面的植物受到破坏和死亡，短期内不能恢复，导致土壤抗蚀能力下降，土地风沙化严重，还有就是泄漏原油流入土壤孔隙，可降低土壤的通透性，抑制土壤中酶活性，使土壤生物减少。</w:t>
            </w:r>
          </w:p>
          <w:p w14:paraId="138A3A98">
            <w:pPr>
              <w:pStyle w:val="3"/>
              <w:ind w:firstLine="480"/>
              <w:rPr>
                <w:rFonts w:eastAsia="宋体"/>
              </w:rPr>
            </w:pPr>
            <w:r>
              <w:rPr>
                <w:rFonts w:eastAsia="宋体"/>
              </w:rPr>
              <w:t>原油洒落地区形成土壤的局部污染，一般而言，原油集中于土壤表层0-20cm范围内，这便使得根系分布于此深度的植物不能生长。油类对土壤的污染，可造成土地肥力下降，改变土壤理化性质、破坏土壤元素平衡、破坏土壤团粒结构，降低生物利用率，降低土壤质量，造成营养供应的缺乏；另外分解油污的微生物与植物争夺土壤营养元素，而且微生物分解原油烃时能产生过量交换态锰、铁，对植物造成毒害。溶解态的原油类物质随水流可以相对自由地向土层深处迁移或发生平面扩散运动；逸散在大气中的部分原油类物质可由空气携带漂移，漂移过程中易于吸附在大气的粉尘上，随着粉尘的降落而进入远离污染源的地表土壤，使污染物发生了长距离的迁移。</w:t>
            </w:r>
          </w:p>
          <w:p w14:paraId="7FDF5DE3">
            <w:pPr>
              <w:pStyle w:val="3"/>
              <w:ind w:firstLine="480"/>
              <w:rPr>
                <w:rFonts w:eastAsia="宋体"/>
              </w:rPr>
            </w:pPr>
            <w:r>
              <w:rPr>
                <w:rFonts w:eastAsia="宋体"/>
              </w:rPr>
              <w:t>3）对地表水的影响</w:t>
            </w:r>
          </w:p>
          <w:p w14:paraId="7BD97EBC">
            <w:pPr>
              <w:pStyle w:val="3"/>
              <w:ind w:firstLine="480"/>
              <w:rPr>
                <w:rFonts w:eastAsia="宋体"/>
              </w:rPr>
            </w:pPr>
            <w:r>
              <w:rPr>
                <w:rFonts w:eastAsia="宋体"/>
              </w:rPr>
              <w:t>原油或含油污水泄漏对地表水的影响一般有两种途径，一种是泄漏后直接进入水体（洪水期）；另一种是原油或含油污水泄漏于地表，由降雨</w:t>
            </w:r>
          </w:p>
          <w:p w14:paraId="5DDEE12A">
            <w:pPr>
              <w:pStyle w:val="3"/>
              <w:ind w:left="0" w:leftChars="0" w:firstLine="0" w:firstLineChars="0"/>
              <w:rPr>
                <w:rFonts w:eastAsia="宋体"/>
              </w:rPr>
            </w:pPr>
            <w:r>
              <w:rPr>
                <w:rFonts w:eastAsia="宋体"/>
              </w:rPr>
              <w:t>形成的地表径流将地面原油或受污染的土壤一起带入水体造成污染。据有关资料，原油或含油污水进入地表水体后，将产生如下危害：</w:t>
            </w:r>
          </w:p>
          <w:p w14:paraId="7E6E7FC0">
            <w:pPr>
              <w:pStyle w:val="3"/>
              <w:ind w:firstLine="480"/>
              <w:rPr>
                <w:rFonts w:eastAsia="宋体"/>
              </w:rPr>
            </w:pPr>
            <w:r>
              <w:rPr>
                <w:rFonts w:hint="eastAsia" w:eastAsia="宋体"/>
              </w:rPr>
              <w:t>a</w:t>
            </w:r>
            <w:r>
              <w:rPr>
                <w:rFonts w:eastAsia="宋体"/>
              </w:rPr>
              <w:t>薄层油在地表水体中可大大降低水体及动植物对氧的摄取。</w:t>
            </w:r>
          </w:p>
          <w:p w14:paraId="5910A4AE">
            <w:pPr>
              <w:pStyle w:val="3"/>
              <w:ind w:firstLine="480"/>
              <w:rPr>
                <w:rFonts w:eastAsia="宋体"/>
              </w:rPr>
            </w:pPr>
            <w:r>
              <w:rPr>
                <w:rFonts w:hint="eastAsia" w:eastAsia="宋体"/>
              </w:rPr>
              <w:t>b</w:t>
            </w:r>
            <w:r>
              <w:rPr>
                <w:rFonts w:eastAsia="宋体"/>
              </w:rPr>
              <w:t>以石油类为主要污染物的污染源进入水中后，可造成水中生物的大量死亡。</w:t>
            </w:r>
          </w:p>
          <w:p w14:paraId="05F43746">
            <w:pPr>
              <w:pStyle w:val="3"/>
              <w:ind w:firstLine="480"/>
              <w:rPr>
                <w:rFonts w:eastAsia="宋体"/>
              </w:rPr>
            </w:pPr>
            <w:r>
              <w:rPr>
                <w:rFonts w:hint="eastAsia" w:eastAsia="宋体"/>
              </w:rPr>
              <w:t>c</w:t>
            </w:r>
            <w:r>
              <w:rPr>
                <w:rFonts w:eastAsia="宋体"/>
              </w:rPr>
              <w:t>在缺氧条件下，河流生物死亡率大大增加。</w:t>
            </w:r>
          </w:p>
          <w:p w14:paraId="3A12441E">
            <w:pPr>
              <w:pStyle w:val="3"/>
              <w:ind w:firstLine="480"/>
              <w:rPr>
                <w:rFonts w:eastAsia="宋体"/>
              </w:rPr>
            </w:pPr>
            <w:r>
              <w:rPr>
                <w:rFonts w:hint="eastAsia" w:eastAsia="宋体"/>
              </w:rPr>
              <w:t>d</w:t>
            </w:r>
            <w:r>
              <w:rPr>
                <w:rFonts w:eastAsia="宋体"/>
              </w:rPr>
              <w:t>原油或含油污水污染地表水，致使水中多环芳烃浓度超过0.03～0.1µt/L时，则对人、水体中的动物有致癌作用。</w:t>
            </w:r>
          </w:p>
          <w:p w14:paraId="588D46A8">
            <w:pPr>
              <w:pStyle w:val="3"/>
              <w:ind w:firstLine="480"/>
              <w:rPr>
                <w:rFonts w:eastAsia="宋体"/>
              </w:rPr>
            </w:pPr>
            <w:r>
              <w:rPr>
                <w:rFonts w:eastAsia="宋体"/>
              </w:rPr>
              <w:t>因此，石油勘探过程中，应加强管理，杜绝风险事故的发生，消除可能对周边河沟、水库产生影响的条件，确保地表水质安全。江苏油田开发以来未发生过此类事故。</w:t>
            </w:r>
          </w:p>
          <w:p w14:paraId="628DD07E">
            <w:pPr>
              <w:pStyle w:val="3"/>
              <w:ind w:firstLine="480"/>
              <w:rPr>
                <w:rFonts w:eastAsia="宋体"/>
              </w:rPr>
            </w:pPr>
            <w:r>
              <w:rPr>
                <w:rFonts w:eastAsia="宋体"/>
              </w:rPr>
              <w:t>4）对地下水的影响</w:t>
            </w:r>
          </w:p>
          <w:p w14:paraId="59BDB8F1">
            <w:pPr>
              <w:pStyle w:val="3"/>
              <w:ind w:firstLine="480"/>
              <w:rPr>
                <w:rFonts w:eastAsia="宋体"/>
              </w:rPr>
            </w:pPr>
            <w:r>
              <w:rPr>
                <w:rFonts w:eastAsia="宋体"/>
              </w:rPr>
              <w:t>井喷后，污染物以点源形式渗漏污染地下水，污染迁移途径为地表以下的包气带和含水层，然后随地下水流动而污染地下水，一般情况下原油泄漏不会直接影响深层地下水，而是通过土壤渗透影响浅层地下水，但对深层地下水具有潜在性的影响。</w:t>
            </w:r>
          </w:p>
          <w:p w14:paraId="06077029">
            <w:pPr>
              <w:pStyle w:val="3"/>
              <w:ind w:firstLine="480"/>
              <w:rPr>
                <w:rFonts w:eastAsia="宋体"/>
              </w:rPr>
            </w:pPr>
            <w:r>
              <w:rPr>
                <w:rFonts w:eastAsia="宋体"/>
              </w:rPr>
              <w:t>5）泄漏对土壤的影响</w:t>
            </w:r>
          </w:p>
          <w:p w14:paraId="529CC6B3">
            <w:pPr>
              <w:pStyle w:val="3"/>
              <w:ind w:firstLine="480"/>
              <w:rPr>
                <w:rFonts w:eastAsia="宋体"/>
              </w:rPr>
            </w:pPr>
            <w:r>
              <w:rPr>
                <w:rFonts w:eastAsia="宋体"/>
              </w:rPr>
              <w:t>泄漏原油在土壤内部由于重力作用沿垂直方向向地下渗透，排除地质灾害等因素外，原油一般情况下不会冒出地表形成地面扩散。由于原油黏度和凝固点较高，且流动性较差，加上土地对原油具有很强的截流能力，因此泄漏原油很难向土壤深层迁移。此时影响原油污染范围的因素有原油的泄漏量、存留时间及环境温度等。泄漏的油在进入土壤环境中后会发生分散、挥发和淋滤等迁移转化过程。</w:t>
            </w:r>
          </w:p>
          <w:p w14:paraId="37378E22">
            <w:pPr>
              <w:pStyle w:val="3"/>
              <w:ind w:firstLine="480"/>
              <w:rPr>
                <w:rFonts w:eastAsia="宋体"/>
              </w:rPr>
            </w:pPr>
            <w:r>
              <w:rPr>
                <w:rFonts w:hint="eastAsia" w:eastAsia="宋体"/>
              </w:rPr>
              <w:t>a</w:t>
            </w:r>
            <w:r>
              <w:rPr>
                <w:rFonts w:eastAsia="宋体"/>
              </w:rPr>
              <w:t>分散</w:t>
            </w:r>
          </w:p>
          <w:p w14:paraId="3D716A8D">
            <w:pPr>
              <w:pStyle w:val="3"/>
              <w:ind w:firstLine="480"/>
              <w:rPr>
                <w:rFonts w:eastAsia="宋体"/>
              </w:rPr>
            </w:pPr>
            <w:r>
              <w:rPr>
                <w:rFonts w:eastAsia="宋体"/>
              </w:rPr>
              <w:t>在事故性泄漏情况下，被污染土壤的面积取决于很多因素。如泄漏量、事故发生时的环境温度、油品粘度、地面形状、土壤孔隙度等是主要因素；而地表粗糙度、植被和天气情况也可成为影响泄漏油分布的重要因素。</w:t>
            </w:r>
          </w:p>
          <w:p w14:paraId="0198478A">
            <w:pPr>
              <w:pStyle w:val="3"/>
              <w:ind w:firstLine="480"/>
              <w:rPr>
                <w:rFonts w:eastAsia="宋体"/>
              </w:rPr>
            </w:pPr>
            <w:r>
              <w:rPr>
                <w:rFonts w:hint="eastAsia" w:eastAsia="宋体"/>
              </w:rPr>
              <w:t>b</w:t>
            </w:r>
            <w:r>
              <w:rPr>
                <w:rFonts w:eastAsia="宋体"/>
              </w:rPr>
              <w:t>挥发</w:t>
            </w:r>
          </w:p>
          <w:p w14:paraId="750C8304">
            <w:pPr>
              <w:pStyle w:val="3"/>
              <w:ind w:firstLine="480"/>
              <w:rPr>
                <w:rFonts w:eastAsia="宋体"/>
              </w:rPr>
            </w:pPr>
            <w:r>
              <w:rPr>
                <w:rFonts w:eastAsia="宋体"/>
              </w:rPr>
              <w:t>渗透到地表下疏松土壤中的挥发性烃类其蒸发损失是有限而缓慢的。</w:t>
            </w:r>
          </w:p>
          <w:p w14:paraId="1F239C89">
            <w:pPr>
              <w:pStyle w:val="3"/>
              <w:ind w:firstLine="480"/>
              <w:rPr>
                <w:rFonts w:eastAsia="宋体"/>
              </w:rPr>
            </w:pPr>
            <w:r>
              <w:rPr>
                <w:rFonts w:hint="eastAsia" w:eastAsia="宋体"/>
              </w:rPr>
              <w:t>c</w:t>
            </w:r>
            <w:r>
              <w:rPr>
                <w:rFonts w:eastAsia="宋体"/>
              </w:rPr>
              <w:t>淋滤</w:t>
            </w:r>
          </w:p>
          <w:p w14:paraId="35AE0A8C">
            <w:pPr>
              <w:pStyle w:val="3"/>
              <w:ind w:firstLine="480"/>
              <w:rPr>
                <w:rFonts w:eastAsia="宋体"/>
              </w:rPr>
            </w:pPr>
            <w:r>
              <w:rPr>
                <w:rFonts w:eastAsia="宋体"/>
              </w:rPr>
              <w:t>油在无污染的土壤中运动，一般以多相流的形式出现，此时油和水是不混合的。随着烃类被风化作用和生物降解作用乳化与增溶，该系统以接近于单一的水相流动。土壤对油的吸收能力是变化的，但明显低于其蓄水能力。据报道，排水良好的农业土壤吸收的油至多只相当于其含水能力的1/3。油被吸附到土壤有机质上面，对油的暂时固定起着重要的作用。</w:t>
            </w:r>
          </w:p>
          <w:p w14:paraId="73F729EA">
            <w:pPr>
              <w:pStyle w:val="3"/>
              <w:ind w:firstLine="480"/>
              <w:rPr>
                <w:rFonts w:eastAsia="宋体"/>
              </w:rPr>
            </w:pPr>
            <w:r>
              <w:rPr>
                <w:rFonts w:eastAsia="宋体"/>
              </w:rPr>
              <w:t>类比调查结果表明：事故发生后，非渗透性的基岩及粘重土壤上污染（扩展）面积较大，而疏松土质上影响扩展范围较小，粘重土壤多为耕作土，原油覆于地表会使土壤透气性下降，降低土壤肥力。在泄漏事故发生的最初，原油在土壤中下渗至一定深度，随泄漏历时的延长，下渗深度增加不大（落地原油一般在土壤内部50cm以上深度内积聚）。泄漏原油对土壤理化性质的影响可以用pH值、总含盐量、总碱度等三项指标来说明。据己有的试验和监测资料表明，受到原油污染的农田和正常农田土壤中的pH值、总盐量、总碱度无明显的差别，即原油污染对土壤的理化性质的影响不会太大。但由于石油是</w:t>
            </w:r>
            <w:r>
              <w:rPr>
                <w:rFonts w:hint="eastAsia" w:eastAsia="宋体"/>
                <w:lang w:val="en-US" w:eastAsia="zh-CN"/>
              </w:rPr>
              <w:t>黏</w:t>
            </w:r>
            <w:r>
              <w:rPr>
                <w:rFonts w:eastAsia="宋体"/>
              </w:rPr>
              <w:t>稠大分子物质，覆盖表土或渗入土壤后，将堵塞土壤孔隙，使土壤板结，透气性变差，从而造成土壤长期处于缺氧还原状态，土壤养分释放慢，不能满足农作物生长发育的需要而致其死亡。</w:t>
            </w:r>
          </w:p>
          <w:p w14:paraId="686E7485">
            <w:pPr>
              <w:pStyle w:val="3"/>
              <w:ind w:firstLine="480"/>
              <w:rPr>
                <w:rFonts w:eastAsia="宋体"/>
              </w:rPr>
            </w:pPr>
            <w:r>
              <w:rPr>
                <w:rFonts w:eastAsia="宋体"/>
              </w:rPr>
              <w:t>一般情况下，发生事故而泄漏于地表的原油数量有限，若处理及时得当，对周围环境影响可得到有效的控制。</w:t>
            </w:r>
          </w:p>
          <w:p w14:paraId="639A7C1E">
            <w:pPr>
              <w:pStyle w:val="3"/>
              <w:ind w:firstLine="480"/>
              <w:rPr>
                <w:rFonts w:eastAsia="宋体"/>
              </w:rPr>
            </w:pPr>
            <w:r>
              <w:rPr>
                <w:rFonts w:hint="eastAsia" w:eastAsia="宋体"/>
              </w:rPr>
              <w:t>B</w:t>
            </w:r>
            <w:r>
              <w:rPr>
                <w:rFonts w:eastAsia="宋体"/>
              </w:rPr>
              <w:t xml:space="preserve"> 井漏</w:t>
            </w:r>
          </w:p>
          <w:p w14:paraId="18C482CA">
            <w:pPr>
              <w:pStyle w:val="3"/>
              <w:ind w:firstLine="480"/>
              <w:rPr>
                <w:rFonts w:hint="eastAsia" w:ascii="Times New Roman" w:hAnsi="Times New Roman" w:eastAsia="宋体" w:cs="Times New Roman"/>
                <w:lang w:val="en-US" w:eastAsia="zh-CN"/>
              </w:rPr>
            </w:pPr>
            <w:r>
              <w:rPr>
                <w:rFonts w:ascii="Times New Roman" w:hAnsi="Times New Roman" w:eastAsia="宋体" w:cs="Times New Roman"/>
              </w:rPr>
              <w:t>井漏是钻井过程中钻井液漏入地层的现象，这是钻井过程中最复杂和耗资最多的事故。漏层的类型、井漏的严重程度及漏失层位各不相同，因此，变化也很大。井漏除了使大量泥浆漏失，造成经济损失以外，有时还会对地下水和油层产生一定的危害。井漏主要发生于具有特殊地质结构的油藏区，根据统计，这类事故主要发生在具有溶洞、裂隙等不稳定的地层</w:t>
            </w:r>
          </w:p>
          <w:p w14:paraId="2BE92560">
            <w:pPr>
              <w:pStyle w:val="3"/>
              <w:ind w:left="0" w:leftChars="0" w:firstLine="0" w:firstLineChars="0"/>
              <w:rPr>
                <w:rFonts w:ascii="Times New Roman" w:hAnsi="Times New Roman" w:eastAsia="宋体" w:cs="Times New Roman"/>
              </w:rPr>
            </w:pPr>
            <w:r>
              <w:rPr>
                <w:rFonts w:ascii="Times New Roman" w:hAnsi="Times New Roman" w:eastAsia="宋体" w:cs="Times New Roman"/>
              </w:rPr>
              <w:t>构造区域。</w:t>
            </w:r>
          </w:p>
          <w:p w14:paraId="592612DA">
            <w:pPr>
              <w:pStyle w:val="3"/>
              <w:ind w:left="0" w:leftChars="0" w:firstLine="480" w:firstLineChars="200"/>
              <w:rPr>
                <w:rFonts w:ascii="Times New Roman" w:hAnsi="Times New Roman" w:eastAsia="宋体" w:cs="Times New Roman"/>
              </w:rPr>
            </w:pPr>
            <w:r>
              <w:rPr>
                <w:rFonts w:ascii="Times New Roman" w:hAnsi="Times New Roman" w:eastAsia="宋体" w:cs="Times New Roman"/>
              </w:rPr>
              <w:t>在表层钻进时，尽量使用清水混浆，减少添加剂的使用。一般在起钻发生井漏事故时，可能发生污染地下水的情況，工程制定了相应的防漏措施：钻时突然加快、返出量不正常等情況，应检查有无漏失，严格控制起、下钻速度，井场按设计要求储备堵漏剂等。</w:t>
            </w:r>
          </w:p>
          <w:p w14:paraId="701E7F6B">
            <w:pPr>
              <w:pStyle w:val="3"/>
              <w:ind w:firstLine="480"/>
              <w:rPr>
                <w:rFonts w:eastAsia="宋体"/>
              </w:rPr>
            </w:pPr>
            <w:r>
              <w:rPr>
                <w:rFonts w:eastAsia="宋体"/>
              </w:rPr>
              <w:t>根据钻探项目的生产实际，保证钻孔固井质量是保护油气田地下水的有效措施，钻井过程中使用双层套管，表层套管和生产套管固井水泥浆均返至井口，确保安全封闭此深度内的潜水层和承压水层，同时封固地表疏松地层为井口控制和后续完井采用预应力固井创造条件；尽可能缩短水泥胶的稠化时间减少对地层水的污染；表套固井禁止使用带毒性的水泥外加剂。钻井过程中的固井措施，一方面加固井壁，同时也有分隔地层的作用，使各个不相联通的地层分隔开来，保持其原有的循环运移道路。目前油田开发在固井技术等方面已非常成熟可靠，一般井管泄漏的可能性极小。</w:t>
            </w:r>
          </w:p>
          <w:p w14:paraId="3EF079C0">
            <w:pPr>
              <w:pStyle w:val="3"/>
              <w:ind w:firstLine="480"/>
              <w:rPr>
                <w:rFonts w:eastAsia="宋体"/>
              </w:rPr>
            </w:pPr>
            <w:r>
              <w:rPr>
                <w:rFonts w:hint="eastAsia" w:eastAsia="宋体"/>
              </w:rPr>
              <w:t>C</w:t>
            </w:r>
            <w:r>
              <w:rPr>
                <w:rFonts w:eastAsia="宋体"/>
              </w:rPr>
              <w:t xml:space="preserve"> 柴油</w:t>
            </w:r>
            <w:r>
              <w:rPr>
                <w:rFonts w:hint="eastAsia" w:eastAsia="宋体"/>
              </w:rPr>
              <w:t>储罐</w:t>
            </w:r>
            <w:r>
              <w:rPr>
                <w:rFonts w:eastAsia="宋体"/>
              </w:rPr>
              <w:t>泄</w:t>
            </w:r>
            <w:r>
              <w:rPr>
                <w:rFonts w:hint="eastAsia" w:eastAsia="宋体"/>
                <w:lang w:val="en-US" w:eastAsia="zh-CN"/>
              </w:rPr>
              <w:t>漏</w:t>
            </w:r>
            <w:r>
              <w:rPr>
                <w:rFonts w:eastAsia="宋体"/>
              </w:rPr>
              <w:t>事故影响分析</w:t>
            </w:r>
          </w:p>
          <w:p w14:paraId="1E93034D">
            <w:pPr>
              <w:pStyle w:val="3"/>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本项目使用的柴油在井场储存，存在</w:t>
            </w:r>
            <w:r>
              <w:rPr>
                <w:rFonts w:hint="eastAsia" w:eastAsia="宋体"/>
                <w:color w:val="000000" w:themeColor="text1"/>
                <w14:textFill>
                  <w14:solidFill>
                    <w14:schemeClr w14:val="tx1"/>
                  </w14:solidFill>
                </w14:textFill>
              </w:rPr>
              <w:t>储罐</w:t>
            </w:r>
            <w:r>
              <w:rPr>
                <w:rFonts w:eastAsia="宋体"/>
                <w:color w:val="000000" w:themeColor="text1"/>
                <w14:textFill>
                  <w14:solidFill>
                    <w14:schemeClr w14:val="tx1"/>
                  </w14:solidFill>
                </w14:textFill>
              </w:rPr>
              <w:t>破裂导致柴油泄漏的可能性。本项目采取了</w:t>
            </w:r>
            <w:r>
              <w:rPr>
                <w:rFonts w:hint="eastAsia" w:eastAsia="宋体"/>
                <w:color w:val="000000" w:themeColor="text1"/>
                <w14:textFill>
                  <w14:solidFill>
                    <w14:schemeClr w14:val="tx1"/>
                  </w14:solidFill>
                </w14:textFill>
              </w:rPr>
              <w:t>提高罐体强度、加强罐体防腐，选用合格的安装耗材，对罐区进行重点防渗等措施，</w:t>
            </w:r>
            <w:r>
              <w:rPr>
                <w:rFonts w:eastAsia="宋体"/>
                <w:color w:val="000000" w:themeColor="text1"/>
                <w14:textFill>
                  <w14:solidFill>
                    <w14:schemeClr w14:val="tx1"/>
                  </w14:solidFill>
                </w14:textFill>
              </w:rPr>
              <w:t>可以保证事故状态下储罐内</w:t>
            </w:r>
            <w:r>
              <w:rPr>
                <w:rFonts w:hint="eastAsia" w:eastAsia="宋体"/>
                <w:color w:val="000000" w:themeColor="text1"/>
                <w14:textFill>
                  <w14:solidFill>
                    <w14:schemeClr w14:val="tx1"/>
                  </w14:solidFill>
                </w14:textFill>
              </w:rPr>
              <w:t>物质</w:t>
            </w:r>
            <w:r>
              <w:rPr>
                <w:rFonts w:eastAsia="宋体"/>
                <w:color w:val="000000" w:themeColor="text1"/>
                <w14:textFill>
                  <w14:solidFill>
                    <w14:schemeClr w14:val="tx1"/>
                  </w14:solidFill>
                </w14:textFill>
              </w:rPr>
              <w:t>不扩散污染地下水和土壤。通过采取上述措施之后，对环境影响的风险较小。</w:t>
            </w:r>
          </w:p>
          <w:p w14:paraId="71DC33A1">
            <w:pPr>
              <w:pStyle w:val="3"/>
              <w:ind w:firstLine="480"/>
              <w:rPr>
                <w:rFonts w:eastAsia="宋体"/>
              </w:rPr>
            </w:pPr>
            <w:r>
              <w:rPr>
                <w:rFonts w:eastAsia="宋体"/>
                <w:color w:val="000000" w:themeColor="text1"/>
                <w14:textFill>
                  <w14:solidFill>
                    <w14:schemeClr w14:val="tx1"/>
                  </w14:solidFill>
                </w14:textFill>
              </w:rPr>
              <w:t>柴油泄</w:t>
            </w:r>
            <w:r>
              <w:rPr>
                <w:rFonts w:hint="eastAsia" w:eastAsia="宋体"/>
                <w:color w:val="000000" w:themeColor="text1"/>
                <w:lang w:val="en-US" w:eastAsia="zh-CN"/>
                <w14:textFill>
                  <w14:solidFill>
                    <w14:schemeClr w14:val="tx1"/>
                  </w14:solidFill>
                </w14:textFill>
              </w:rPr>
              <w:t>漏</w:t>
            </w:r>
            <w:r>
              <w:rPr>
                <w:rFonts w:eastAsia="宋体"/>
                <w:color w:val="000000" w:themeColor="text1"/>
                <w14:textFill>
                  <w14:solidFill>
                    <w14:schemeClr w14:val="tx1"/>
                  </w14:solidFill>
                </w14:textFill>
              </w:rPr>
              <w:t>发生火灾后，对周围环境产生一定的破坏作用。此事故为安全事故，不在本次环境影响评价范畴内，本次环评仅关注爆炸后对周边环境的影响。井场柴油储存量较小，燃烧后主要产物为CO</w:t>
            </w:r>
            <w:r>
              <w:rPr>
                <w:rFonts w:eastAsia="宋体"/>
                <w:color w:val="000000" w:themeColor="text1"/>
                <w:vertAlign w:val="subscript"/>
                <w14:textFill>
                  <w14:solidFill>
                    <w14:schemeClr w14:val="tx1"/>
                  </w14:solidFill>
                </w14:textFill>
              </w:rPr>
              <w:t>2</w:t>
            </w:r>
            <w:r>
              <w:rPr>
                <w:rFonts w:eastAsia="宋体"/>
                <w:color w:val="000000" w:themeColor="text1"/>
                <w14:textFill>
                  <w14:solidFill>
                    <w14:schemeClr w14:val="tx1"/>
                  </w14:solidFill>
                </w14:textFill>
              </w:rPr>
              <w:t>、H</w:t>
            </w:r>
            <w:r>
              <w:rPr>
                <w:rFonts w:eastAsia="宋体"/>
                <w:color w:val="000000" w:themeColor="text1"/>
                <w:vertAlign w:val="subscript"/>
                <w14:textFill>
                  <w14:solidFill>
                    <w14:schemeClr w14:val="tx1"/>
                  </w14:solidFill>
                </w14:textFill>
              </w:rPr>
              <w:t>2</w:t>
            </w:r>
            <w:r>
              <w:rPr>
                <w:rFonts w:eastAsia="宋体"/>
                <w:color w:val="000000" w:themeColor="text1"/>
                <w14:textFill>
                  <w14:solidFill>
                    <w14:schemeClr w14:val="tx1"/>
                  </w14:solidFill>
                </w14:textFill>
              </w:rPr>
              <w:t>O和NO</w:t>
            </w:r>
            <w:r>
              <w:rPr>
                <w:rFonts w:eastAsia="宋体"/>
                <w:color w:val="000000" w:themeColor="text1"/>
                <w:vertAlign w:val="subscript"/>
                <w14:textFill>
                  <w14:solidFill>
                    <w14:schemeClr w14:val="tx1"/>
                  </w14:solidFill>
                </w14:textFill>
              </w:rPr>
              <w:t>X</w:t>
            </w:r>
            <w:r>
              <w:rPr>
                <w:rFonts w:eastAsia="宋体"/>
                <w:color w:val="000000" w:themeColor="text1"/>
                <w14:textFill>
                  <w14:solidFill>
                    <w14:schemeClr w14:val="tx1"/>
                  </w14:solidFill>
                </w14:textFill>
              </w:rPr>
              <w:t>，不完全燃烧产生黑烟影响局部区域环境空气质量，发生事故后可及时控制，不会对周围环境造成太大影响。</w:t>
            </w:r>
          </w:p>
          <w:p w14:paraId="40B2C829">
            <w:pPr>
              <w:pStyle w:val="2"/>
              <w:ind w:firstLine="482" w:firstLineChars="200"/>
              <w:rPr>
                <w:rFonts w:eastAsia="宋体"/>
              </w:rPr>
            </w:pPr>
            <w:r>
              <w:rPr>
                <w:rFonts w:hint="eastAsia" w:eastAsia="宋体"/>
                <w:lang w:val="en-US" w:eastAsia="zh-CN"/>
              </w:rPr>
              <w:t>9</w:t>
            </w:r>
            <w:r>
              <w:rPr>
                <w:rFonts w:hint="eastAsia" w:eastAsia="宋体"/>
              </w:rPr>
              <w:t>、闭封井期环境影响分析</w:t>
            </w:r>
          </w:p>
          <w:p w14:paraId="30601C6E">
            <w:pPr>
              <w:pStyle w:val="3"/>
              <w:ind w:firstLine="480"/>
              <w:rPr>
                <w:rFonts w:eastAsia="宋体"/>
              </w:rPr>
            </w:pPr>
            <w:r>
              <w:rPr>
                <w:rFonts w:hint="eastAsia" w:eastAsia="宋体"/>
              </w:rPr>
              <w:t>完成钻探任务后，按评价井行业规范对钻井设备及基础进行拆除、搬迁，对钻井时产生的各种废弃物进行彻底清理，做到</w:t>
            </w:r>
            <w:r>
              <w:rPr>
                <w:rFonts w:hint="default" w:ascii="Times New Roman" w:hAnsi="Times New Roman" w:eastAsia="宋体" w:cs="Times New Roman"/>
              </w:rPr>
              <w:t>“</w:t>
            </w:r>
            <w:r>
              <w:rPr>
                <w:rFonts w:hint="eastAsia" w:eastAsia="宋体"/>
              </w:rPr>
              <w:t>工完、料尽、场地清</w:t>
            </w:r>
            <w:r>
              <w:rPr>
                <w:rFonts w:hint="default" w:ascii="Times New Roman" w:hAnsi="Times New Roman" w:eastAsia="宋体" w:cs="Times New Roman"/>
              </w:rPr>
              <w:t>”</w:t>
            </w:r>
            <w:r>
              <w:rPr>
                <w:rFonts w:hint="eastAsia" w:eastAsia="宋体"/>
              </w:rPr>
              <w:t>。若该井具备开采价值转入一步工作阶段（下步工程另行开展环评工作），若不具备开采价值则对该井按照行业规范采取闭井作业。首先，采用水泥对套管及套管壁进行固封，防止采出液串入地层。</w:t>
            </w:r>
          </w:p>
          <w:p w14:paraId="75FA3389">
            <w:pPr>
              <w:pStyle w:val="3"/>
              <w:ind w:firstLine="480"/>
              <w:rPr>
                <w:rFonts w:eastAsia="宋体"/>
              </w:rPr>
            </w:pPr>
            <w:r>
              <w:rPr>
                <w:rFonts w:hint="eastAsia" w:eastAsia="宋体"/>
              </w:rPr>
              <w:t>同时根据《土地复垦条例》，编制土地利用复垦方案，对井场临时占地进行土地复垦，土地复垦应当坚持科学规划、因地制宜、综合治理、经济可行、合理利用的原则，应因地制宜地建立植被与恢复体系，同时遵循破坏土地与周边现状保持一致的原则，土地复耕复种作业可采用经济补偿方式委托临时占地原农户完成。</w:t>
            </w:r>
          </w:p>
          <w:p w14:paraId="2FC11D33">
            <w:pPr>
              <w:pStyle w:val="3"/>
              <w:ind w:firstLine="480"/>
              <w:rPr>
                <w:rFonts w:hint="eastAsia"/>
                <w:lang w:val="en-US" w:eastAsia="zh-CN"/>
              </w:rPr>
            </w:pPr>
            <w:r>
              <w:rPr>
                <w:rFonts w:hint="eastAsia" w:eastAsia="宋体"/>
              </w:rPr>
              <w:t>完井施工时间短，且环境影响随施工作业的结束而消失，</w:t>
            </w:r>
            <w:r>
              <w:rPr>
                <w:rFonts w:hint="eastAsia" w:eastAsia="宋体"/>
                <w:color w:val="auto"/>
                <w:lang w:eastAsia="zh-CN"/>
              </w:rPr>
              <w:t>项目施工结束并完成生态恢复后</w:t>
            </w:r>
            <w:r>
              <w:rPr>
                <w:rFonts w:hint="eastAsia" w:eastAsia="宋体"/>
                <w:lang w:eastAsia="zh-CN"/>
              </w:rPr>
              <w:t>，</w:t>
            </w:r>
            <w:r>
              <w:rPr>
                <w:rFonts w:hint="eastAsia" w:eastAsia="宋体"/>
              </w:rPr>
              <w:t>不会造成长期环境影响，在当地环境可接受范围内。</w:t>
            </w:r>
          </w:p>
        </w:tc>
      </w:tr>
      <w:tr w14:paraId="2F123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dxa"/>
            <w:vAlign w:val="center"/>
          </w:tcPr>
          <w:p w14:paraId="47572691">
            <w:pPr>
              <w:pStyle w:val="9"/>
              <w:adjustRightInd w:val="0"/>
              <w:snapToGrid w:val="0"/>
              <w:spacing w:before="0" w:beforeAutospacing="0" w:after="0" w:afterAutospacing="0"/>
              <w:jc w:val="center"/>
              <w:rPr>
                <w:rFonts w:hint="eastAsia" w:eastAsia="宋体"/>
              </w:rPr>
            </w:pPr>
            <w:r>
              <w:rPr>
                <w:rFonts w:ascii="Times New Roman" w:hAnsi="Times New Roman" w:eastAsia="宋体"/>
                <w:bCs/>
                <w:spacing w:val="10"/>
                <w:kern w:val="2"/>
              </w:rPr>
              <w:t>运营期生态环境影响分析</w:t>
            </w:r>
          </w:p>
        </w:tc>
        <w:tc>
          <w:tcPr>
            <w:tcW w:w="7922" w:type="dxa"/>
            <w:vAlign w:val="center"/>
          </w:tcPr>
          <w:p w14:paraId="4837B5C3">
            <w:pPr>
              <w:pStyle w:val="3"/>
              <w:ind w:left="0" w:leftChars="0" w:firstLine="480" w:firstLineChars="200"/>
              <w:jc w:val="both"/>
              <w:rPr>
                <w:rFonts w:hint="eastAsia" w:eastAsia="宋体"/>
              </w:rPr>
            </w:pPr>
          </w:p>
          <w:p w14:paraId="3A0228E7">
            <w:pPr>
              <w:pStyle w:val="3"/>
              <w:ind w:left="0" w:leftChars="0" w:firstLine="480" w:firstLineChars="200"/>
              <w:jc w:val="both"/>
              <w:rPr>
                <w:rFonts w:hint="eastAsia" w:eastAsia="宋体"/>
              </w:rPr>
            </w:pPr>
            <w:r>
              <w:rPr>
                <w:rFonts w:hint="eastAsia" w:eastAsia="宋体"/>
              </w:rPr>
              <w:t>本项目不涉及运营期。</w:t>
            </w:r>
          </w:p>
          <w:p w14:paraId="1A33AAFA">
            <w:pPr>
              <w:rPr>
                <w:rFonts w:hint="eastAsia"/>
              </w:rPr>
            </w:pPr>
          </w:p>
        </w:tc>
      </w:tr>
      <w:tr w14:paraId="75E10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593" w:type="dxa"/>
            <w:vAlign w:val="center"/>
          </w:tcPr>
          <w:p w14:paraId="59B05011">
            <w:pPr>
              <w:pStyle w:val="9"/>
              <w:adjustRightInd w:val="0"/>
              <w:snapToGrid w:val="0"/>
              <w:spacing w:before="0" w:beforeAutospacing="0" w:after="0" w:afterAutospacing="0"/>
              <w:jc w:val="center"/>
              <w:rPr>
                <w:rFonts w:hint="eastAsia" w:ascii="黑体" w:hAnsi="黑体" w:eastAsia="黑体" w:cs="黑体"/>
                <w:b w:val="0"/>
                <w:bCs w:val="0"/>
                <w:snapToGrid w:val="0"/>
                <w:sz w:val="30"/>
                <w:szCs w:val="30"/>
                <w:vertAlign w:val="baseline"/>
              </w:rPr>
            </w:pPr>
            <w:r>
              <w:rPr>
                <w:rFonts w:ascii="Times New Roman" w:hAnsi="Times New Roman" w:eastAsia="宋体"/>
                <w:bCs/>
                <w:kern w:val="2"/>
              </w:rPr>
              <w:t>选址选线环境合理性分析</w:t>
            </w:r>
          </w:p>
        </w:tc>
        <w:tc>
          <w:tcPr>
            <w:tcW w:w="7922" w:type="dxa"/>
            <w:vAlign w:val="top"/>
          </w:tcPr>
          <w:p w14:paraId="46CF996F">
            <w:pPr>
              <w:pStyle w:val="3"/>
              <w:ind w:firstLine="480"/>
              <w:rPr>
                <w:rFonts w:hint="eastAsia" w:ascii="Times New Roman" w:hAnsi="Times New Roman" w:eastAsia="宋体" w:cs="Times New Roman"/>
                <w:color w:val="auto"/>
              </w:rPr>
            </w:pPr>
            <w:r>
              <w:rPr>
                <w:rFonts w:hint="eastAsia" w:ascii="Times New Roman" w:hAnsi="Times New Roman" w:eastAsia="宋体" w:cs="Times New Roman"/>
                <w:color w:val="auto"/>
              </w:rPr>
              <w:t>本项目为石油勘探项目，项目选址主要由地下油气层决定地面。经调查，项目选址评价范围不涉及自然保护区、风景名胜区、饮用水源保护区等环境敏感区，项目选址位于农田中，选址无相关比选方案。</w:t>
            </w:r>
          </w:p>
          <w:p w14:paraId="20395F30">
            <w:pPr>
              <w:rPr>
                <w:rFonts w:hint="eastAsia" w:ascii="Times New Roman" w:hAnsi="Times New Roman" w:eastAsia="宋体" w:cs="Times New Roman"/>
                <w:color w:val="auto"/>
              </w:rPr>
            </w:pPr>
          </w:p>
          <w:p w14:paraId="7F315AB8">
            <w:pPr>
              <w:rPr>
                <w:rFonts w:hint="eastAsia"/>
              </w:rPr>
            </w:pPr>
          </w:p>
          <w:p w14:paraId="64740DD1">
            <w:pPr>
              <w:rPr>
                <w:rFonts w:hint="eastAsia"/>
              </w:rPr>
            </w:pPr>
          </w:p>
          <w:p w14:paraId="579CF105">
            <w:pPr>
              <w:pStyle w:val="3"/>
              <w:rPr>
                <w:rFonts w:hint="eastAsia"/>
              </w:rPr>
            </w:pPr>
          </w:p>
          <w:p w14:paraId="29B7EFB1">
            <w:pPr>
              <w:rPr>
                <w:rFonts w:hint="eastAsia" w:eastAsia="宋体"/>
                <w:lang w:eastAsia="zh-CN"/>
              </w:rPr>
            </w:pPr>
          </w:p>
          <w:p w14:paraId="4D75885E">
            <w:pPr>
              <w:pStyle w:val="3"/>
              <w:rPr>
                <w:rFonts w:hint="eastAsia"/>
                <w:lang w:eastAsia="zh-CN"/>
              </w:rPr>
            </w:pPr>
          </w:p>
          <w:p w14:paraId="4CD912F4">
            <w:pPr>
              <w:pStyle w:val="3"/>
              <w:rPr>
                <w:rFonts w:hint="eastAsia"/>
              </w:rPr>
            </w:pPr>
          </w:p>
          <w:p w14:paraId="33B49F63">
            <w:pPr>
              <w:rPr>
                <w:rFonts w:hint="eastAsia"/>
              </w:rPr>
            </w:pPr>
          </w:p>
          <w:p w14:paraId="2DA7B96C">
            <w:pPr>
              <w:rPr>
                <w:rFonts w:hint="eastAsia"/>
              </w:rPr>
            </w:pPr>
          </w:p>
          <w:p w14:paraId="706CE36E">
            <w:pPr>
              <w:rPr>
                <w:rFonts w:hint="eastAsia"/>
              </w:rPr>
            </w:pPr>
          </w:p>
          <w:p w14:paraId="6E0E0F52">
            <w:pPr>
              <w:rPr>
                <w:rFonts w:hint="eastAsia"/>
              </w:rPr>
            </w:pPr>
          </w:p>
          <w:p w14:paraId="401ED916">
            <w:pPr>
              <w:rPr>
                <w:rFonts w:hint="eastAsia"/>
              </w:rPr>
            </w:pPr>
          </w:p>
          <w:p w14:paraId="4D8E670D">
            <w:pPr>
              <w:rPr>
                <w:rFonts w:hint="eastAsia"/>
              </w:rPr>
            </w:pPr>
          </w:p>
          <w:p w14:paraId="22AB90EC">
            <w:pPr>
              <w:pStyle w:val="3"/>
              <w:rPr>
                <w:rFonts w:hint="eastAsia"/>
              </w:rPr>
            </w:pPr>
          </w:p>
        </w:tc>
      </w:tr>
    </w:tbl>
    <w:p w14:paraId="484CDCBB">
      <w:pPr>
        <w:pStyle w:val="3"/>
        <w:sectPr>
          <w:pgSz w:w="11905" w:h="16838"/>
          <w:pgMar w:top="1440" w:right="1803" w:bottom="1440" w:left="1803"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p w14:paraId="5F828DE6">
      <w:pPr>
        <w:pStyle w:val="9"/>
        <w:spacing w:before="0" w:beforeAutospacing="0" w:after="0" w:afterAutospacing="0"/>
        <w:jc w:val="center"/>
        <w:outlineLvl w:val="0"/>
        <w:rPr>
          <w:rFonts w:ascii="Times New Roman" w:hAnsi="Times New Roman" w:eastAsia="宋体"/>
          <w:b/>
          <w:bCs/>
          <w:snapToGrid w:val="0"/>
          <w:sz w:val="30"/>
          <w:szCs w:val="30"/>
        </w:rPr>
      </w:pPr>
      <w:r>
        <w:rPr>
          <w:rFonts w:hint="eastAsia" w:ascii="黑体" w:hAnsi="黑体" w:eastAsia="黑体" w:cs="黑体"/>
          <w:b w:val="0"/>
          <w:bCs w:val="0"/>
          <w:snapToGrid w:val="0"/>
          <w:sz w:val="30"/>
          <w:szCs w:val="30"/>
        </w:rPr>
        <w:t>五、主要生态环境保护措施</w:t>
      </w:r>
    </w:p>
    <w:tbl>
      <w:tblPr>
        <w:tblStyle w:val="11"/>
        <w:tblW w:w="514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8"/>
        <w:gridCol w:w="8008"/>
      </w:tblGrid>
      <w:tr w14:paraId="4744ED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22" w:hRule="atLeast"/>
          <w:jc w:val="center"/>
        </w:trPr>
        <w:tc>
          <w:tcPr>
            <w:tcW w:w="385" w:type="pct"/>
            <w:tcMar>
              <w:left w:w="28" w:type="dxa"/>
              <w:right w:w="28" w:type="dxa"/>
            </w:tcMar>
            <w:vAlign w:val="center"/>
          </w:tcPr>
          <w:p w14:paraId="668C9387">
            <w:pPr>
              <w:adjustRightInd w:val="0"/>
              <w:snapToGrid w:val="0"/>
              <w:jc w:val="center"/>
              <w:rPr>
                <w:rFonts w:eastAsia="宋体"/>
                <w:bCs/>
                <w:spacing w:val="10"/>
                <w:sz w:val="24"/>
              </w:rPr>
            </w:pPr>
            <w:r>
              <w:rPr>
                <w:rFonts w:eastAsia="宋体"/>
                <w:bCs/>
                <w:spacing w:val="10"/>
                <w:sz w:val="24"/>
              </w:rPr>
              <w:t>施</w:t>
            </w:r>
          </w:p>
          <w:p w14:paraId="650FBCC1">
            <w:pPr>
              <w:adjustRightInd w:val="0"/>
              <w:snapToGrid w:val="0"/>
              <w:jc w:val="center"/>
              <w:rPr>
                <w:rFonts w:eastAsia="宋体"/>
                <w:bCs/>
                <w:spacing w:val="10"/>
                <w:sz w:val="24"/>
              </w:rPr>
            </w:pPr>
            <w:r>
              <w:rPr>
                <w:rFonts w:eastAsia="宋体"/>
                <w:bCs/>
                <w:spacing w:val="10"/>
                <w:sz w:val="24"/>
              </w:rPr>
              <w:t>工</w:t>
            </w:r>
          </w:p>
          <w:p w14:paraId="7E939AE1">
            <w:pPr>
              <w:adjustRightInd w:val="0"/>
              <w:snapToGrid w:val="0"/>
              <w:jc w:val="center"/>
              <w:rPr>
                <w:rFonts w:eastAsia="宋体"/>
                <w:bCs/>
                <w:spacing w:val="10"/>
                <w:sz w:val="24"/>
              </w:rPr>
            </w:pPr>
            <w:r>
              <w:rPr>
                <w:rFonts w:eastAsia="宋体"/>
                <w:bCs/>
                <w:spacing w:val="10"/>
                <w:sz w:val="24"/>
              </w:rPr>
              <w:t>期</w:t>
            </w:r>
          </w:p>
          <w:p w14:paraId="1C347673">
            <w:pPr>
              <w:adjustRightInd w:val="0"/>
              <w:snapToGrid w:val="0"/>
              <w:jc w:val="center"/>
              <w:rPr>
                <w:rFonts w:eastAsia="宋体"/>
                <w:bCs/>
                <w:spacing w:val="10"/>
                <w:sz w:val="24"/>
              </w:rPr>
            </w:pPr>
            <w:r>
              <w:rPr>
                <w:rFonts w:eastAsia="宋体"/>
                <w:bCs/>
                <w:spacing w:val="10"/>
                <w:sz w:val="24"/>
              </w:rPr>
              <w:t>生</w:t>
            </w:r>
          </w:p>
          <w:p w14:paraId="4FB78A98">
            <w:pPr>
              <w:adjustRightInd w:val="0"/>
              <w:snapToGrid w:val="0"/>
              <w:jc w:val="center"/>
              <w:rPr>
                <w:rFonts w:eastAsia="宋体"/>
                <w:bCs/>
                <w:spacing w:val="10"/>
                <w:sz w:val="24"/>
              </w:rPr>
            </w:pPr>
            <w:r>
              <w:rPr>
                <w:rFonts w:eastAsia="宋体"/>
                <w:bCs/>
                <w:spacing w:val="10"/>
                <w:sz w:val="24"/>
              </w:rPr>
              <w:t>态</w:t>
            </w:r>
          </w:p>
          <w:p w14:paraId="40C5CBFE">
            <w:pPr>
              <w:adjustRightInd w:val="0"/>
              <w:snapToGrid w:val="0"/>
              <w:jc w:val="center"/>
              <w:rPr>
                <w:rFonts w:eastAsia="宋体"/>
                <w:bCs/>
                <w:spacing w:val="10"/>
                <w:sz w:val="24"/>
              </w:rPr>
            </w:pPr>
            <w:r>
              <w:rPr>
                <w:rFonts w:eastAsia="宋体"/>
                <w:bCs/>
                <w:spacing w:val="10"/>
                <w:sz w:val="24"/>
              </w:rPr>
              <w:t>环</w:t>
            </w:r>
          </w:p>
          <w:p w14:paraId="6F555C43">
            <w:pPr>
              <w:adjustRightInd w:val="0"/>
              <w:snapToGrid w:val="0"/>
              <w:jc w:val="center"/>
              <w:rPr>
                <w:rFonts w:eastAsia="宋体"/>
                <w:bCs/>
                <w:spacing w:val="10"/>
                <w:sz w:val="24"/>
              </w:rPr>
            </w:pPr>
            <w:r>
              <w:rPr>
                <w:rFonts w:eastAsia="宋体"/>
                <w:bCs/>
                <w:spacing w:val="10"/>
                <w:sz w:val="24"/>
              </w:rPr>
              <w:t>境</w:t>
            </w:r>
          </w:p>
          <w:p w14:paraId="052525B9">
            <w:pPr>
              <w:adjustRightInd w:val="0"/>
              <w:snapToGrid w:val="0"/>
              <w:jc w:val="center"/>
              <w:rPr>
                <w:rFonts w:eastAsia="宋体"/>
                <w:bCs/>
                <w:spacing w:val="10"/>
                <w:sz w:val="24"/>
              </w:rPr>
            </w:pPr>
            <w:r>
              <w:rPr>
                <w:rFonts w:eastAsia="宋体"/>
                <w:bCs/>
                <w:spacing w:val="10"/>
                <w:sz w:val="24"/>
              </w:rPr>
              <w:t>保</w:t>
            </w:r>
          </w:p>
          <w:p w14:paraId="677CD482">
            <w:pPr>
              <w:adjustRightInd w:val="0"/>
              <w:snapToGrid w:val="0"/>
              <w:jc w:val="center"/>
              <w:rPr>
                <w:rFonts w:eastAsia="宋体"/>
                <w:bCs/>
                <w:spacing w:val="10"/>
                <w:sz w:val="24"/>
              </w:rPr>
            </w:pPr>
            <w:r>
              <w:rPr>
                <w:rFonts w:eastAsia="宋体"/>
                <w:bCs/>
                <w:spacing w:val="10"/>
                <w:sz w:val="24"/>
              </w:rPr>
              <w:t>护</w:t>
            </w:r>
          </w:p>
          <w:p w14:paraId="518AD94E">
            <w:pPr>
              <w:adjustRightInd w:val="0"/>
              <w:snapToGrid w:val="0"/>
              <w:jc w:val="center"/>
              <w:rPr>
                <w:rFonts w:eastAsia="宋体"/>
                <w:bCs/>
                <w:spacing w:val="10"/>
                <w:sz w:val="24"/>
              </w:rPr>
            </w:pPr>
            <w:r>
              <w:rPr>
                <w:rFonts w:eastAsia="宋体"/>
                <w:bCs/>
                <w:spacing w:val="10"/>
                <w:sz w:val="24"/>
              </w:rPr>
              <w:t>措</w:t>
            </w:r>
          </w:p>
          <w:p w14:paraId="7BF35C0D">
            <w:pPr>
              <w:adjustRightInd w:val="0"/>
              <w:snapToGrid w:val="0"/>
              <w:jc w:val="center"/>
              <w:rPr>
                <w:rFonts w:eastAsia="宋体"/>
                <w:bCs/>
                <w:sz w:val="24"/>
              </w:rPr>
            </w:pPr>
            <w:r>
              <w:rPr>
                <w:rFonts w:eastAsia="宋体"/>
                <w:bCs/>
                <w:spacing w:val="10"/>
                <w:sz w:val="24"/>
              </w:rPr>
              <w:t>施</w:t>
            </w:r>
          </w:p>
        </w:tc>
        <w:tc>
          <w:tcPr>
            <w:tcW w:w="4614" w:type="pct"/>
          </w:tcPr>
          <w:p w14:paraId="16B85CB3">
            <w:pPr>
              <w:pStyle w:val="2"/>
              <w:ind w:firstLine="482" w:firstLineChars="200"/>
              <w:rPr>
                <w:rFonts w:eastAsia="宋体"/>
              </w:rPr>
            </w:pPr>
            <w:r>
              <w:rPr>
                <w:rFonts w:hint="eastAsia" w:eastAsia="宋体"/>
              </w:rPr>
              <w:t>1、生态环境</w:t>
            </w:r>
          </w:p>
          <w:p w14:paraId="0493AEAC">
            <w:pPr>
              <w:pStyle w:val="3"/>
              <w:ind w:firstLine="480"/>
              <w:rPr>
                <w:rFonts w:eastAsia="宋体"/>
              </w:rPr>
            </w:pPr>
            <w:r>
              <w:rPr>
                <w:rFonts w:hint="eastAsia" w:eastAsia="宋体"/>
              </w:rPr>
              <w:t>（1）对陆域生态的保护措施</w:t>
            </w:r>
          </w:p>
          <w:p w14:paraId="7AB69DE3">
            <w:pPr>
              <w:pStyle w:val="3"/>
              <w:ind w:firstLine="480"/>
              <w:rPr>
                <w:rFonts w:eastAsia="宋体"/>
              </w:rPr>
            </w:pPr>
            <w:r>
              <w:rPr>
                <w:rFonts w:hint="eastAsia" w:eastAsia="宋体"/>
              </w:rPr>
              <w:t>本项目施工期对陆域生态的环境影响主要为植被破坏。采取的主要保护措施有：</w:t>
            </w:r>
          </w:p>
          <w:p w14:paraId="6BC0C4FF">
            <w:pPr>
              <w:pStyle w:val="3"/>
              <w:ind w:firstLine="480"/>
              <w:rPr>
                <w:rFonts w:eastAsia="宋体"/>
              </w:rPr>
            </w:pPr>
            <w:r>
              <w:rPr>
                <w:rFonts w:hint="eastAsia" w:eastAsia="宋体"/>
              </w:rPr>
              <w:t>①在开挖地表土壤时，执行分层开挖、分层回填的操作规范，尽可能保持农田原有的土壤环境，以恢复植被。</w:t>
            </w:r>
          </w:p>
          <w:p w14:paraId="0F3A9C5D">
            <w:pPr>
              <w:pStyle w:val="3"/>
              <w:ind w:firstLine="480"/>
              <w:rPr>
                <w:rFonts w:eastAsia="宋体"/>
              </w:rPr>
            </w:pPr>
            <w:r>
              <w:rPr>
                <w:rFonts w:hint="eastAsia" w:eastAsia="宋体"/>
              </w:rPr>
              <w:t>②施工的组织安排需根据当地农业活动特点组织施工，减轻对农业生产破坏造成的损失。勘探期选择在一季作物生长期间完成，不占用两季作物的生长时间。</w:t>
            </w:r>
          </w:p>
          <w:p w14:paraId="3EB00157">
            <w:pPr>
              <w:pStyle w:val="3"/>
              <w:ind w:firstLine="480"/>
              <w:rPr>
                <w:rFonts w:eastAsia="宋体"/>
              </w:rPr>
            </w:pPr>
            <w:r>
              <w:rPr>
                <w:rFonts w:hint="eastAsia" w:eastAsia="宋体"/>
              </w:rPr>
              <w:t>③运送设备、物料的车辆严格在设计道路上行驶，不随意增开便道，在保证施工的前提下，严格控制施工车辆、机械及施工人员活动范围，以减少对地表的碾压；</w:t>
            </w:r>
          </w:p>
          <w:p w14:paraId="13BF847D">
            <w:pPr>
              <w:pStyle w:val="3"/>
              <w:ind w:firstLine="480"/>
              <w:rPr>
                <w:rFonts w:eastAsia="宋体"/>
              </w:rPr>
            </w:pPr>
            <w:r>
              <w:rPr>
                <w:rFonts w:hint="eastAsia" w:eastAsia="宋体"/>
              </w:rPr>
              <w:t>④限制施工工具、车辆便道、堆料场等临时性占地面积，并在施工结束后及时清理现场，清运各种污染物，尽可能恢复原状；</w:t>
            </w:r>
          </w:p>
          <w:p w14:paraId="507B54F7">
            <w:pPr>
              <w:pStyle w:val="3"/>
              <w:ind w:firstLine="480"/>
              <w:rPr>
                <w:rFonts w:eastAsia="宋体"/>
              </w:rPr>
            </w:pPr>
            <w:r>
              <w:rPr>
                <w:rFonts w:hint="eastAsia" w:eastAsia="宋体"/>
              </w:rPr>
              <w:t>⑤加强对施工人员的教育，在施工区域外，不随意砍伐、破坏树木、灌木、农作物，不乱挖、乱采野生植被；</w:t>
            </w:r>
          </w:p>
          <w:p w14:paraId="56487091">
            <w:pPr>
              <w:pStyle w:val="3"/>
              <w:ind w:firstLine="480"/>
              <w:rPr>
                <w:rFonts w:eastAsia="宋体"/>
              </w:rPr>
            </w:pPr>
            <w:r>
              <w:rPr>
                <w:rFonts w:hint="eastAsia" w:eastAsia="宋体"/>
              </w:rPr>
              <w:t>⑥严格执行《土地复垦规定》，凡受到施工车辆、机械破坏的地方需及时修复，恢复原貌，被破坏的植被在施工结束后尽快恢复；</w:t>
            </w:r>
          </w:p>
          <w:p w14:paraId="5D9F1CAB">
            <w:pPr>
              <w:pStyle w:val="3"/>
              <w:ind w:firstLine="480"/>
              <w:rPr>
                <w:rFonts w:eastAsia="宋体"/>
              </w:rPr>
            </w:pPr>
            <w:r>
              <w:rPr>
                <w:rFonts w:hint="eastAsia" w:eastAsia="宋体"/>
              </w:rPr>
              <w:t>（2）水土流失保护措施</w:t>
            </w:r>
          </w:p>
          <w:p w14:paraId="1061BFB6">
            <w:pPr>
              <w:pStyle w:val="3"/>
              <w:ind w:firstLine="480"/>
              <w:rPr>
                <w:rFonts w:eastAsia="宋体"/>
              </w:rPr>
            </w:pPr>
            <w:r>
              <w:rPr>
                <w:rFonts w:hint="eastAsia" w:eastAsia="宋体"/>
              </w:rPr>
              <w:t>①</w:t>
            </w:r>
            <w:r>
              <w:rPr>
                <w:rFonts w:eastAsia="宋体"/>
              </w:rPr>
              <w:t>施工中严格按照施工占地要求，划定适宜的堆料场。</w:t>
            </w:r>
            <w:r>
              <w:rPr>
                <w:rFonts w:hint="eastAsia" w:eastAsia="宋体"/>
              </w:rPr>
              <w:t>表层土外运后堆放在固定位置，并按一定坡度堆放；</w:t>
            </w:r>
          </w:p>
          <w:p w14:paraId="55332DA1">
            <w:pPr>
              <w:pStyle w:val="3"/>
              <w:ind w:firstLine="480"/>
              <w:rPr>
                <w:rFonts w:eastAsia="宋体"/>
              </w:rPr>
            </w:pPr>
            <w:r>
              <w:rPr>
                <w:rFonts w:hint="eastAsia" w:eastAsia="宋体"/>
              </w:rPr>
              <w:t>②</w:t>
            </w:r>
            <w:r>
              <w:rPr>
                <w:rFonts w:eastAsia="宋体"/>
              </w:rPr>
              <w:t>开挖等作业避免在大风</w:t>
            </w:r>
            <w:r>
              <w:rPr>
                <w:rFonts w:hint="eastAsia" w:eastAsia="宋体"/>
              </w:rPr>
              <w:t>、暴雨等天气</w:t>
            </w:r>
            <w:r>
              <w:rPr>
                <w:rFonts w:eastAsia="宋体"/>
              </w:rPr>
              <w:t>施工；</w:t>
            </w:r>
          </w:p>
          <w:p w14:paraId="3F1218F2">
            <w:pPr>
              <w:pStyle w:val="3"/>
              <w:ind w:firstLine="480"/>
              <w:rPr>
                <w:rFonts w:eastAsia="宋体"/>
              </w:rPr>
            </w:pPr>
            <w:r>
              <w:rPr>
                <w:rFonts w:hint="eastAsia" w:eastAsia="宋体"/>
              </w:rPr>
              <w:t>③</w:t>
            </w:r>
            <w:r>
              <w:rPr>
                <w:rFonts w:eastAsia="宋体"/>
              </w:rPr>
              <w:t>严格按规划的施工范围进行施工作业，不得随意开辟施工便道。施工车辆不得随意驶离便道。</w:t>
            </w:r>
          </w:p>
          <w:p w14:paraId="389DD7D0">
            <w:pPr>
              <w:pStyle w:val="3"/>
              <w:ind w:firstLine="480"/>
              <w:rPr>
                <w:rFonts w:eastAsia="宋体"/>
              </w:rPr>
            </w:pPr>
            <w:r>
              <w:rPr>
                <w:rFonts w:hint="eastAsia" w:eastAsia="宋体"/>
              </w:rPr>
              <w:t>④</w:t>
            </w:r>
            <w:r>
              <w:rPr>
                <w:rFonts w:eastAsia="宋体"/>
              </w:rPr>
              <w:t>施工后期，及时做好施工后期的</w:t>
            </w:r>
            <w:r>
              <w:rPr>
                <w:rFonts w:hint="eastAsia" w:eastAsia="宋体"/>
              </w:rPr>
              <w:t>场地</w:t>
            </w:r>
            <w:r>
              <w:rPr>
                <w:rFonts w:eastAsia="宋体"/>
              </w:rPr>
              <w:t>恢复工作，包括土地平整</w:t>
            </w:r>
            <w:r>
              <w:rPr>
                <w:rFonts w:hint="eastAsia" w:eastAsia="宋体"/>
              </w:rPr>
              <w:t>、复垦，以利于植被恢复</w:t>
            </w:r>
            <w:r>
              <w:rPr>
                <w:rFonts w:eastAsia="宋体"/>
              </w:rPr>
              <w:t>。</w:t>
            </w:r>
          </w:p>
          <w:p w14:paraId="4A6DE5C0">
            <w:pPr>
              <w:pStyle w:val="3"/>
              <w:ind w:firstLine="480"/>
              <w:rPr>
                <w:rFonts w:hint="default" w:eastAsia="宋体"/>
                <w:lang w:val="en-US" w:eastAsia="zh-CN"/>
              </w:rPr>
            </w:pPr>
            <w:r>
              <w:rPr>
                <w:rFonts w:hint="eastAsia" w:eastAsia="宋体"/>
              </w:rPr>
              <w:t>（3）</w:t>
            </w:r>
            <w:r>
              <w:rPr>
                <w:rFonts w:hint="eastAsia" w:eastAsia="宋体"/>
                <w:lang w:val="en-US" w:eastAsia="zh-CN"/>
              </w:rPr>
              <w:t>生态恢复方案</w:t>
            </w:r>
          </w:p>
          <w:p w14:paraId="6AA76630">
            <w:pPr>
              <w:pStyle w:val="3"/>
              <w:ind w:firstLine="480"/>
              <w:rPr>
                <w:rFonts w:hint="eastAsia" w:eastAsia="宋体"/>
                <w:lang w:eastAsia="zh-CN"/>
              </w:rPr>
            </w:pPr>
            <w:r>
              <w:rPr>
                <w:rFonts w:hint="eastAsia" w:eastAsia="宋体"/>
              </w:rPr>
              <w:t>在施工结束后，及时对本项目临时占地采取恢复措施，特别是在植被覆盖区要进行植被恢复，减小对景观的影响。清除施工遗留不利于作物生长的杂物，场地平整过程中掺入适量的作物秸秆或者农家肥增加土壤有机质含量，表层土翻松和田间灌排沟渠的配套恢复。施工结束后必须及时将地表建筑物及硬化地面全部拆除，清除施工垃圾和平整场地，对压实的表土进行深翻处理，恢复土地肥力，交由地方复耕。生态恢复以自然恢复为主，人工强化为辅，避免外来物种的入侵；根据不同土壤条件选用人工撒播、机械液压喷播或客土喷播等种植技术，使种子在较短时间内能萌发生长，植株迅速覆盖地面，使植被适应环境，达到较高的成活率和保育率，最终形成稳定的植物群落。按设计要求进一步完善区域各项保护措施包括植物、土地复垦等措施，确保工程前后项目区域损失与补偿的生物量达到平衡。在施工期结束后，落实临时占地的生态恢复措施，将施工前剥离保育的植物进行原地覆回，原占用的耕地要及时复垦。</w:t>
            </w:r>
          </w:p>
          <w:p w14:paraId="70751D92">
            <w:pPr>
              <w:pStyle w:val="3"/>
              <w:ind w:firstLine="480"/>
              <w:rPr>
                <w:rFonts w:eastAsia="宋体"/>
              </w:rPr>
            </w:pPr>
            <w:r>
              <w:rPr>
                <w:rFonts w:hint="eastAsia" w:eastAsia="宋体"/>
              </w:rPr>
              <w:t>（</w:t>
            </w:r>
            <w:r>
              <w:rPr>
                <w:rFonts w:hint="eastAsia" w:eastAsia="宋体"/>
                <w:lang w:val="en-US" w:eastAsia="zh-CN"/>
              </w:rPr>
              <w:t>4</w:t>
            </w:r>
            <w:r>
              <w:rPr>
                <w:rFonts w:hint="eastAsia" w:eastAsia="宋体"/>
              </w:rPr>
              <w:t>）小结</w:t>
            </w:r>
          </w:p>
          <w:p w14:paraId="7A148188">
            <w:pPr>
              <w:pStyle w:val="3"/>
              <w:ind w:firstLine="480"/>
              <w:rPr>
                <w:rFonts w:eastAsia="宋体"/>
              </w:rPr>
            </w:pPr>
            <w:r>
              <w:rPr>
                <w:rFonts w:hint="eastAsia" w:eastAsia="宋体"/>
              </w:rPr>
              <w:t>本项目在采取治理保护措施后，破坏的植被可逐步恢复，不会对当地的生物多样性造成破坏。土地复垦后，随着植物覆盖率的提高，水土流失过程将会减弱。本项目破坏的局部生态环境得到改善和恢复。</w:t>
            </w:r>
          </w:p>
          <w:p w14:paraId="72D57DD2">
            <w:pPr>
              <w:pStyle w:val="2"/>
              <w:ind w:firstLine="482" w:firstLineChars="200"/>
              <w:rPr>
                <w:rFonts w:eastAsia="宋体"/>
              </w:rPr>
            </w:pPr>
            <w:r>
              <w:rPr>
                <w:rFonts w:hint="eastAsia" w:eastAsia="宋体"/>
              </w:rPr>
              <w:t>2、大气环境</w:t>
            </w:r>
          </w:p>
          <w:p w14:paraId="27EB64D5">
            <w:pPr>
              <w:pStyle w:val="3"/>
              <w:ind w:firstLine="480"/>
              <w:rPr>
                <w:rFonts w:eastAsia="宋体"/>
              </w:rPr>
            </w:pPr>
            <w:r>
              <w:rPr>
                <w:rFonts w:hint="eastAsia" w:eastAsia="宋体"/>
              </w:rPr>
              <w:t>（1）污染防治措施</w:t>
            </w:r>
          </w:p>
          <w:p w14:paraId="65C62599">
            <w:pPr>
              <w:pStyle w:val="3"/>
              <w:ind w:firstLine="480"/>
              <w:rPr>
                <w:rFonts w:eastAsia="宋体"/>
              </w:rPr>
            </w:pPr>
            <w:r>
              <w:rPr>
                <w:rFonts w:hint="eastAsia" w:eastAsia="宋体"/>
              </w:rPr>
              <w:t>本项目废气主要为施工扬尘、汽车尾气和试采废气，事故状态下，采用柴油发电机供电，产生柴油机燃烧废气。污染防治措施有：</w:t>
            </w:r>
          </w:p>
          <w:p w14:paraId="3B344EE1">
            <w:pPr>
              <w:pStyle w:val="3"/>
              <w:ind w:firstLine="480"/>
              <w:rPr>
                <w:rFonts w:eastAsia="宋体"/>
              </w:rPr>
            </w:pPr>
            <w:r>
              <w:rPr>
                <w:rFonts w:hint="eastAsia" w:eastAsia="宋体"/>
              </w:rPr>
              <w:fldChar w:fldCharType="begin"/>
            </w:r>
            <w:r>
              <w:instrText xml:space="preserve"> = 1 \* GB3 </w:instrText>
            </w:r>
            <w:r>
              <w:rPr>
                <w:rFonts w:hint="eastAsia" w:eastAsia="宋体"/>
              </w:rPr>
              <w:fldChar w:fldCharType="separate"/>
            </w:r>
            <w:r>
              <w:rPr>
                <w:rFonts w:hint="eastAsia" w:eastAsia="宋体"/>
              </w:rPr>
              <w:t>①</w:t>
            </w:r>
            <w:r>
              <w:rPr>
                <w:rFonts w:hint="eastAsia" w:eastAsia="宋体"/>
              </w:rPr>
              <w:fldChar w:fldCharType="end"/>
            </w:r>
            <w:r>
              <w:rPr>
                <w:rFonts w:hint="eastAsia" w:eastAsia="宋体"/>
              </w:rPr>
              <w:t>施工现场采取措施抑制扬尘，井场施工或作业时，应采取收集、利用处理等措施，减少颗粒物的排放。设置围栏或部分围栏，缩小施工扬尘的扩散范围，对施工集中区进行喷洒作业，以减少大气中浮尘及扬尘来源，减轻对动植物的干扰；</w:t>
            </w:r>
          </w:p>
          <w:p w14:paraId="5603910D">
            <w:pPr>
              <w:pStyle w:val="3"/>
              <w:ind w:firstLine="480"/>
              <w:rPr>
                <w:rFonts w:eastAsia="宋体"/>
              </w:rPr>
            </w:pPr>
            <w:r>
              <w:rPr>
                <w:rFonts w:hint="eastAsia" w:eastAsia="宋体"/>
              </w:rPr>
              <w:fldChar w:fldCharType="begin"/>
            </w:r>
            <w:r>
              <w:instrText xml:space="preserve"> = 2 \* GB3 </w:instrText>
            </w:r>
            <w:r>
              <w:rPr>
                <w:rFonts w:hint="eastAsia" w:eastAsia="宋体"/>
              </w:rPr>
              <w:fldChar w:fldCharType="separate"/>
            </w:r>
            <w:r>
              <w:rPr>
                <w:rFonts w:hint="eastAsia" w:eastAsia="宋体"/>
              </w:rPr>
              <w:t>②</w:t>
            </w:r>
            <w:r>
              <w:rPr>
                <w:rFonts w:hint="eastAsia" w:eastAsia="宋体"/>
              </w:rPr>
              <w:fldChar w:fldCharType="end"/>
            </w:r>
            <w:r>
              <w:rPr>
                <w:rFonts w:hint="eastAsia" w:eastAsia="宋体"/>
              </w:rPr>
              <w:t>井场内便道采用铺设钻杆排的方式，减少施工现场车辆及器械在运输过程中对土壤的扰动，避免碾压周围地区的植被，减少运输过程中的扬尘；</w:t>
            </w:r>
          </w:p>
          <w:p w14:paraId="2661749F">
            <w:pPr>
              <w:pStyle w:val="3"/>
              <w:ind w:firstLine="480"/>
              <w:rPr>
                <w:rFonts w:eastAsia="宋体"/>
              </w:rPr>
            </w:pPr>
            <w:r>
              <w:rPr>
                <w:rFonts w:hint="eastAsia" w:eastAsia="宋体"/>
              </w:rPr>
              <w:fldChar w:fldCharType="begin"/>
            </w:r>
            <w:r>
              <w:instrText xml:space="preserve"> = 3 \* GB3 </w:instrText>
            </w:r>
            <w:r>
              <w:rPr>
                <w:rFonts w:hint="eastAsia" w:eastAsia="宋体"/>
              </w:rPr>
              <w:fldChar w:fldCharType="separate"/>
            </w:r>
            <w:r>
              <w:rPr>
                <w:rFonts w:hint="eastAsia" w:eastAsia="宋体"/>
              </w:rPr>
              <w:t>③</w:t>
            </w:r>
            <w:r>
              <w:rPr>
                <w:rFonts w:hint="eastAsia" w:eastAsia="宋体"/>
              </w:rPr>
              <w:fldChar w:fldCharType="end"/>
            </w:r>
            <w:r>
              <w:rPr>
                <w:rFonts w:hint="eastAsia" w:eastAsia="宋体"/>
              </w:rPr>
              <w:t>在勘探井场进行合理化管理，设置泥浆储罐、柴油储罐以及固体废物暂存区，尽量减少搬运环节，减少材料混放对地表的扰动影响；</w:t>
            </w:r>
          </w:p>
          <w:p w14:paraId="25746BD0">
            <w:pPr>
              <w:pStyle w:val="3"/>
              <w:ind w:firstLine="480"/>
              <w:rPr>
                <w:rFonts w:eastAsia="宋体"/>
              </w:rPr>
            </w:pPr>
            <w:r>
              <w:rPr>
                <w:rFonts w:hint="eastAsia" w:eastAsia="宋体"/>
              </w:rPr>
              <w:fldChar w:fldCharType="begin"/>
            </w:r>
            <w:r>
              <w:instrText xml:space="preserve"> = 4 \* GB3 </w:instrText>
            </w:r>
            <w:r>
              <w:rPr>
                <w:rFonts w:hint="eastAsia" w:eastAsia="宋体"/>
              </w:rPr>
              <w:fldChar w:fldCharType="separate"/>
            </w:r>
            <w:r>
              <w:rPr>
                <w:rFonts w:hint="eastAsia" w:eastAsia="宋体"/>
              </w:rPr>
              <w:t>④</w:t>
            </w:r>
            <w:r>
              <w:rPr>
                <w:rFonts w:hint="eastAsia" w:eastAsia="宋体"/>
              </w:rPr>
              <w:fldChar w:fldCharType="end"/>
            </w:r>
            <w:r>
              <w:rPr>
                <w:rFonts w:hint="eastAsia" w:eastAsia="宋体"/>
              </w:rPr>
              <w:t>保持运输车辆完好，尽量采取遮盖、密闭措施，减少沿程抛洒，及时清扫散落在地面的泥土和建筑材料，减少运输过程中的扬尘；</w:t>
            </w:r>
          </w:p>
          <w:p w14:paraId="1DAA5099">
            <w:pPr>
              <w:pStyle w:val="3"/>
              <w:ind w:firstLine="480"/>
              <w:rPr>
                <w:rFonts w:eastAsia="宋体"/>
              </w:rPr>
            </w:pPr>
            <w:r>
              <w:rPr>
                <w:rFonts w:hint="eastAsia" w:eastAsia="宋体"/>
              </w:rPr>
              <w:fldChar w:fldCharType="begin"/>
            </w:r>
            <w:r>
              <w:instrText xml:space="preserve"> = 5 \* GB3 </w:instrText>
            </w:r>
            <w:r>
              <w:rPr>
                <w:rFonts w:hint="eastAsia" w:eastAsia="宋体"/>
              </w:rPr>
              <w:fldChar w:fldCharType="separate"/>
            </w:r>
            <w:r>
              <w:rPr>
                <w:rFonts w:hint="eastAsia" w:eastAsia="宋体"/>
              </w:rPr>
              <w:t>⑤</w:t>
            </w:r>
            <w:r>
              <w:rPr>
                <w:rFonts w:hint="eastAsia" w:eastAsia="宋体"/>
              </w:rPr>
              <w:fldChar w:fldCharType="end"/>
            </w:r>
            <w:r>
              <w:rPr>
                <w:rFonts w:hint="eastAsia" w:eastAsia="宋体"/>
              </w:rPr>
              <w:t>该项目在电网覆盖区域内，钻井优先选用网电，减少废气污染物排放；</w:t>
            </w:r>
          </w:p>
          <w:p w14:paraId="681814F0">
            <w:pPr>
              <w:pStyle w:val="3"/>
              <w:ind w:firstLine="480"/>
              <w:rPr>
                <w:rFonts w:eastAsia="宋体"/>
              </w:rPr>
            </w:pPr>
            <w:r>
              <w:rPr>
                <w:rFonts w:hint="eastAsia" w:eastAsia="宋体"/>
              </w:rPr>
              <w:fldChar w:fldCharType="begin"/>
            </w:r>
            <w:r>
              <w:instrText xml:space="preserve"> = 6 \* GB3 </w:instrText>
            </w:r>
            <w:r>
              <w:rPr>
                <w:rFonts w:hint="eastAsia" w:eastAsia="宋体"/>
              </w:rPr>
              <w:fldChar w:fldCharType="separate"/>
            </w:r>
            <w:r>
              <w:rPr>
                <w:rFonts w:hint="eastAsia" w:eastAsia="宋体"/>
              </w:rPr>
              <w:t>⑥</w:t>
            </w:r>
            <w:r>
              <w:rPr>
                <w:rFonts w:hint="eastAsia" w:eastAsia="宋体"/>
              </w:rPr>
              <w:fldChar w:fldCharType="end"/>
            </w:r>
            <w:r>
              <w:rPr>
                <w:rFonts w:hint="eastAsia" w:eastAsia="宋体"/>
              </w:rPr>
              <w:t>做好柴油机维修与保养，确保应急状态下柴油发电机始终保持良好的工作状态，防止产生事故黑烟；采用符合国标的油料，减少污染物排放。</w:t>
            </w:r>
          </w:p>
          <w:p w14:paraId="4EBD3C0D">
            <w:pPr>
              <w:pStyle w:val="3"/>
              <w:ind w:firstLine="480"/>
              <w:rPr>
                <w:rFonts w:eastAsia="宋体"/>
              </w:rPr>
            </w:pPr>
            <w:r>
              <w:rPr>
                <w:rFonts w:hint="eastAsia" w:eastAsia="宋体"/>
              </w:rPr>
              <w:t>（2）小结</w:t>
            </w:r>
          </w:p>
          <w:p w14:paraId="108BC13E">
            <w:pPr>
              <w:pStyle w:val="3"/>
              <w:ind w:firstLine="480"/>
              <w:rPr>
                <w:rFonts w:eastAsia="宋体"/>
              </w:rPr>
            </w:pPr>
            <w:r>
              <w:rPr>
                <w:rFonts w:hint="eastAsia" w:eastAsia="宋体"/>
              </w:rPr>
              <w:t>本项目施工期在采取上述措施后，对周边大气环境影响可接受。</w:t>
            </w:r>
          </w:p>
          <w:p w14:paraId="0B20A432">
            <w:pPr>
              <w:pStyle w:val="2"/>
              <w:ind w:firstLine="482" w:firstLineChars="200"/>
              <w:rPr>
                <w:rFonts w:eastAsia="宋体"/>
              </w:rPr>
            </w:pPr>
            <w:r>
              <w:rPr>
                <w:rFonts w:hint="eastAsia" w:eastAsia="宋体"/>
              </w:rPr>
              <w:t>3、地表水</w:t>
            </w:r>
          </w:p>
          <w:p w14:paraId="0A4A5EE4">
            <w:pPr>
              <w:pStyle w:val="3"/>
              <w:ind w:firstLine="480"/>
              <w:rPr>
                <w:rFonts w:eastAsia="宋体"/>
              </w:rPr>
            </w:pPr>
            <w:r>
              <w:rPr>
                <w:rFonts w:hint="eastAsia" w:eastAsia="宋体"/>
              </w:rPr>
              <w:t>（1）污染防治措施</w:t>
            </w:r>
          </w:p>
          <w:p w14:paraId="6D8D3DAE">
            <w:pPr>
              <w:pStyle w:val="3"/>
              <w:ind w:firstLine="480"/>
              <w:rPr>
                <w:rFonts w:eastAsia="宋体"/>
              </w:rPr>
            </w:pPr>
            <w:r>
              <w:rPr>
                <w:rFonts w:hint="eastAsia" w:eastAsia="宋体"/>
              </w:rPr>
              <w:t>本项目产生的废水主要为钻井废水、洗井废水、压裂废水和生活污水。</w:t>
            </w:r>
          </w:p>
          <w:p w14:paraId="6F0231E3">
            <w:pPr>
              <w:pStyle w:val="3"/>
              <w:ind w:firstLine="480"/>
              <w:rPr>
                <w:rFonts w:eastAsia="宋体"/>
              </w:rPr>
            </w:pPr>
            <w:r>
              <w:rPr>
                <w:rFonts w:hint="eastAsia" w:eastAsia="宋体"/>
              </w:rPr>
              <w:fldChar w:fldCharType="begin"/>
            </w:r>
            <w:r>
              <w:instrText xml:space="preserve"> = 1 \* GB3 </w:instrText>
            </w:r>
            <w:r>
              <w:rPr>
                <w:rFonts w:hint="eastAsia" w:eastAsia="宋体"/>
              </w:rPr>
              <w:fldChar w:fldCharType="separate"/>
            </w:r>
            <w:r>
              <w:rPr>
                <w:rFonts w:hint="eastAsia" w:eastAsia="宋体"/>
              </w:rPr>
              <w:t>①</w:t>
            </w:r>
            <w:r>
              <w:rPr>
                <w:rFonts w:hint="eastAsia" w:eastAsia="宋体"/>
              </w:rPr>
              <w:fldChar w:fldCharType="end"/>
            </w:r>
            <w:r>
              <w:rPr>
                <w:rFonts w:hint="eastAsia" w:eastAsia="宋体"/>
              </w:rPr>
              <w:t>减少废水产生：钻井期间不使用新鲜水冲洗设备，以减少井场施工时废水的产生。对材料堆放区加设</w:t>
            </w:r>
            <w:r>
              <w:rPr>
                <w:rFonts w:hint="eastAsia" w:eastAsia="宋体"/>
                <w:lang w:eastAsia="zh-CN"/>
              </w:rPr>
              <w:t>顶棚</w:t>
            </w:r>
            <w:r>
              <w:rPr>
                <w:rFonts w:hint="eastAsia" w:eastAsia="宋体"/>
              </w:rPr>
              <w:t>，防止雨水淋沥、浸泡造成污染。完井后剩余的储备钻井液应进行回收集中处理，不得排入钻井废水中。</w:t>
            </w:r>
          </w:p>
          <w:p w14:paraId="3FF46FFE">
            <w:pPr>
              <w:pStyle w:val="3"/>
              <w:ind w:firstLine="480"/>
              <w:rPr>
                <w:rFonts w:eastAsia="宋体"/>
              </w:rPr>
            </w:pPr>
            <w:r>
              <w:rPr>
                <w:rFonts w:hint="eastAsia" w:eastAsia="宋体"/>
              </w:rPr>
              <w:fldChar w:fldCharType="begin"/>
            </w:r>
            <w:r>
              <w:instrText xml:space="preserve"> = 2 \* GB3 </w:instrText>
            </w:r>
            <w:r>
              <w:rPr>
                <w:rFonts w:hint="eastAsia" w:eastAsia="宋体"/>
              </w:rPr>
              <w:fldChar w:fldCharType="separate"/>
            </w:r>
            <w:r>
              <w:rPr>
                <w:rFonts w:hint="eastAsia" w:eastAsia="宋体"/>
              </w:rPr>
              <w:t>②</w:t>
            </w:r>
            <w:r>
              <w:rPr>
                <w:rFonts w:hint="eastAsia" w:eastAsia="宋体"/>
              </w:rPr>
              <w:fldChar w:fldCharType="end"/>
            </w:r>
            <w:r>
              <w:rPr>
                <w:rFonts w:hint="eastAsia" w:eastAsia="宋体"/>
              </w:rPr>
              <w:t>井场废水收集措施：井场雨水根据污染及未受污染分开处理，钻井井场设置雨污分流系统，在井场周围设置界沟，界沟尺寸不小于0.8m×0.3m×0.6m（上底×下底×深度），将井场作业范围与毗邻的农田分隔，用于排泄井场内未污染的雨水。井场内未受污染的雨水通过界沟外排，污染的雨水排入井场内的初期雨水池，再泵入泥浆不落地处理系统。</w:t>
            </w:r>
          </w:p>
          <w:p w14:paraId="4372F0A9">
            <w:pPr>
              <w:pStyle w:val="3"/>
              <w:ind w:firstLine="480"/>
              <w:rPr>
                <w:rFonts w:eastAsia="宋体"/>
              </w:rPr>
            </w:pPr>
            <w:r>
              <w:rPr>
                <w:rFonts w:hint="eastAsia" w:eastAsia="宋体"/>
              </w:rPr>
              <w:t>井场井架基础平台周围、机房、泥浆泵区、循环罐区设置</w:t>
            </w:r>
            <w:r>
              <w:rPr>
                <w:rFonts w:hint="eastAsia" w:eastAsia="宋体"/>
                <w:lang w:eastAsia="zh-CN"/>
              </w:rPr>
              <w:t>围堰</w:t>
            </w:r>
            <w:r>
              <w:rPr>
                <w:rFonts w:hint="eastAsia" w:eastAsia="宋体"/>
              </w:rPr>
              <w:t>；发电房和油罐区四周设置环形截污沟，并配备污油回收罐（桶）；排污沟尺寸不小于上底×下底×深=0.4m×0.3m×0.3m，排水纵坡不小于 1%，沟壁坡度不小于1:0.2。</w:t>
            </w:r>
          </w:p>
          <w:p w14:paraId="3D8EE682">
            <w:pPr>
              <w:pStyle w:val="3"/>
              <w:ind w:firstLine="480"/>
              <w:rPr>
                <w:rFonts w:eastAsia="宋体"/>
              </w:rPr>
            </w:pPr>
            <w:r>
              <w:rPr>
                <w:rFonts w:hint="eastAsia" w:eastAsia="宋体"/>
              </w:rPr>
              <w:fldChar w:fldCharType="begin"/>
            </w:r>
            <w:r>
              <w:instrText xml:space="preserve"> = 3 \* GB3 </w:instrText>
            </w:r>
            <w:r>
              <w:rPr>
                <w:rFonts w:hint="eastAsia" w:eastAsia="宋体"/>
              </w:rPr>
              <w:fldChar w:fldCharType="separate"/>
            </w:r>
            <w:r>
              <w:rPr>
                <w:rFonts w:hint="eastAsia" w:eastAsia="宋体"/>
              </w:rPr>
              <w:t>③</w:t>
            </w:r>
            <w:r>
              <w:rPr>
                <w:rFonts w:hint="eastAsia" w:eastAsia="宋体"/>
              </w:rPr>
              <w:fldChar w:fldCharType="end"/>
            </w:r>
            <w:r>
              <w:rPr>
                <w:rFonts w:hint="eastAsia" w:eastAsia="宋体"/>
              </w:rPr>
              <w:t>废水处置措施：井场钻井期产生的钻井废水部分用于配制泥浆，剩余部分钻井废水经收集后进入废水罐中就近通过槽罐车清运至联合站进行处理，经处理达标后回注地下，不向外环境排放。洗井废水及压裂废水收集后通过槽罐车清运至联合站的废</w:t>
            </w:r>
            <w:r>
              <w:rPr>
                <w:rFonts w:hint="eastAsia" w:eastAsia="宋体"/>
                <w:lang w:val="en-US" w:eastAsia="zh-CN"/>
              </w:rPr>
              <w:t>水</w:t>
            </w:r>
            <w:r>
              <w:rPr>
                <w:rFonts w:hint="eastAsia" w:eastAsia="宋体"/>
              </w:rPr>
              <w:t>处理站进行处理，经处理达标后回注地下，不向外环境排放。</w:t>
            </w:r>
          </w:p>
          <w:p w14:paraId="662CF6F6">
            <w:pPr>
              <w:pStyle w:val="3"/>
              <w:ind w:firstLine="480"/>
              <w:rPr>
                <w:rFonts w:eastAsia="宋体"/>
                <w:color w:val="FF0000"/>
              </w:rPr>
            </w:pPr>
            <w:r>
              <w:rPr>
                <w:rFonts w:hint="eastAsia" w:eastAsia="宋体"/>
              </w:rPr>
              <w:fldChar w:fldCharType="begin"/>
            </w:r>
            <w:r>
              <w:instrText xml:space="preserve"> = 4 \* GB3 </w:instrText>
            </w:r>
            <w:r>
              <w:rPr>
                <w:rFonts w:hint="eastAsia" w:eastAsia="宋体"/>
              </w:rPr>
              <w:fldChar w:fldCharType="separate"/>
            </w:r>
            <w:r>
              <w:rPr>
                <w:rFonts w:hint="eastAsia" w:eastAsia="宋体"/>
              </w:rPr>
              <w:t>④</w:t>
            </w:r>
            <w:r>
              <w:rPr>
                <w:rFonts w:hint="eastAsia" w:eastAsia="宋体"/>
              </w:rPr>
              <w:fldChar w:fldCharType="end"/>
            </w:r>
            <w:r>
              <w:rPr>
                <w:rFonts w:hint="eastAsia" w:eastAsia="宋体"/>
              </w:rPr>
              <w:t>生活污水处理措施：</w:t>
            </w:r>
            <w:r>
              <w:rPr>
                <w:rFonts w:hint="eastAsia" w:eastAsia="宋体"/>
                <w:color w:val="auto"/>
              </w:rPr>
              <w:t>井场施工人员住宿及生活主要依托</w:t>
            </w:r>
            <w:r>
              <w:rPr>
                <w:rFonts w:hint="eastAsia" w:eastAsia="宋体"/>
                <w:color w:val="auto"/>
                <w:lang w:val="en-US" w:eastAsia="zh-CN"/>
              </w:rPr>
              <w:t>就近</w:t>
            </w:r>
            <w:r>
              <w:rPr>
                <w:rFonts w:hint="eastAsia" w:eastAsia="宋体"/>
                <w:color w:val="auto"/>
              </w:rPr>
              <w:t>的</w:t>
            </w:r>
            <w:r>
              <w:rPr>
                <w:rFonts w:hint="eastAsia" w:eastAsia="宋体"/>
                <w:color w:val="auto"/>
                <w:lang w:val="en-US" w:eastAsia="zh-CN"/>
              </w:rPr>
              <w:t>宾馆</w:t>
            </w:r>
            <w:r>
              <w:rPr>
                <w:rFonts w:hint="eastAsia" w:eastAsia="宋体"/>
                <w:color w:val="auto"/>
              </w:rPr>
              <w:t>，井场内不设生活区域</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在施工现场设置</w:t>
            </w:r>
            <w:r>
              <w:rPr>
                <w:rFonts w:hint="eastAsia" w:eastAsia="宋体"/>
                <w:color w:val="000000" w:themeColor="text1"/>
                <w14:textFill>
                  <w14:solidFill>
                    <w14:schemeClr w14:val="tx1"/>
                  </w14:solidFill>
                </w14:textFill>
              </w:rPr>
              <w:t>钻井队便携式公共厕所</w:t>
            </w:r>
            <w:r>
              <w:rPr>
                <w:rFonts w:hint="eastAsia" w:eastAsia="宋体"/>
                <w:color w:val="000000" w:themeColor="text1"/>
                <w:lang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处理工艺和设备详见附件13</w:t>
            </w:r>
            <w:r>
              <w:rPr>
                <w:rFonts w:hint="eastAsia" w:eastAsia="宋体"/>
                <w:color w:val="000000" w:themeColor="text1"/>
                <w:lang w:eastAsia="zh-CN"/>
                <w14:textFill>
                  <w14:solidFill>
                    <w14:schemeClr w14:val="tx1"/>
                  </w14:solidFill>
                </w14:textFill>
              </w:rPr>
              <w:t>）</w:t>
            </w:r>
            <w:r>
              <w:rPr>
                <w:rFonts w:eastAsia="宋体"/>
                <w:color w:val="000000" w:themeColor="text1"/>
                <w14:textFill>
                  <w14:solidFill>
                    <w14:schemeClr w14:val="tx1"/>
                  </w14:solidFill>
                </w14:textFill>
              </w:rPr>
              <w:t>，</w:t>
            </w:r>
            <w:r>
              <w:rPr>
                <w:rFonts w:hint="eastAsia" w:eastAsia="宋体"/>
                <w:color w:val="000000" w:themeColor="text1"/>
                <w:lang w:val="en-US" w:eastAsia="zh-CN"/>
                <w14:textFill>
                  <w14:solidFill>
                    <w14:schemeClr w14:val="tx1"/>
                  </w14:solidFill>
                </w14:textFill>
              </w:rPr>
              <w:t>处理后的生活污水作为</w:t>
            </w:r>
            <w:r>
              <w:rPr>
                <w:rFonts w:hint="eastAsia" w:eastAsia="宋体"/>
                <w:color w:val="000000" w:themeColor="text1"/>
                <w14:textFill>
                  <w14:solidFill>
                    <w14:schemeClr w14:val="tx1"/>
                  </w14:solidFill>
                </w14:textFill>
              </w:rPr>
              <w:t>钻井队便携式公共厕所</w:t>
            </w:r>
            <w:r>
              <w:rPr>
                <w:rFonts w:hint="eastAsia" w:eastAsia="宋体"/>
                <w:color w:val="000000" w:themeColor="text1"/>
                <w:lang w:val="en-US" w:eastAsia="zh-CN"/>
                <w14:textFill>
                  <w14:solidFill>
                    <w14:schemeClr w14:val="tx1"/>
                  </w14:solidFill>
                </w14:textFill>
              </w:rPr>
              <w:t>冲洗水循环使用不外排</w:t>
            </w:r>
            <w:r>
              <w:rPr>
                <w:rFonts w:hint="eastAsia" w:eastAsia="宋体"/>
                <w:color w:val="000000" w:themeColor="text1"/>
                <w14:textFill>
                  <w14:solidFill>
                    <w14:schemeClr w14:val="tx1"/>
                  </w14:solidFill>
                </w14:textFill>
              </w:rPr>
              <w:t>，</w:t>
            </w:r>
            <w:r>
              <w:rPr>
                <w:rFonts w:hint="eastAsia" w:eastAsia="宋体"/>
                <w:color w:val="000000" w:themeColor="text1"/>
                <w:lang w:val="en-US" w:eastAsia="zh-CN"/>
                <w14:textFill>
                  <w14:solidFill>
                    <w14:schemeClr w14:val="tx1"/>
                  </w14:solidFill>
                </w14:textFill>
              </w:rPr>
              <w:t>待勘探结束后将</w:t>
            </w:r>
            <w:r>
              <w:rPr>
                <w:rFonts w:hint="eastAsia" w:eastAsia="宋体"/>
                <w:color w:val="000000" w:themeColor="text1"/>
                <w14:textFill>
                  <w14:solidFill>
                    <w14:schemeClr w14:val="tx1"/>
                  </w14:solidFill>
                </w14:textFill>
              </w:rPr>
              <w:t>钻井队便携式公共厕所</w:t>
            </w:r>
            <w:r>
              <w:rPr>
                <w:rFonts w:hint="eastAsia" w:eastAsia="宋体"/>
                <w:color w:val="000000" w:themeColor="text1"/>
                <w:lang w:val="en-US" w:eastAsia="zh-CN"/>
                <w14:textFill>
                  <w14:solidFill>
                    <w14:schemeClr w14:val="tx1"/>
                  </w14:solidFill>
                </w14:textFill>
              </w:rPr>
              <w:t>运至下一处项目，生活污水不外排</w:t>
            </w:r>
            <w:r>
              <w:rPr>
                <w:rFonts w:eastAsia="宋体"/>
                <w:color w:val="000000" w:themeColor="text1"/>
                <w14:textFill>
                  <w14:solidFill>
                    <w14:schemeClr w14:val="tx1"/>
                  </w14:solidFill>
                </w14:textFill>
              </w:rPr>
              <w:t>。</w:t>
            </w:r>
          </w:p>
          <w:p w14:paraId="6238D709">
            <w:pPr>
              <w:pStyle w:val="3"/>
              <w:ind w:firstLine="480"/>
              <w:rPr>
                <w:rFonts w:eastAsia="宋体"/>
              </w:rPr>
            </w:pPr>
            <w:r>
              <w:rPr>
                <w:rFonts w:hint="eastAsia" w:eastAsia="宋体"/>
              </w:rPr>
              <w:t>（2）依托的联合站的治理可行性分析</w:t>
            </w:r>
          </w:p>
          <w:p w14:paraId="545A527A">
            <w:pPr>
              <w:pStyle w:val="3"/>
              <w:ind w:firstLine="480"/>
              <w:rPr>
                <w:rFonts w:hint="eastAsia" w:eastAsia="宋体"/>
                <w:highlight w:val="none"/>
                <w:lang w:val="en-US" w:eastAsia="zh-CN"/>
              </w:rPr>
            </w:pPr>
            <w:r>
              <w:rPr>
                <w:rFonts w:hint="eastAsia" w:eastAsia="宋体"/>
                <w:highlight w:val="none"/>
              </w:rPr>
              <w:t>本项目位于</w:t>
            </w:r>
            <w:r>
              <w:rPr>
                <w:rFonts w:hint="eastAsia" w:eastAsia="宋体"/>
                <w:highlight w:val="none"/>
                <w:lang w:val="en-US" w:eastAsia="zh-CN"/>
              </w:rPr>
              <w:t>高邮市汤庄镇内</w:t>
            </w:r>
            <w:r>
              <w:rPr>
                <w:rFonts w:hint="eastAsia" w:eastAsia="宋体"/>
                <w:highlight w:val="none"/>
              </w:rPr>
              <w:t>，根据就近处理原则，废水由槽罐车运输至</w:t>
            </w:r>
            <w:r>
              <w:rPr>
                <w:rFonts w:hint="eastAsia" w:eastAsia="宋体"/>
                <w:highlight w:val="none"/>
                <w:lang w:val="en-US" w:eastAsia="zh-CN"/>
              </w:rPr>
              <w:t>沙埝</w:t>
            </w:r>
            <w:r>
              <w:rPr>
                <w:rFonts w:hint="eastAsia" w:eastAsia="宋体"/>
                <w:highlight w:val="none"/>
              </w:rPr>
              <w:t>联合站污水处理站进行处理</w:t>
            </w:r>
            <w:r>
              <w:rPr>
                <w:rFonts w:hint="eastAsia" w:eastAsia="宋体"/>
                <w:color w:val="auto"/>
              </w:rPr>
              <w:t>。</w:t>
            </w:r>
          </w:p>
          <w:p w14:paraId="61C33149">
            <w:pPr>
              <w:pStyle w:val="3"/>
              <w:ind w:firstLine="480"/>
              <w:rPr>
                <w:rFonts w:hint="default" w:eastAsia="宋体"/>
                <w:highlight w:val="none"/>
                <w:lang w:val="en-US" w:eastAsia="zh-CN"/>
              </w:rPr>
            </w:pPr>
            <w:r>
              <w:rPr>
                <w:rFonts w:hint="eastAsia" w:eastAsia="宋体"/>
                <w:highlight w:val="none"/>
              </w:rPr>
              <w:t>勘探过程中废水处理按照《钻井工程污染防治规范》（Q/SH0238-2009）要求进行，农田内的井场在四周挖边沟或围土堤，雨水均进入泥浆循环系统，勘探期间钻井废水、废钻井液进入废水罐暂存，在钻井施工过程中，钻井废水通过槽罐车拖运至各依托站场处理后用于开采回注</w:t>
            </w:r>
            <w:r>
              <w:rPr>
                <w:rFonts w:hint="eastAsia" w:eastAsia="宋体"/>
                <w:highlight w:val="none"/>
                <w:lang w:eastAsia="zh-CN"/>
              </w:rPr>
              <w:t>。</w:t>
            </w:r>
          </w:p>
          <w:p w14:paraId="37368B4D">
            <w:pPr>
              <w:pStyle w:val="3"/>
              <w:ind w:firstLine="480"/>
              <w:rPr>
                <w:rFonts w:hint="default" w:ascii="Times New Roman" w:hAnsi="Times New Roman" w:eastAsia="宋体" w:cs="Times New Roman"/>
                <w:lang w:val="en-US" w:eastAsia="zh-CN"/>
              </w:rPr>
            </w:pPr>
            <w:r>
              <w:rPr>
                <w:rFonts w:hint="eastAsia" w:eastAsia="宋体"/>
              </w:rPr>
              <w:t>依托</w:t>
            </w:r>
            <w:r>
              <w:rPr>
                <w:rFonts w:hint="eastAsia" w:eastAsia="宋体"/>
                <w:lang w:val="en-US" w:eastAsia="zh-CN"/>
              </w:rPr>
              <w:t>沙埝</w:t>
            </w:r>
            <w:r>
              <w:rPr>
                <w:rFonts w:hint="eastAsia" w:eastAsia="宋体"/>
              </w:rPr>
              <w:t>联合站的治理可行性分析</w:t>
            </w:r>
          </w:p>
          <w:p w14:paraId="721ECF73">
            <w:pPr>
              <w:pStyle w:val="3"/>
              <w:ind w:firstLine="480"/>
              <w:rPr>
                <w:rFonts w:hint="eastAsia" w:eastAsia="宋体"/>
                <w:highlight w:val="none"/>
                <w:lang w:val="en-US" w:eastAsia="zh-CN"/>
              </w:rPr>
            </w:pPr>
            <w:r>
              <w:rPr>
                <w:rFonts w:hint="eastAsia" w:ascii="宋体" w:hAnsi="宋体" w:eastAsia="宋体" w:cs="宋体"/>
                <w:lang w:val="en-US" w:eastAsia="zh-CN"/>
              </w:rPr>
              <w:t>沙埝</w:t>
            </w:r>
            <w:r>
              <w:rPr>
                <w:rFonts w:hint="eastAsia" w:ascii="宋体" w:hAnsi="宋体" w:eastAsia="宋体" w:cs="宋体"/>
              </w:rPr>
              <w:t>联合站</w:t>
            </w:r>
            <w:r>
              <w:rPr>
                <w:rFonts w:hint="eastAsia" w:ascii="宋体" w:hAnsi="宋体" w:eastAsia="宋体" w:cs="宋体"/>
                <w:lang w:val="en-US" w:eastAsia="zh-CN"/>
              </w:rPr>
              <w:t>位于</w:t>
            </w:r>
            <w:r>
              <w:rPr>
                <w:rFonts w:hint="eastAsia" w:ascii="宋体" w:hAnsi="宋体" w:eastAsia="宋体" w:cs="宋体"/>
              </w:rPr>
              <w:t>高邮市三垛镇，占地面积</w:t>
            </w:r>
            <w:r>
              <w:rPr>
                <w:rFonts w:hint="eastAsia" w:ascii="Times New Roman" w:hAnsi="Times New Roman" w:eastAsia="宋体" w:cs="Times New Roman"/>
                <w:lang w:val="en-US" w:eastAsia="zh-CN"/>
              </w:rPr>
              <w:t>13200</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eastAsia" w:eastAsia="宋体" w:cs="Times New Roman"/>
                <w:vertAlign w:val="baseline"/>
                <w:lang w:eastAsia="zh-CN"/>
              </w:rPr>
              <w:t>，</w:t>
            </w:r>
            <w:r>
              <w:rPr>
                <w:rFonts w:hint="eastAsia" w:eastAsia="宋体" w:cs="Times New Roman"/>
                <w:vertAlign w:val="baseline"/>
                <w:lang w:val="en-US" w:eastAsia="zh-CN"/>
              </w:rPr>
              <w:t>距离本项目约10km</w:t>
            </w:r>
            <w:r>
              <w:rPr>
                <w:rFonts w:hint="eastAsia" w:ascii="宋体" w:hAnsi="宋体" w:eastAsia="宋体" w:cs="宋体"/>
              </w:rPr>
              <w:t>。该站建立于</w:t>
            </w:r>
            <w:r>
              <w:rPr>
                <w:rFonts w:hint="default" w:ascii="Times New Roman" w:hAnsi="Times New Roman" w:eastAsia="宋体" w:cs="Times New Roman"/>
              </w:rPr>
              <w:t>19</w:t>
            </w:r>
            <w:r>
              <w:rPr>
                <w:rFonts w:hint="eastAsia" w:ascii="Times New Roman" w:hAnsi="Times New Roman" w:eastAsia="宋体" w:cs="Times New Roman"/>
                <w:lang w:val="en-US" w:eastAsia="zh-CN"/>
              </w:rPr>
              <w:t>99</w:t>
            </w:r>
            <w:r>
              <w:rPr>
                <w:rFonts w:hint="eastAsia" w:ascii="宋体" w:hAnsi="宋体" w:eastAsia="宋体" w:cs="宋体"/>
              </w:rPr>
              <w:t>年</w:t>
            </w:r>
            <w:r>
              <w:rPr>
                <w:rFonts w:hint="default" w:ascii="Times New Roman" w:hAnsi="Times New Roman" w:eastAsia="宋体" w:cs="Times New Roman"/>
              </w:rPr>
              <w:t>7</w:t>
            </w:r>
            <w:r>
              <w:rPr>
                <w:rFonts w:hint="eastAsia" w:ascii="宋体" w:hAnsi="宋体" w:eastAsia="宋体" w:cs="宋体"/>
              </w:rPr>
              <w:t>月，负担</w:t>
            </w:r>
            <w:r>
              <w:rPr>
                <w:rFonts w:hint="eastAsia" w:ascii="宋体" w:hAnsi="宋体" w:eastAsia="宋体" w:cs="宋体"/>
                <w:lang w:val="en-US" w:eastAsia="zh-CN"/>
              </w:rPr>
              <w:t>花庄、发财庄和沙埝</w:t>
            </w:r>
            <w:r>
              <w:rPr>
                <w:rFonts w:hint="eastAsia" w:ascii="宋体" w:hAnsi="宋体" w:eastAsia="宋体" w:cs="宋体"/>
              </w:rPr>
              <w:t>区块来液输送、供热、污水处理与回注等任务。</w:t>
            </w:r>
            <w:r>
              <w:rPr>
                <w:rFonts w:hint="eastAsia" w:ascii="宋体" w:hAnsi="宋体" w:eastAsia="宋体" w:cs="宋体"/>
                <w:lang w:eastAsia="zh-CN"/>
              </w:rPr>
              <w:t>沙埝联合站</w:t>
            </w:r>
            <w:r>
              <w:rPr>
                <w:rFonts w:hint="eastAsia" w:ascii="宋体" w:hAnsi="宋体" w:eastAsia="宋体" w:cs="宋体"/>
              </w:rPr>
              <w:t>设计日处理能力</w:t>
            </w:r>
            <w:r>
              <w:rPr>
                <w:rFonts w:hint="eastAsia" w:eastAsia="宋体" w:cs="Times New Roman"/>
                <w:lang w:val="en-US" w:eastAsia="zh-CN"/>
              </w:rPr>
              <w:t>3200</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eastAsia" w:ascii="宋体" w:hAnsi="宋体" w:eastAsia="宋体" w:cs="宋体"/>
              </w:rPr>
              <w:t>，目前实际日处理量</w:t>
            </w:r>
            <w:r>
              <w:rPr>
                <w:rFonts w:hint="eastAsia" w:eastAsia="宋体" w:cs="Times New Roman"/>
                <w:lang w:val="en-US" w:eastAsia="zh-CN"/>
              </w:rPr>
              <w:t>2000</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eastAsia" w:ascii="宋体" w:hAnsi="宋体" w:eastAsia="宋体" w:cs="宋体"/>
                <w:lang w:eastAsia="zh-CN"/>
              </w:rPr>
              <w:t>，</w:t>
            </w:r>
            <w:r>
              <w:rPr>
                <w:rFonts w:hint="eastAsia" w:eastAsia="宋体"/>
                <w:highlight w:val="none"/>
                <w:lang w:val="en-US" w:eastAsia="zh-CN"/>
              </w:rPr>
              <w:t>还有37%的剩余处理能力。</w:t>
            </w:r>
          </w:p>
          <w:p w14:paraId="6A9509F1">
            <w:pPr>
              <w:pStyle w:val="3"/>
              <w:ind w:firstLine="480"/>
              <w:rPr>
                <w:rFonts w:hint="eastAsia" w:ascii="Times New Roman" w:hAnsi="Times New Roman" w:eastAsia="宋体" w:cs="宋体"/>
                <w:sz w:val="24"/>
                <w:lang w:eastAsia="zh-CN"/>
              </w:rPr>
            </w:pPr>
            <w:r>
              <w:rPr>
                <w:rFonts w:hint="eastAsia" w:ascii="Times New Roman" w:hAnsi="Times New Roman" w:eastAsia="宋体" w:cs="宋体"/>
                <w:sz w:val="24"/>
              </w:rPr>
              <w:t>由表4-1 可知，</w:t>
            </w:r>
            <w:r>
              <w:rPr>
                <w:rFonts w:hint="eastAsia" w:ascii="Times New Roman" w:hAnsi="Times New Roman" w:eastAsia="宋体" w:cs="宋体"/>
                <w:sz w:val="24"/>
                <w:lang w:val="en-US" w:eastAsia="zh-CN"/>
              </w:rPr>
              <w:t>沙105斜</w:t>
            </w:r>
            <w:r>
              <w:rPr>
                <w:rFonts w:hint="eastAsia" w:ascii="Times New Roman" w:hAnsi="Times New Roman" w:eastAsia="宋体" w:cs="宋体"/>
                <w:sz w:val="24"/>
              </w:rPr>
              <w:t>钻井过程中产生的钻井废水（水基）为</w:t>
            </w:r>
            <w:r>
              <w:rPr>
                <w:rFonts w:hint="eastAsia" w:ascii="Times New Roman" w:hAnsi="Times New Roman" w:eastAsia="宋体" w:cs="宋体"/>
                <w:sz w:val="24"/>
                <w:lang w:val="en-US" w:eastAsia="zh-CN"/>
              </w:rPr>
              <w:t>179.22</w:t>
            </w:r>
            <w:r>
              <w:rPr>
                <w:rFonts w:hint="eastAsia" w:ascii="Times New Roman" w:hAnsi="Times New Roman" w:eastAsia="宋体" w:cs="宋体"/>
                <w:sz w:val="24"/>
              </w:rPr>
              <w:t>t，洗井废水为</w:t>
            </w:r>
            <w:r>
              <w:rPr>
                <w:rFonts w:hint="eastAsia" w:ascii="Times New Roman" w:hAnsi="Times New Roman" w:eastAsia="宋体" w:cs="宋体"/>
                <w:sz w:val="24"/>
                <w:lang w:val="en-US" w:eastAsia="zh-CN"/>
              </w:rPr>
              <w:t>30.9</w:t>
            </w:r>
            <w:r>
              <w:rPr>
                <w:rFonts w:hint="eastAsia" w:ascii="Times New Roman" w:hAnsi="Times New Roman" w:eastAsia="宋体" w:cs="宋体"/>
                <w:sz w:val="24"/>
              </w:rPr>
              <w:t>t，压裂废水为</w:t>
            </w:r>
            <w:r>
              <w:rPr>
                <w:rFonts w:hint="eastAsia" w:ascii="Times New Roman" w:hAnsi="Times New Roman" w:eastAsia="宋体" w:cs="宋体"/>
                <w:sz w:val="24"/>
                <w:lang w:val="en-US" w:eastAsia="zh-CN"/>
              </w:rPr>
              <w:t>46.35</w:t>
            </w:r>
            <w:r>
              <w:rPr>
                <w:rFonts w:hint="eastAsia" w:ascii="Times New Roman" w:hAnsi="Times New Roman" w:eastAsia="宋体" w:cs="宋体"/>
                <w:sz w:val="24"/>
              </w:rPr>
              <w:t>t；则本项目产生的钻井作业废水总量约为</w:t>
            </w:r>
            <w:r>
              <w:rPr>
                <w:rFonts w:hint="eastAsia" w:ascii="Times New Roman" w:hAnsi="Times New Roman" w:eastAsia="宋体" w:cs="宋体"/>
                <w:sz w:val="24"/>
                <w:lang w:val="en-US" w:eastAsia="zh-CN"/>
              </w:rPr>
              <w:t>256.5</w:t>
            </w:r>
            <w:r>
              <w:rPr>
                <w:rFonts w:hint="eastAsia" w:ascii="Times New Roman" w:hAnsi="Times New Roman" w:eastAsia="宋体" w:cs="宋体"/>
                <w:sz w:val="24"/>
              </w:rPr>
              <w:t>t。本项目建设周期</w:t>
            </w:r>
            <w:r>
              <w:rPr>
                <w:rFonts w:hint="eastAsia" w:ascii="Times New Roman" w:hAnsi="Times New Roman" w:eastAsia="宋体" w:cs="宋体"/>
                <w:sz w:val="24"/>
                <w:lang w:val="en-US" w:eastAsia="zh-CN"/>
              </w:rPr>
              <w:t>30</w:t>
            </w:r>
            <w:r>
              <w:rPr>
                <w:rFonts w:hint="eastAsia" w:ascii="Times New Roman" w:hAnsi="Times New Roman" w:eastAsia="宋体" w:cs="宋体"/>
                <w:sz w:val="24"/>
              </w:rPr>
              <w:t>天，则本项目钻井作业废水日最大产生量约为</w:t>
            </w:r>
            <w:r>
              <w:rPr>
                <w:rFonts w:hint="eastAsia" w:ascii="Times New Roman" w:hAnsi="Times New Roman" w:eastAsia="宋体" w:cs="宋体"/>
                <w:sz w:val="24"/>
                <w:lang w:val="en-US" w:eastAsia="zh-CN"/>
              </w:rPr>
              <w:t>8.55t，</w:t>
            </w:r>
            <w:r>
              <w:rPr>
                <w:rFonts w:hint="eastAsia" w:ascii="Times New Roman" w:hAnsi="Times New Roman" w:eastAsia="宋体" w:cs="宋体"/>
                <w:sz w:val="24"/>
              </w:rPr>
              <w:t>只占</w:t>
            </w:r>
            <w:r>
              <w:rPr>
                <w:rFonts w:hint="eastAsia" w:ascii="Times New Roman" w:hAnsi="Times New Roman" w:eastAsia="宋体" w:cs="宋体"/>
                <w:sz w:val="24"/>
                <w:lang w:val="en-US" w:eastAsia="zh-CN"/>
              </w:rPr>
              <w:t>沙埝</w:t>
            </w:r>
            <w:r>
              <w:rPr>
                <w:rFonts w:hint="eastAsia" w:ascii="Times New Roman" w:hAnsi="Times New Roman" w:eastAsia="宋体" w:cs="宋体"/>
                <w:sz w:val="24"/>
                <w:lang w:eastAsia="zh-CN"/>
              </w:rPr>
              <w:t>注水站</w:t>
            </w:r>
            <w:r>
              <w:rPr>
                <w:rFonts w:hint="eastAsia" w:ascii="Times New Roman" w:hAnsi="Times New Roman" w:eastAsia="宋体" w:cs="宋体"/>
                <w:sz w:val="24"/>
              </w:rPr>
              <w:t>剩余日处理能力的0</w:t>
            </w:r>
            <w:r>
              <w:rPr>
                <w:rFonts w:hint="eastAsia" w:ascii="Times New Roman" w:hAnsi="Times New Roman" w:eastAsia="宋体" w:cs="宋体"/>
                <w:sz w:val="24"/>
                <w:lang w:val="en-US" w:eastAsia="zh-CN"/>
              </w:rPr>
              <w:t>.71</w:t>
            </w:r>
            <w:r>
              <w:rPr>
                <w:rFonts w:hint="eastAsia" w:ascii="Times New Roman" w:hAnsi="Times New Roman" w:eastAsia="宋体" w:cs="宋体"/>
                <w:sz w:val="24"/>
              </w:rPr>
              <w:t>%，不会对</w:t>
            </w:r>
            <w:r>
              <w:rPr>
                <w:rFonts w:hint="eastAsia" w:ascii="Times New Roman" w:hAnsi="Times New Roman" w:eastAsia="宋体" w:cs="宋体"/>
                <w:sz w:val="24"/>
                <w:lang w:val="en-US" w:eastAsia="zh-CN"/>
              </w:rPr>
              <w:t>沙埝</w:t>
            </w:r>
            <w:r>
              <w:rPr>
                <w:rFonts w:hint="eastAsia" w:ascii="Times New Roman" w:hAnsi="Times New Roman" w:eastAsia="宋体" w:cs="宋体"/>
                <w:sz w:val="24"/>
                <w:lang w:eastAsia="zh-CN"/>
              </w:rPr>
              <w:t>注水站</w:t>
            </w:r>
            <w:r>
              <w:rPr>
                <w:rFonts w:hint="eastAsia" w:ascii="Times New Roman" w:hAnsi="Times New Roman" w:eastAsia="宋体" w:cs="宋体"/>
                <w:sz w:val="24"/>
              </w:rPr>
              <w:t>造成水量的冲击</w:t>
            </w:r>
            <w:r>
              <w:rPr>
                <w:rFonts w:hint="eastAsia" w:ascii="Times New Roman" w:hAnsi="Times New Roman" w:eastAsia="宋体" w:cs="宋体"/>
                <w:sz w:val="24"/>
                <w:lang w:eastAsia="zh-CN"/>
              </w:rPr>
              <w:t>。</w:t>
            </w:r>
          </w:p>
          <w:p w14:paraId="7AEE3F77">
            <w:pPr>
              <w:pStyle w:val="3"/>
              <w:ind w:firstLine="480"/>
              <w:rPr>
                <w:rFonts w:hint="default" w:ascii="Times New Roman" w:hAnsi="Times New Roman" w:eastAsia="宋体" w:cs="宋体"/>
                <w:sz w:val="24"/>
                <w:lang w:val="en-US" w:eastAsia="zh-CN"/>
              </w:rPr>
            </w:pPr>
            <w:r>
              <w:rPr>
                <w:rFonts w:hint="eastAsia" w:ascii="Times New Roman" w:hAnsi="Times New Roman" w:eastAsia="宋体" w:cs="宋体"/>
                <w:sz w:val="24"/>
                <w:lang w:val="en-US" w:eastAsia="zh-CN"/>
              </w:rPr>
              <w:t>沙86斜</w:t>
            </w:r>
            <w:r>
              <w:rPr>
                <w:rFonts w:hint="eastAsia" w:ascii="Times New Roman" w:hAnsi="Times New Roman" w:eastAsia="宋体" w:cs="宋体"/>
                <w:sz w:val="24"/>
              </w:rPr>
              <w:t>钻井过程中产生的钻井废水（水基）为</w:t>
            </w:r>
            <w:r>
              <w:rPr>
                <w:rFonts w:hint="eastAsia" w:ascii="Times New Roman" w:hAnsi="Times New Roman" w:eastAsia="宋体" w:cs="宋体"/>
                <w:sz w:val="24"/>
                <w:lang w:val="en-US" w:eastAsia="zh-CN"/>
              </w:rPr>
              <w:t>190.94</w:t>
            </w:r>
            <w:r>
              <w:rPr>
                <w:rFonts w:hint="eastAsia" w:ascii="Times New Roman" w:hAnsi="Times New Roman" w:eastAsia="宋体" w:cs="宋体"/>
                <w:sz w:val="24"/>
              </w:rPr>
              <w:t>t，洗井废水为</w:t>
            </w:r>
            <w:r>
              <w:rPr>
                <w:rFonts w:hint="eastAsia" w:ascii="Times New Roman" w:hAnsi="Times New Roman" w:eastAsia="宋体" w:cs="宋体"/>
                <w:sz w:val="24"/>
                <w:lang w:val="en-US" w:eastAsia="zh-CN"/>
              </w:rPr>
              <w:t>32.92</w:t>
            </w:r>
            <w:r>
              <w:rPr>
                <w:rFonts w:hint="eastAsia" w:ascii="Times New Roman" w:hAnsi="Times New Roman" w:eastAsia="宋体" w:cs="宋体"/>
                <w:sz w:val="24"/>
              </w:rPr>
              <w:t>t，压裂废水为</w:t>
            </w:r>
            <w:r>
              <w:rPr>
                <w:rFonts w:hint="eastAsia" w:ascii="Times New Roman" w:hAnsi="Times New Roman" w:eastAsia="宋体" w:cs="宋体"/>
                <w:sz w:val="24"/>
                <w:lang w:val="en-US" w:eastAsia="zh-CN"/>
              </w:rPr>
              <w:t>49.38</w:t>
            </w:r>
            <w:r>
              <w:rPr>
                <w:rFonts w:hint="eastAsia" w:ascii="Times New Roman" w:hAnsi="Times New Roman" w:eastAsia="宋体" w:cs="宋体"/>
                <w:sz w:val="24"/>
              </w:rPr>
              <w:t>t；则本项目产生的钻井作业废水总量约为</w:t>
            </w:r>
            <w:r>
              <w:rPr>
                <w:rFonts w:hint="eastAsia" w:ascii="Times New Roman" w:hAnsi="Times New Roman" w:eastAsia="宋体" w:cs="宋体"/>
                <w:sz w:val="24"/>
                <w:lang w:val="en-US" w:eastAsia="zh-CN"/>
              </w:rPr>
              <w:t>273.24</w:t>
            </w:r>
            <w:r>
              <w:rPr>
                <w:rFonts w:hint="eastAsia" w:ascii="Times New Roman" w:hAnsi="Times New Roman" w:eastAsia="宋体" w:cs="宋体"/>
                <w:sz w:val="24"/>
              </w:rPr>
              <w:t>t。本项目建设周期</w:t>
            </w:r>
            <w:r>
              <w:rPr>
                <w:rFonts w:hint="eastAsia" w:ascii="Times New Roman" w:hAnsi="Times New Roman" w:eastAsia="宋体" w:cs="宋体"/>
                <w:sz w:val="24"/>
                <w:lang w:val="en-US" w:eastAsia="zh-CN"/>
              </w:rPr>
              <w:t>30</w:t>
            </w:r>
            <w:r>
              <w:rPr>
                <w:rFonts w:hint="eastAsia" w:ascii="Times New Roman" w:hAnsi="Times New Roman" w:eastAsia="宋体" w:cs="宋体"/>
                <w:sz w:val="24"/>
              </w:rPr>
              <w:t>天，则本项目钻井作业废水日最大产生量约为</w:t>
            </w:r>
            <w:r>
              <w:rPr>
                <w:rFonts w:hint="eastAsia" w:ascii="Times New Roman" w:hAnsi="Times New Roman" w:eastAsia="宋体" w:cs="宋体"/>
                <w:sz w:val="24"/>
                <w:lang w:val="en-US" w:eastAsia="zh-CN"/>
              </w:rPr>
              <w:t>9.11t，</w:t>
            </w:r>
            <w:r>
              <w:rPr>
                <w:rFonts w:hint="eastAsia" w:ascii="Times New Roman" w:hAnsi="Times New Roman" w:eastAsia="宋体" w:cs="宋体"/>
                <w:sz w:val="24"/>
              </w:rPr>
              <w:t>只占</w:t>
            </w:r>
            <w:r>
              <w:rPr>
                <w:rFonts w:hint="eastAsia" w:ascii="Times New Roman" w:hAnsi="Times New Roman" w:eastAsia="宋体" w:cs="宋体"/>
                <w:sz w:val="24"/>
                <w:lang w:val="en-US" w:eastAsia="zh-CN"/>
              </w:rPr>
              <w:t>沙埝</w:t>
            </w:r>
            <w:r>
              <w:rPr>
                <w:rFonts w:hint="eastAsia" w:ascii="Times New Roman" w:hAnsi="Times New Roman" w:eastAsia="宋体" w:cs="宋体"/>
                <w:sz w:val="24"/>
                <w:lang w:eastAsia="zh-CN"/>
              </w:rPr>
              <w:t>注水站</w:t>
            </w:r>
            <w:r>
              <w:rPr>
                <w:rFonts w:hint="eastAsia" w:ascii="Times New Roman" w:hAnsi="Times New Roman" w:eastAsia="宋体" w:cs="宋体"/>
                <w:sz w:val="24"/>
              </w:rPr>
              <w:t>剩余日处理能力的0</w:t>
            </w:r>
            <w:r>
              <w:rPr>
                <w:rFonts w:hint="eastAsia" w:ascii="Times New Roman" w:hAnsi="Times New Roman" w:eastAsia="宋体" w:cs="宋体"/>
                <w:sz w:val="24"/>
                <w:lang w:val="en-US" w:eastAsia="zh-CN"/>
              </w:rPr>
              <w:t>.76</w:t>
            </w:r>
            <w:r>
              <w:rPr>
                <w:rFonts w:hint="eastAsia" w:ascii="Times New Roman" w:hAnsi="Times New Roman" w:eastAsia="宋体" w:cs="宋体"/>
                <w:sz w:val="24"/>
              </w:rPr>
              <w:t>%，不会对</w:t>
            </w:r>
            <w:r>
              <w:rPr>
                <w:rFonts w:hint="eastAsia" w:ascii="Times New Roman" w:hAnsi="Times New Roman" w:eastAsia="宋体" w:cs="宋体"/>
                <w:sz w:val="24"/>
                <w:lang w:val="en-US" w:eastAsia="zh-CN"/>
              </w:rPr>
              <w:t>沙埝</w:t>
            </w:r>
            <w:r>
              <w:rPr>
                <w:rFonts w:hint="eastAsia" w:ascii="Times New Roman" w:hAnsi="Times New Roman" w:eastAsia="宋体" w:cs="宋体"/>
                <w:sz w:val="24"/>
                <w:lang w:eastAsia="zh-CN"/>
              </w:rPr>
              <w:t>注水站</w:t>
            </w:r>
            <w:r>
              <w:rPr>
                <w:rFonts w:hint="eastAsia" w:ascii="Times New Roman" w:hAnsi="Times New Roman" w:eastAsia="宋体" w:cs="宋体"/>
                <w:sz w:val="24"/>
              </w:rPr>
              <w:t>造成水量的冲击</w:t>
            </w:r>
            <w:r>
              <w:rPr>
                <w:rFonts w:hint="eastAsia" w:ascii="Times New Roman" w:hAnsi="Times New Roman" w:eastAsia="宋体" w:cs="宋体"/>
                <w:sz w:val="24"/>
                <w:lang w:eastAsia="zh-CN"/>
              </w:rPr>
              <w:t>。</w:t>
            </w:r>
          </w:p>
          <w:p w14:paraId="50C9DDBC">
            <w:pPr>
              <w:pStyle w:val="3"/>
              <w:ind w:firstLine="480"/>
              <w:rPr>
                <w:rFonts w:hint="eastAsia" w:eastAsia="宋体"/>
              </w:rPr>
            </w:pPr>
            <w:r>
              <w:rPr>
                <w:rFonts w:hint="eastAsia" w:eastAsia="宋体"/>
              </w:rPr>
              <w:t>①处理工艺可行性分析</w:t>
            </w:r>
          </w:p>
          <w:p w14:paraId="1031C770">
            <w:pPr>
              <w:pStyle w:val="3"/>
              <w:ind w:firstLine="480"/>
              <w:rPr>
                <w:rFonts w:hint="eastAsia" w:ascii="宋体" w:hAnsi="宋体" w:eastAsia="宋体" w:cs="宋体"/>
              </w:rPr>
            </w:pPr>
            <w:r>
              <w:rPr>
                <w:rFonts w:hint="eastAsia" w:ascii="宋体" w:hAnsi="宋体" w:eastAsia="宋体" w:cs="宋体"/>
                <w:lang w:val="en-US" w:eastAsia="zh-CN"/>
              </w:rPr>
              <w:t>沙埝</w:t>
            </w:r>
            <w:r>
              <w:rPr>
                <w:rFonts w:hint="eastAsia" w:ascii="宋体" w:hAnsi="宋体" w:eastAsia="宋体" w:cs="宋体"/>
              </w:rPr>
              <w:t>联合站污水至污水处理系统处理，含油废水处理工艺为沉降+</w:t>
            </w:r>
            <w:r>
              <w:rPr>
                <w:rFonts w:hint="eastAsia" w:ascii="宋体" w:hAnsi="宋体" w:eastAsia="宋体" w:cs="宋体"/>
                <w:lang w:val="en-US" w:eastAsia="zh-CN"/>
              </w:rPr>
              <w:t>气浮+</w:t>
            </w:r>
            <w:r>
              <w:rPr>
                <w:rFonts w:hint="eastAsia" w:ascii="宋体" w:hAnsi="宋体" w:eastAsia="宋体" w:cs="宋体"/>
              </w:rPr>
              <w:t>二级过滤，满足回注水标准后通过注水泵注入油层补充能量、驱油。</w:t>
            </w:r>
          </w:p>
          <w:p w14:paraId="17E374FA">
            <w:pPr>
              <w:pStyle w:val="3"/>
              <w:ind w:firstLine="480"/>
            </w:pPr>
            <w:r>
              <w:rPr>
                <w:rFonts w:hint="eastAsia" w:ascii="宋体" w:hAnsi="宋体" w:eastAsia="宋体" w:cs="宋体"/>
              </w:rPr>
              <w:t>本项目废水经泥浆不落地处理后，不可回用的废水送至</w:t>
            </w:r>
            <w:r>
              <w:rPr>
                <w:rFonts w:hint="eastAsia" w:ascii="宋体" w:hAnsi="宋体" w:eastAsia="宋体" w:cs="宋体"/>
                <w:lang w:val="en-US" w:eastAsia="zh-CN"/>
              </w:rPr>
              <w:t>沙埝</w:t>
            </w:r>
            <w:r>
              <w:rPr>
                <w:rFonts w:hint="eastAsia" w:ascii="宋体" w:hAnsi="宋体" w:eastAsia="宋体" w:cs="宋体"/>
              </w:rPr>
              <w:t>联合站处理。根据江苏油田分公司</w:t>
            </w:r>
            <w:r>
              <w:rPr>
                <w:rFonts w:hint="default" w:ascii="Times New Roman" w:hAnsi="Times New Roman" w:eastAsia="宋体" w:cs="Times New Roman"/>
              </w:rPr>
              <w:t>2019</w:t>
            </w:r>
            <w:r>
              <w:rPr>
                <w:rFonts w:hint="eastAsia" w:ascii="宋体" w:hAnsi="宋体" w:eastAsia="宋体" w:cs="宋体"/>
              </w:rPr>
              <w:t>年度各场站检测数据，场站的回注开采废水可满足《碎屑岩油藏注水水质指标技术要求及分析方法》</w:t>
            </w:r>
            <w:r>
              <w:rPr>
                <w:rFonts w:hint="default" w:ascii="Times New Roman" w:hAnsi="Times New Roman" w:eastAsia="宋体" w:cs="Times New Roman"/>
              </w:rPr>
              <w:t>（SY/T5329-2022）</w:t>
            </w:r>
            <w:r>
              <w:rPr>
                <w:rFonts w:hint="eastAsia" w:ascii="宋体" w:hAnsi="宋体" w:eastAsia="宋体" w:cs="宋体"/>
              </w:rPr>
              <w:t>表</w:t>
            </w:r>
            <w:r>
              <w:rPr>
                <w:rFonts w:hint="default" w:ascii="Times New Roman" w:hAnsi="Times New Roman" w:eastAsia="宋体" w:cs="Times New Roman"/>
              </w:rPr>
              <w:t>1</w:t>
            </w:r>
            <w:r>
              <w:rPr>
                <w:rFonts w:hint="eastAsia" w:ascii="宋体" w:hAnsi="宋体" w:eastAsia="宋体" w:cs="宋体"/>
              </w:rPr>
              <w:t>的标准，可依托现有污水处理系统进行处理。因此，联合站采用的处理工艺可行。</w:t>
            </w:r>
          </w:p>
          <w:p w14:paraId="42DC3CC8">
            <w:pPr>
              <w:pStyle w:val="3"/>
              <w:ind w:firstLine="480"/>
              <w:rPr>
                <w:rFonts w:eastAsia="宋体"/>
              </w:rPr>
            </w:pPr>
            <w:r>
              <w:rPr>
                <w:rFonts w:hint="eastAsia" w:eastAsia="宋体"/>
              </w:rPr>
              <w:t>②处理水量的可行性</w:t>
            </w:r>
          </w:p>
          <w:p w14:paraId="0E0620F6">
            <w:pPr>
              <w:pStyle w:val="3"/>
              <w:ind w:firstLine="480"/>
              <w:rPr>
                <w:rFonts w:eastAsia="宋体"/>
              </w:rPr>
            </w:pPr>
            <w:r>
              <w:rPr>
                <w:rFonts w:hint="eastAsia" w:eastAsia="宋体"/>
              </w:rPr>
              <w:t>本次勘探施工为分批探井，且勘探过程中废水为间断性产生，在及时拖运的情况下，各依托站场的剩余处理量可以满足本次勘探施工生产废水需求。</w:t>
            </w:r>
          </w:p>
          <w:p w14:paraId="01F7FE32">
            <w:pPr>
              <w:pStyle w:val="3"/>
              <w:ind w:firstLine="480"/>
              <w:rPr>
                <w:rFonts w:eastAsia="宋体"/>
              </w:rPr>
            </w:pPr>
            <w:r>
              <w:rPr>
                <w:rFonts w:hint="eastAsia" w:eastAsia="宋体"/>
              </w:rPr>
              <w:t>③处理达标污水回注可行性分析</w:t>
            </w:r>
          </w:p>
          <w:p w14:paraId="18F492D0">
            <w:pPr>
              <w:pStyle w:val="3"/>
              <w:ind w:firstLine="480"/>
              <w:rPr>
                <w:rFonts w:hint="default" w:eastAsia="宋体"/>
                <w:lang w:val="en-US" w:eastAsia="zh-CN"/>
              </w:rPr>
            </w:pPr>
            <w:r>
              <w:rPr>
                <w:rFonts w:hint="eastAsia" w:eastAsia="宋体"/>
                <w:lang w:val="en-US" w:eastAsia="zh-CN"/>
              </w:rPr>
              <w:t>废水经沙埝联合站处理后在沙埝联合站就地回注，不再拖运别处。</w:t>
            </w:r>
          </w:p>
          <w:p w14:paraId="088ABB48">
            <w:pPr>
              <w:pStyle w:val="3"/>
              <w:ind w:firstLine="480"/>
              <w:rPr>
                <w:rFonts w:hint="eastAsia" w:eastAsia="宋体"/>
              </w:rPr>
            </w:pPr>
            <w:r>
              <w:rPr>
                <w:rFonts w:hint="eastAsia" w:eastAsia="宋体"/>
              </w:rPr>
              <w:t>注水工艺：根据井口断块构造部位，以注水井对应砂体为准，按其对应油井的初期日产液量进行配注，根据注水井对应一线采油井的数量、距离，测算需动用储量，根据射孔作业后射开层生产情况与注采对应连通关系，确定注水井注水层位。注水井注水作业一段时间后根据对应采油井的动态反映情况对注水量做适当调整。注水井作业时需录取注水时间、泵压、油压、套压、全井注水量、分层注水量、洗井资料、静压、水质化验和吸水剖面资料。注水初期需密切监测油水井生产动态情况，及时调整配注比例。注水稳定一个月后，测取指示曲线和吸水剖面，分析层系水驱效果，对采收率进行核算。</w:t>
            </w:r>
          </w:p>
          <w:p w14:paraId="17B4B790">
            <w:pPr>
              <w:pStyle w:val="3"/>
              <w:ind w:firstLine="480"/>
              <w:rPr>
                <w:rFonts w:eastAsia="宋体"/>
              </w:rPr>
            </w:pPr>
            <w:r>
              <w:rPr>
                <w:rFonts w:hint="eastAsia" w:eastAsia="宋体"/>
              </w:rPr>
              <w:t>水驱采油工艺是当前国内外石油开采行业普遍采用的一种采油方式，其目的主要有两点：第一，采用回注水补充因原油采出而降低的地层能量；第二，采用回注水驱赶开采层原油汇集，形成富油区，便于开采。</w:t>
            </w:r>
          </w:p>
          <w:p w14:paraId="79623F6E">
            <w:pPr>
              <w:pStyle w:val="3"/>
              <w:ind w:firstLine="480"/>
              <w:rPr>
                <w:rFonts w:hint="eastAsia" w:eastAsia="宋体"/>
              </w:rPr>
            </w:pPr>
            <w:r>
              <w:rPr>
                <w:rFonts w:hint="eastAsia" w:eastAsia="宋体"/>
              </w:rPr>
              <w:t>采油废水实质属于一个循环系统，每次注入地层后小部分又随原油采出，在地面经沉淀、过滤工艺处理达到回注标准后又送回至开采层。采油废水在地面处理过程中所添加的助剂主要为破乳剂、絮凝剂、杀菌剂、生物防腐剂、防垢剂等。这些物质用量少，主要保证污水处理除油、除SS 及各细菌含量均满足回注要求，防止设备、管道腐蚀、结垢，经处理达标的采油废水可以回注。</w:t>
            </w:r>
          </w:p>
          <w:p w14:paraId="41E1C8E3">
            <w:pPr>
              <w:pStyle w:val="3"/>
              <w:ind w:firstLine="480"/>
              <w:rPr>
                <w:rFonts w:eastAsia="宋体"/>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 4 \* GB3 \* MERGEFORMAT </w:instrText>
            </w:r>
            <w:r>
              <w:rPr>
                <w:rFonts w:hint="eastAsia" w:ascii="宋体" w:hAnsi="宋体" w:eastAsia="宋体" w:cs="宋体"/>
                <w:lang w:val="en-US" w:eastAsia="zh-CN"/>
              </w:rPr>
              <w:fldChar w:fldCharType="separate"/>
            </w:r>
            <w:r>
              <w:rPr>
                <w:rFonts w:hint="eastAsia" w:ascii="宋体" w:hAnsi="宋体" w:eastAsia="宋体" w:cs="宋体"/>
              </w:rPr>
              <w:t>④</w:t>
            </w:r>
            <w:r>
              <w:rPr>
                <w:rFonts w:hint="eastAsia" w:ascii="宋体" w:hAnsi="宋体" w:eastAsia="宋体" w:cs="宋体"/>
                <w:lang w:val="en-US" w:eastAsia="zh-CN"/>
              </w:rPr>
              <w:fldChar w:fldCharType="end"/>
            </w:r>
            <w:r>
              <w:rPr>
                <w:rFonts w:hint="eastAsia" w:ascii="宋体" w:hAnsi="宋体" w:eastAsia="宋体" w:cs="宋体"/>
                <w:lang w:val="en-US" w:eastAsia="zh-CN"/>
              </w:rPr>
              <w:t>废水</w:t>
            </w:r>
            <w:r>
              <w:rPr>
                <w:rFonts w:hint="eastAsia" w:ascii="宋体" w:hAnsi="宋体" w:eastAsia="宋体" w:cs="宋体"/>
              </w:rPr>
              <w:t>转运过程风险防控及记录要求</w:t>
            </w:r>
          </w:p>
          <w:p w14:paraId="155477AF">
            <w:pPr>
              <w:pStyle w:val="3"/>
              <w:numPr>
                <w:ilvl w:val="0"/>
                <w:numId w:val="5"/>
              </w:numPr>
              <w:ind w:firstLine="480" w:firstLineChars="200"/>
              <w:rPr>
                <w:rFonts w:hint="eastAsia" w:eastAsia="宋体"/>
                <w:lang w:val="en-US" w:eastAsia="zh-CN"/>
              </w:rPr>
            </w:pPr>
            <w:r>
              <w:rPr>
                <w:rFonts w:hint="eastAsia" w:eastAsia="宋体"/>
                <w:lang w:val="en-US" w:eastAsia="zh-CN"/>
              </w:rPr>
              <w:t>本项目在勘探期间，采用罐车将每日产生的废水运送至沙埝联合站处理，废水押运人员在出车之前，必须对车辆进行检查、维护，对押运废水的数量和时间进行记录；</w:t>
            </w:r>
          </w:p>
          <w:p w14:paraId="365C1768">
            <w:pPr>
              <w:pStyle w:val="3"/>
              <w:numPr>
                <w:ilvl w:val="0"/>
                <w:numId w:val="5"/>
              </w:numPr>
              <w:ind w:left="0" w:leftChars="0" w:firstLine="48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废水</w:t>
            </w:r>
            <w:r>
              <w:rPr>
                <w:rFonts w:hint="eastAsia" w:eastAsia="宋体"/>
                <w:lang w:val="en-US" w:eastAsia="zh-CN"/>
              </w:rPr>
              <w:t>押</w:t>
            </w:r>
            <w:r>
              <w:rPr>
                <w:rFonts w:hint="eastAsia" w:asciiTheme="minorEastAsia" w:hAnsiTheme="minorEastAsia" w:eastAsiaTheme="minorEastAsia" w:cstheme="minorEastAsia"/>
                <w:lang w:val="en-US" w:eastAsia="zh-CN"/>
              </w:rPr>
              <w:t>运人员全面负责废水押运过程，从出车到卸废水，押运员不得私自离开岗位，出现废水溢罐、溢撒等意外情况应及时上报，启动应急预案及时处理；</w:t>
            </w:r>
          </w:p>
          <w:p w14:paraId="0A3FB2A8">
            <w:pPr>
              <w:pStyle w:val="3"/>
              <w:numPr>
                <w:ilvl w:val="0"/>
                <w:numId w:val="5"/>
              </w:numPr>
              <w:ind w:left="0" w:leftChars="0" w:firstLine="48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废水押运车必须定点装、卸车，按照规定的路线限速行驶，不得随意更换路线，不得中途随意停留，严禁停靠村庄、学校等人口密集区和水库、河流等危险路段，禁止沿途倾倒、泄放、漏失废水；</w:t>
            </w:r>
          </w:p>
          <w:p w14:paraId="18ECED05">
            <w:pPr>
              <w:pStyle w:val="3"/>
              <w:numPr>
                <w:ilvl w:val="0"/>
                <w:numId w:val="5"/>
              </w:numPr>
              <w:ind w:left="0" w:leftChars="0" w:firstLine="48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联合站值班人员需对废水押运情况进行确认，废水押运量、罐车车号、到站时间、离站时间、押运员姓名、进站登记记录；</w:t>
            </w:r>
          </w:p>
          <w:p w14:paraId="5010A881">
            <w:pPr>
              <w:pStyle w:val="3"/>
              <w:numPr>
                <w:ilvl w:val="0"/>
                <w:numId w:val="5"/>
              </w:numPr>
              <w:ind w:left="0" w:leftChars="0" w:firstLine="48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卸车时双方负责人共同确认并在废水交接单上签字，双方各持一联；</w:t>
            </w:r>
          </w:p>
          <w:p w14:paraId="2DE5FC75">
            <w:pPr>
              <w:pStyle w:val="3"/>
              <w:numPr>
                <w:ilvl w:val="0"/>
                <w:numId w:val="0"/>
              </w:numPr>
              <w:ind w:firstLine="480" w:firstLineChars="200"/>
              <w:rPr>
                <w:rFonts w:hint="default"/>
                <w:lang w:val="en-US" w:eastAsia="zh-CN"/>
              </w:rPr>
            </w:pPr>
            <w:r>
              <w:rPr>
                <w:rFonts w:hint="default" w:ascii="Times New Roman" w:hAnsi="Times New Roman" w:cs="Times New Roman" w:eastAsiaTheme="minorEastAsia"/>
                <w:lang w:val="en-US" w:eastAsia="zh-CN"/>
              </w:rPr>
              <w:t>f</w:t>
            </w:r>
            <w:r>
              <w:rPr>
                <w:rFonts w:hint="eastAsia" w:asciiTheme="minorEastAsia" w:hAnsiTheme="minorEastAsia" w:eastAsiaTheme="minorEastAsia" w:cstheme="minorEastAsia"/>
                <w:lang w:val="en-US" w:eastAsia="zh-CN"/>
              </w:rPr>
              <w:t>、押运员及时将进站时间和离站时间上报视频监控室。</w:t>
            </w:r>
          </w:p>
          <w:p w14:paraId="3E448086">
            <w:pPr>
              <w:pStyle w:val="3"/>
              <w:ind w:firstLine="480"/>
              <w:rPr>
                <w:rFonts w:eastAsia="宋体"/>
              </w:rPr>
            </w:pPr>
            <w:r>
              <w:rPr>
                <w:rFonts w:hint="eastAsia" w:eastAsia="宋体"/>
              </w:rPr>
              <w:t>（3）小结</w:t>
            </w:r>
          </w:p>
          <w:p w14:paraId="0E434883">
            <w:pPr>
              <w:pStyle w:val="3"/>
              <w:ind w:firstLine="480"/>
              <w:rPr>
                <w:rFonts w:eastAsia="宋体"/>
              </w:rPr>
            </w:pPr>
            <w:r>
              <w:rPr>
                <w:rFonts w:hint="eastAsia" w:eastAsia="宋体"/>
              </w:rPr>
              <w:t>本项目废水从产生、收集、处置等环节，进行全过程管理，不会对当地地表水环境造成影响。</w:t>
            </w:r>
          </w:p>
          <w:p w14:paraId="53E74959">
            <w:pPr>
              <w:pStyle w:val="2"/>
              <w:widowControl/>
              <w:ind w:firstLine="482" w:firstLineChars="200"/>
              <w:rPr>
                <w:rFonts w:eastAsia="宋体"/>
              </w:rPr>
            </w:pPr>
            <w:r>
              <w:rPr>
                <w:rFonts w:hint="eastAsia" w:eastAsia="宋体"/>
              </w:rPr>
              <w:t>4、地下水</w:t>
            </w:r>
          </w:p>
          <w:p w14:paraId="0BDBA5DA">
            <w:pPr>
              <w:pStyle w:val="3"/>
              <w:ind w:firstLine="480"/>
              <w:rPr>
                <w:rFonts w:eastAsia="宋体"/>
              </w:rPr>
            </w:pPr>
            <w:r>
              <w:rPr>
                <w:rFonts w:hint="eastAsia" w:eastAsia="宋体"/>
              </w:rPr>
              <w:t>（1）污染防治措施</w:t>
            </w:r>
          </w:p>
          <w:p w14:paraId="5C08B8AF">
            <w:pPr>
              <w:pStyle w:val="3"/>
              <w:ind w:firstLine="480"/>
              <w:rPr>
                <w:rFonts w:eastAsia="宋体"/>
              </w:rPr>
            </w:pPr>
            <w:r>
              <w:rPr>
                <w:rFonts w:eastAsia="宋体"/>
              </w:rPr>
              <w:t>本项目施工区域为农村区域，岩性主要为粘土，为避免项目勘探期间对土壤、地下水的污染，拟采取相应的污染防治措施。钻井施工中应采取防渗措施的区域主要为</w:t>
            </w:r>
            <w:r>
              <w:rPr>
                <w:rFonts w:hint="eastAsia" w:eastAsia="宋体"/>
              </w:rPr>
              <w:t>井架及其周围区域、</w:t>
            </w:r>
            <w:r>
              <w:rPr>
                <w:rFonts w:eastAsia="宋体"/>
              </w:rPr>
              <w:t>泥浆处理区、</w:t>
            </w:r>
            <w:r>
              <w:rPr>
                <w:rFonts w:hint="eastAsia" w:eastAsia="宋体"/>
              </w:rPr>
              <w:t>泥浆罐区、旱厕</w:t>
            </w:r>
            <w:r>
              <w:rPr>
                <w:rFonts w:eastAsia="宋体"/>
              </w:rPr>
              <w:t>、界沟、</w:t>
            </w:r>
            <w:r>
              <w:rPr>
                <w:rFonts w:hint="eastAsia" w:eastAsia="宋体"/>
              </w:rPr>
              <w:t>截污沟、</w:t>
            </w:r>
            <w:r>
              <w:rPr>
                <w:rFonts w:eastAsia="宋体"/>
              </w:rPr>
              <w:t>机房底座、发电机和柴油罐区域、钻杆排区域等。</w:t>
            </w:r>
          </w:p>
          <w:p w14:paraId="5D701379">
            <w:pPr>
              <w:pStyle w:val="3"/>
              <w:ind w:firstLine="480"/>
              <w:rPr>
                <w:rFonts w:eastAsia="宋体"/>
              </w:rPr>
            </w:pPr>
            <w:r>
              <w:rPr>
                <w:rFonts w:eastAsia="宋体"/>
              </w:rPr>
              <w:t>根据中国石化《钻井工程污染防治规范》（Q/SH0238-2009）及江苏油田《井下作业现场环保规范》（安环〔2018〕6号）、《钻井井场环境保护规范》（Q/SHJS 0805-2015）等规范要求。</w:t>
            </w:r>
            <w:r>
              <w:rPr>
                <w:rFonts w:hint="eastAsia" w:eastAsia="宋体"/>
              </w:rPr>
              <w:t>采取的主要措施有：</w:t>
            </w:r>
          </w:p>
          <w:p w14:paraId="5DE6B09F">
            <w:pPr>
              <w:pStyle w:val="3"/>
              <w:ind w:firstLine="480"/>
              <w:rPr>
                <w:rFonts w:eastAsia="宋体"/>
              </w:rPr>
            </w:pPr>
            <w:r>
              <w:rPr>
                <w:rFonts w:hint="eastAsia" w:eastAsia="宋体"/>
              </w:rPr>
              <w:t>①</w:t>
            </w:r>
            <w:r>
              <w:rPr>
                <w:rFonts w:eastAsia="宋体"/>
              </w:rPr>
              <w:t>施工现场</w:t>
            </w:r>
            <w:bookmarkStart w:id="3" w:name="_Toc52206145"/>
            <w:r>
              <w:rPr>
                <w:rFonts w:hint="eastAsia" w:eastAsia="宋体"/>
              </w:rPr>
              <w:t>井架及其周围区域、泥浆罐区、泵房采用防渗膜铺设；泥浆处理区采用防渗膜+钻杆排铺设。</w:t>
            </w:r>
          </w:p>
          <w:p w14:paraId="3022A8EF">
            <w:pPr>
              <w:pStyle w:val="3"/>
              <w:ind w:firstLine="480"/>
              <w:rPr>
                <w:rFonts w:eastAsia="宋体"/>
              </w:rPr>
            </w:pPr>
            <w:r>
              <w:rPr>
                <w:rFonts w:hint="eastAsia" w:eastAsia="宋体"/>
              </w:rPr>
              <w:t>②井场设有清污分流系统，井场周边设置界沟，与毗邻的农田分开，用于排泄井场内的雨水，界沟尺寸不小于上底×下底×深=0.8m×0.3m×0.6m；未受污染的井场雨水经界沟可直接外排，污染的雨水排入井场内的初期雨水池，再泵入泥浆处理系统。</w:t>
            </w:r>
          </w:p>
          <w:p w14:paraId="0183C335">
            <w:pPr>
              <w:pStyle w:val="3"/>
              <w:ind w:firstLine="480"/>
              <w:rPr>
                <w:rFonts w:eastAsia="宋体"/>
              </w:rPr>
            </w:pPr>
            <w:r>
              <w:rPr>
                <w:rFonts w:eastAsia="宋体"/>
              </w:rPr>
              <w:t>③</w:t>
            </w:r>
            <w:r>
              <w:rPr>
                <w:rFonts w:hint="eastAsia" w:eastAsia="宋体"/>
              </w:rPr>
              <w:t>井架基础平台周围、机房、泥浆泵区、泥浆储罐区</w:t>
            </w:r>
            <w:r>
              <w:rPr>
                <w:rFonts w:hint="eastAsia" w:eastAsia="宋体"/>
                <w:lang w:eastAsia="zh-CN"/>
              </w:rPr>
              <w:t>设置围堰</w:t>
            </w:r>
            <w:r>
              <w:rPr>
                <w:rFonts w:hint="eastAsia" w:eastAsia="宋体"/>
              </w:rPr>
              <w:t>，发电机和柴油储罐区四周设置环形截污沟，并配备污油回收罐（桶）。排污沟设置防渗膜，防渗膜的防渗技术应符合Q/SHJS0805-2015的标准要求。</w:t>
            </w:r>
          </w:p>
          <w:bookmarkEnd w:id="3"/>
          <w:p w14:paraId="272B3339">
            <w:pPr>
              <w:pStyle w:val="3"/>
              <w:ind w:firstLine="480"/>
              <w:rPr>
                <w:rFonts w:eastAsia="宋体"/>
              </w:rPr>
            </w:pPr>
            <w:bookmarkStart w:id="4" w:name="_Toc52206147"/>
            <w:r>
              <w:rPr>
                <w:rFonts w:hint="eastAsia" w:eastAsia="宋体"/>
              </w:rPr>
              <w:t>④现场污染防渗技术要求</w:t>
            </w:r>
            <w:bookmarkEnd w:id="4"/>
          </w:p>
          <w:p w14:paraId="37804FAB">
            <w:pPr>
              <w:pStyle w:val="3"/>
              <w:ind w:firstLine="480"/>
              <w:rPr>
                <w:rFonts w:eastAsia="宋体"/>
              </w:rPr>
            </w:pPr>
            <w:r>
              <w:rPr>
                <w:rFonts w:hint="eastAsia" w:eastAsia="宋体"/>
              </w:rPr>
              <w:t>A.防渗材料的铺设参照江苏油田企业标准《钻井井场环境保护规范》（Q/SHJS 0805-2015）。</w:t>
            </w:r>
          </w:p>
          <w:p w14:paraId="33C2B318">
            <w:pPr>
              <w:pStyle w:val="3"/>
              <w:ind w:firstLine="480"/>
              <w:rPr>
                <w:rFonts w:hint="eastAsia" w:eastAsia="宋体"/>
              </w:rPr>
            </w:pPr>
            <w:r>
              <w:rPr>
                <w:rFonts w:hint="eastAsia" w:eastAsia="宋体"/>
              </w:rPr>
              <w:t>B.将施工现场划分为重点防渗区和一般防渗区。</w:t>
            </w:r>
          </w:p>
          <w:p w14:paraId="4520F351">
            <w:pPr>
              <w:pStyle w:val="16"/>
              <w:rPr>
                <w:rFonts w:eastAsia="宋体"/>
              </w:rPr>
            </w:pPr>
            <w:r>
              <w:rPr>
                <w:rFonts w:hint="eastAsia" w:eastAsia="宋体"/>
              </w:rPr>
              <w:t>表5-1  作业现场分区防渗方案</w:t>
            </w:r>
          </w:p>
          <w:tbl>
            <w:tblPr>
              <w:tblStyle w:val="1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9"/>
              <w:gridCol w:w="3845"/>
              <w:gridCol w:w="2131"/>
            </w:tblGrid>
            <w:tr w14:paraId="6B370C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shd w:val="clear" w:color="auto" w:fill="auto"/>
                  <w:vAlign w:val="center"/>
                </w:tcPr>
                <w:p w14:paraId="5F6162B7">
                  <w:pPr>
                    <w:pStyle w:val="17"/>
                    <w:rPr>
                      <w:rFonts w:eastAsia="宋体"/>
                      <w:b/>
                      <w:bCs/>
                    </w:rPr>
                  </w:pPr>
                  <w:r>
                    <w:rPr>
                      <w:rFonts w:hint="eastAsia" w:eastAsia="宋体"/>
                      <w:b/>
                      <w:bCs/>
                    </w:rPr>
                    <w:t>序号</w:t>
                  </w:r>
                </w:p>
              </w:tc>
              <w:tc>
                <w:tcPr>
                  <w:tcW w:w="731" w:type="pct"/>
                  <w:shd w:val="clear" w:color="auto" w:fill="auto"/>
                  <w:vAlign w:val="center"/>
                </w:tcPr>
                <w:p w14:paraId="3F7C3374">
                  <w:pPr>
                    <w:pStyle w:val="17"/>
                    <w:rPr>
                      <w:rFonts w:eastAsia="宋体"/>
                      <w:b/>
                      <w:bCs/>
                    </w:rPr>
                  </w:pPr>
                  <w:r>
                    <w:rPr>
                      <w:rFonts w:hint="eastAsia" w:eastAsia="宋体"/>
                      <w:b/>
                      <w:bCs/>
                    </w:rPr>
                    <w:t>污染防治区类别</w:t>
                  </w:r>
                </w:p>
              </w:tc>
              <w:tc>
                <w:tcPr>
                  <w:tcW w:w="2466" w:type="pct"/>
                  <w:shd w:val="clear" w:color="auto" w:fill="auto"/>
                  <w:vAlign w:val="center"/>
                </w:tcPr>
                <w:p w14:paraId="28E72771">
                  <w:pPr>
                    <w:pStyle w:val="17"/>
                    <w:rPr>
                      <w:rFonts w:eastAsia="宋体"/>
                      <w:b/>
                      <w:bCs/>
                    </w:rPr>
                  </w:pPr>
                  <w:r>
                    <w:rPr>
                      <w:rFonts w:hint="eastAsia" w:eastAsia="宋体"/>
                      <w:b/>
                      <w:bCs/>
                    </w:rPr>
                    <w:t>防渗性能要求</w:t>
                  </w:r>
                </w:p>
              </w:tc>
              <w:tc>
                <w:tcPr>
                  <w:tcW w:w="1367" w:type="pct"/>
                  <w:shd w:val="clear" w:color="auto" w:fill="auto"/>
                  <w:vAlign w:val="center"/>
                </w:tcPr>
                <w:p w14:paraId="6A7E3661">
                  <w:pPr>
                    <w:pStyle w:val="17"/>
                    <w:rPr>
                      <w:rFonts w:eastAsia="宋体"/>
                      <w:b/>
                      <w:bCs/>
                    </w:rPr>
                  </w:pPr>
                  <w:r>
                    <w:rPr>
                      <w:rFonts w:hint="eastAsia" w:eastAsia="宋体"/>
                      <w:b/>
                      <w:bCs/>
                    </w:rPr>
                    <w:t>污染防治区域或部位</w:t>
                  </w:r>
                </w:p>
              </w:tc>
            </w:tr>
            <w:tr w14:paraId="67229C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shd w:val="clear" w:color="auto" w:fill="auto"/>
                  <w:vAlign w:val="center"/>
                </w:tcPr>
                <w:p w14:paraId="4520BAE6">
                  <w:pPr>
                    <w:pStyle w:val="17"/>
                    <w:rPr>
                      <w:rFonts w:eastAsia="宋体"/>
                    </w:rPr>
                  </w:pPr>
                  <w:r>
                    <w:rPr>
                      <w:rFonts w:hint="eastAsia" w:eastAsia="宋体"/>
                    </w:rPr>
                    <w:t>1</w:t>
                  </w:r>
                </w:p>
              </w:tc>
              <w:tc>
                <w:tcPr>
                  <w:tcW w:w="731" w:type="pct"/>
                  <w:shd w:val="clear" w:color="auto" w:fill="auto"/>
                  <w:vAlign w:val="center"/>
                </w:tcPr>
                <w:p w14:paraId="2EDC353F">
                  <w:pPr>
                    <w:pStyle w:val="17"/>
                    <w:rPr>
                      <w:rFonts w:eastAsia="宋体"/>
                    </w:rPr>
                  </w:pPr>
                  <w:r>
                    <w:rPr>
                      <w:rFonts w:hint="eastAsia" w:eastAsia="宋体"/>
                    </w:rPr>
                    <w:t>重点防渗区</w:t>
                  </w:r>
                </w:p>
              </w:tc>
              <w:tc>
                <w:tcPr>
                  <w:tcW w:w="2466" w:type="pct"/>
                  <w:shd w:val="clear" w:color="auto" w:fill="auto"/>
                  <w:vAlign w:val="center"/>
                </w:tcPr>
                <w:p w14:paraId="4A7D39F5">
                  <w:pPr>
                    <w:pStyle w:val="17"/>
                    <w:rPr>
                      <w:rFonts w:eastAsia="宋体"/>
                    </w:rPr>
                  </w:pPr>
                  <w:r>
                    <w:rPr>
                      <w:rFonts w:hint="eastAsia" w:eastAsia="宋体"/>
                    </w:rPr>
                    <w:t>防渗性能不应低于6.0m 厚</w:t>
                  </w:r>
                  <w:r>
                    <w:rPr>
                      <w:rFonts w:hint="eastAsia" w:eastAsia="宋体"/>
                      <w:lang w:eastAsia="zh-CN"/>
                    </w:rPr>
                    <w:t>，</w:t>
                  </w:r>
                  <w:r>
                    <w:rPr>
                      <w:rFonts w:hint="eastAsia" w:eastAsia="宋体"/>
                    </w:rPr>
                    <w:t>渗透系数为1.0×10</w:t>
                  </w:r>
                  <w:r>
                    <w:rPr>
                      <w:rFonts w:hint="eastAsia" w:eastAsia="宋体"/>
                      <w:vertAlign w:val="superscript"/>
                    </w:rPr>
                    <w:t>-7</w:t>
                  </w:r>
                  <w:r>
                    <w:rPr>
                      <w:rFonts w:hint="eastAsia" w:eastAsia="宋体"/>
                    </w:rPr>
                    <w:t>cm/s 的黏土层的防渗性能；应采用高密度聚乙烯（HDPE）膜，</w:t>
                  </w:r>
                  <w:r>
                    <w:rPr>
                      <w:rFonts w:eastAsia="宋体"/>
                    </w:rPr>
                    <w:t>厚</w:t>
                  </w:r>
                  <w:r>
                    <w:rPr>
                      <w:rFonts w:hint="eastAsia" w:eastAsia="宋体"/>
                    </w:rPr>
                    <w:t>度</w:t>
                  </w:r>
                  <w:r>
                    <w:rPr>
                      <w:rFonts w:eastAsia="宋体"/>
                    </w:rPr>
                    <w:t>0.</w:t>
                  </w:r>
                  <w:r>
                    <w:rPr>
                      <w:rFonts w:hint="eastAsia" w:eastAsia="宋体"/>
                    </w:rPr>
                    <w:t>7</w:t>
                  </w:r>
                  <w:r>
                    <w:rPr>
                      <w:rFonts w:eastAsia="宋体"/>
                    </w:rPr>
                    <w:t>5 mm</w:t>
                  </w:r>
                  <w:r>
                    <w:rPr>
                      <w:rFonts w:hint="eastAsia" w:eastAsia="宋体"/>
                    </w:rPr>
                    <w:t>，接缝处应防止渗漏。</w:t>
                  </w:r>
                </w:p>
              </w:tc>
              <w:tc>
                <w:tcPr>
                  <w:tcW w:w="1367" w:type="pct"/>
                  <w:shd w:val="clear" w:color="auto" w:fill="auto"/>
                  <w:vAlign w:val="center"/>
                </w:tcPr>
                <w:p w14:paraId="02732122">
                  <w:pPr>
                    <w:pStyle w:val="17"/>
                    <w:rPr>
                      <w:rFonts w:eastAsia="宋体"/>
                    </w:rPr>
                  </w:pPr>
                  <w:r>
                    <w:rPr>
                      <w:rFonts w:hint="eastAsia" w:eastAsia="宋体"/>
                    </w:rPr>
                    <w:t>污水池、泥浆处理区、排污沟、截污沟、泥浆罐区</w:t>
                  </w:r>
                  <w:r>
                    <w:rPr>
                      <w:rFonts w:eastAsia="宋体"/>
                    </w:rPr>
                    <w:t>、</w:t>
                  </w:r>
                  <w:r>
                    <w:rPr>
                      <w:rFonts w:hint="eastAsia" w:eastAsia="宋体"/>
                    </w:rPr>
                    <w:t>油罐、储液罐、钻台底部等</w:t>
                  </w:r>
                </w:p>
              </w:tc>
            </w:tr>
            <w:tr w14:paraId="3C2614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4" w:type="pct"/>
                  <w:shd w:val="clear" w:color="auto" w:fill="auto"/>
                  <w:vAlign w:val="center"/>
                </w:tcPr>
                <w:p w14:paraId="5715EACA">
                  <w:pPr>
                    <w:pStyle w:val="17"/>
                    <w:rPr>
                      <w:rFonts w:eastAsia="宋体"/>
                    </w:rPr>
                  </w:pPr>
                  <w:r>
                    <w:rPr>
                      <w:rFonts w:hint="eastAsia" w:eastAsia="宋体"/>
                    </w:rPr>
                    <w:t>2</w:t>
                  </w:r>
                </w:p>
              </w:tc>
              <w:tc>
                <w:tcPr>
                  <w:tcW w:w="731" w:type="pct"/>
                  <w:shd w:val="clear" w:color="auto" w:fill="auto"/>
                  <w:vAlign w:val="center"/>
                </w:tcPr>
                <w:p w14:paraId="6820AF7E">
                  <w:pPr>
                    <w:pStyle w:val="17"/>
                    <w:rPr>
                      <w:rFonts w:eastAsia="宋体"/>
                    </w:rPr>
                  </w:pPr>
                  <w:r>
                    <w:rPr>
                      <w:rFonts w:hint="eastAsia" w:eastAsia="宋体"/>
                    </w:rPr>
                    <w:t>一般防渗区</w:t>
                  </w:r>
                </w:p>
              </w:tc>
              <w:tc>
                <w:tcPr>
                  <w:tcW w:w="2466" w:type="pct"/>
                  <w:shd w:val="clear" w:color="auto" w:fill="auto"/>
                  <w:vAlign w:val="center"/>
                </w:tcPr>
                <w:p w14:paraId="64549BCF">
                  <w:pPr>
                    <w:pStyle w:val="17"/>
                    <w:rPr>
                      <w:rFonts w:eastAsia="宋体"/>
                    </w:rPr>
                  </w:pPr>
                  <w:r>
                    <w:rPr>
                      <w:rFonts w:hint="eastAsia" w:eastAsia="宋体"/>
                    </w:rPr>
                    <w:t>防渗性能不应低于1.5m 厚</w:t>
                  </w:r>
                  <w:r>
                    <w:rPr>
                      <w:rFonts w:hint="eastAsia" w:eastAsia="宋体"/>
                      <w:lang w:eastAsia="zh-CN"/>
                    </w:rPr>
                    <w:t>，</w:t>
                  </w:r>
                  <w:r>
                    <w:rPr>
                      <w:rFonts w:hint="eastAsia" w:eastAsia="宋体"/>
                    </w:rPr>
                    <w:t>渗透系数为1.0×10</w:t>
                  </w:r>
                  <w:r>
                    <w:rPr>
                      <w:rFonts w:hint="eastAsia" w:eastAsia="宋体"/>
                      <w:vertAlign w:val="superscript"/>
                    </w:rPr>
                    <w:t>-7</w:t>
                  </w:r>
                  <w:r>
                    <w:rPr>
                      <w:rFonts w:hint="eastAsia" w:eastAsia="宋体"/>
                    </w:rPr>
                    <w:t>cm/s 的黏土层的防渗性能。可采用低密度聚乙烯（LLDPE）膜，</w:t>
                  </w:r>
                  <w:r>
                    <w:rPr>
                      <w:rFonts w:eastAsia="宋体"/>
                    </w:rPr>
                    <w:t>厚</w:t>
                  </w:r>
                  <w:r>
                    <w:rPr>
                      <w:rFonts w:hint="eastAsia" w:eastAsia="宋体"/>
                    </w:rPr>
                    <w:t>度</w:t>
                  </w:r>
                  <w:r>
                    <w:rPr>
                      <w:rFonts w:eastAsia="宋体"/>
                    </w:rPr>
                    <w:t>0.</w:t>
                  </w:r>
                  <w:r>
                    <w:rPr>
                      <w:rFonts w:hint="eastAsia" w:eastAsia="宋体"/>
                    </w:rPr>
                    <w:t>50</w:t>
                  </w:r>
                  <w:r>
                    <w:rPr>
                      <w:rFonts w:eastAsia="宋体"/>
                    </w:rPr>
                    <w:t xml:space="preserve"> mm</w:t>
                  </w:r>
                  <w:r>
                    <w:rPr>
                      <w:rFonts w:hint="eastAsia" w:eastAsia="宋体"/>
                    </w:rPr>
                    <w:t>。</w:t>
                  </w:r>
                </w:p>
              </w:tc>
              <w:tc>
                <w:tcPr>
                  <w:tcW w:w="1367" w:type="pct"/>
                  <w:shd w:val="clear" w:color="auto" w:fill="auto"/>
                  <w:vAlign w:val="center"/>
                </w:tcPr>
                <w:p w14:paraId="1A6D76A3">
                  <w:pPr>
                    <w:pStyle w:val="17"/>
                    <w:rPr>
                      <w:rFonts w:eastAsia="宋体"/>
                    </w:rPr>
                  </w:pPr>
                  <w:r>
                    <w:rPr>
                      <w:rFonts w:hint="eastAsia" w:eastAsia="宋体"/>
                    </w:rPr>
                    <w:t>井场管杆、发电机、泵房</w:t>
                  </w:r>
                  <w:r>
                    <w:rPr>
                      <w:rFonts w:eastAsia="宋体"/>
                    </w:rPr>
                    <w:t>、</w:t>
                  </w:r>
                  <w:r>
                    <w:rPr>
                      <w:rFonts w:hint="eastAsia" w:eastAsia="宋体"/>
                    </w:rPr>
                    <w:t>机房</w:t>
                  </w:r>
                  <w:r>
                    <w:rPr>
                      <w:rFonts w:eastAsia="宋体"/>
                    </w:rPr>
                    <w:t>底部、</w:t>
                  </w:r>
                  <w:r>
                    <w:rPr>
                      <w:rFonts w:hint="eastAsia" w:eastAsia="宋体"/>
                    </w:rPr>
                    <w:t>物料堆放区等</w:t>
                  </w:r>
                </w:p>
              </w:tc>
            </w:tr>
          </w:tbl>
          <w:p w14:paraId="7CC6A676">
            <w:pPr>
              <w:pStyle w:val="3"/>
              <w:ind w:firstLine="480"/>
              <w:rPr>
                <w:rFonts w:eastAsia="宋体"/>
                <w:color w:val="auto"/>
              </w:rPr>
            </w:pPr>
            <w:r>
              <w:rPr>
                <w:rFonts w:hint="eastAsia" w:eastAsia="宋体"/>
                <w:color w:val="auto"/>
              </w:rPr>
              <w:t>作业现场防渗铺设规格要求</w:t>
            </w:r>
          </w:p>
          <w:p w14:paraId="0B0A012D">
            <w:pPr>
              <w:pStyle w:val="3"/>
              <w:ind w:firstLine="480"/>
              <w:rPr>
                <w:rFonts w:eastAsia="宋体"/>
                <w:color w:val="auto"/>
              </w:rPr>
            </w:pPr>
            <w:r>
              <w:rPr>
                <w:rFonts w:hint="eastAsia" w:eastAsia="宋体"/>
                <w:color w:val="auto"/>
              </w:rPr>
              <w:t>A.钻台底部：防渗布铺设面积不得小于钻台外边30cm，防渗膜的厚度0.75mm，四周设置20cm高的围堰。</w:t>
            </w:r>
          </w:p>
          <w:p w14:paraId="6D0BF83F">
            <w:pPr>
              <w:pStyle w:val="3"/>
              <w:ind w:firstLine="480"/>
              <w:rPr>
                <w:rFonts w:eastAsia="宋体"/>
                <w:color w:val="auto"/>
              </w:rPr>
            </w:pPr>
            <w:r>
              <w:rPr>
                <w:rFonts w:hint="eastAsia" w:eastAsia="宋体"/>
                <w:color w:val="auto"/>
              </w:rPr>
              <w:t>B.泥浆处理区防渗：防渗布的厚度0.75mm。</w:t>
            </w:r>
          </w:p>
          <w:p w14:paraId="71054722">
            <w:pPr>
              <w:pStyle w:val="3"/>
              <w:ind w:firstLine="480"/>
              <w:rPr>
                <w:rFonts w:eastAsia="宋体"/>
                <w:color w:val="auto"/>
              </w:rPr>
            </w:pPr>
            <w:r>
              <w:rPr>
                <w:rFonts w:hint="eastAsia" w:eastAsia="宋体"/>
                <w:color w:val="auto"/>
              </w:rPr>
              <w:t>C.机房底部：铺设防渗膜，其厚度0.5mm。</w:t>
            </w:r>
          </w:p>
          <w:p w14:paraId="4CC45E76">
            <w:pPr>
              <w:pStyle w:val="3"/>
              <w:ind w:firstLine="480"/>
              <w:rPr>
                <w:rFonts w:eastAsia="宋体"/>
                <w:color w:val="auto"/>
              </w:rPr>
            </w:pPr>
            <w:r>
              <w:rPr>
                <w:rFonts w:hint="eastAsia" w:eastAsia="宋体"/>
                <w:color w:val="auto"/>
              </w:rPr>
              <w:t>D.钻杆桥及钻杆输送机下：防渗布铺设面积不得小于钻杆桥及钻杆输送机外边30cm，防渗膜的厚度0.</w:t>
            </w:r>
            <w:r>
              <w:rPr>
                <w:rFonts w:hint="eastAsia" w:eastAsia="宋体"/>
                <w:color w:val="auto"/>
                <w:lang w:val="en-US" w:eastAsia="zh-CN"/>
              </w:rPr>
              <w:t>5</w:t>
            </w:r>
            <w:r>
              <w:rPr>
                <w:rFonts w:hint="eastAsia" w:eastAsia="宋体"/>
                <w:color w:val="auto"/>
              </w:rPr>
              <w:t>mm，四周设置20cm高的围堰。</w:t>
            </w:r>
          </w:p>
          <w:p w14:paraId="4B32C0E1">
            <w:pPr>
              <w:pStyle w:val="3"/>
              <w:ind w:firstLine="480"/>
              <w:rPr>
                <w:rFonts w:eastAsia="宋体"/>
                <w:color w:val="auto"/>
              </w:rPr>
            </w:pPr>
            <w:r>
              <w:rPr>
                <w:rFonts w:hint="eastAsia" w:eastAsia="宋体"/>
                <w:color w:val="auto"/>
              </w:rPr>
              <w:t>E.泥浆泵下防渗：防渗布铺设面积不得小于泥浆泵外边30cm，防渗膜的厚度0.</w:t>
            </w:r>
            <w:r>
              <w:rPr>
                <w:rFonts w:hint="eastAsia" w:eastAsia="宋体"/>
                <w:color w:val="auto"/>
                <w:lang w:val="en-US" w:eastAsia="zh-CN"/>
              </w:rPr>
              <w:t>75</w:t>
            </w:r>
            <w:r>
              <w:rPr>
                <w:rFonts w:hint="eastAsia" w:eastAsia="宋体"/>
                <w:color w:val="auto"/>
              </w:rPr>
              <w:t>mm，四周设置20cm高的围堰。</w:t>
            </w:r>
          </w:p>
          <w:p w14:paraId="1FFDE6A5">
            <w:pPr>
              <w:pStyle w:val="3"/>
              <w:ind w:firstLine="480"/>
              <w:rPr>
                <w:rFonts w:eastAsia="宋体"/>
                <w:color w:val="auto"/>
              </w:rPr>
            </w:pPr>
            <w:r>
              <w:rPr>
                <w:rFonts w:hint="eastAsia" w:eastAsia="宋体"/>
                <w:color w:val="auto"/>
              </w:rPr>
              <w:t>F.柴油罐下：防渗布铺设面积不得小于柴油罐外边30cm，防渗膜的厚度0.75mm，四周设置20cm高的围堰。</w:t>
            </w:r>
          </w:p>
          <w:p w14:paraId="5F4ABBBE">
            <w:pPr>
              <w:pStyle w:val="3"/>
              <w:ind w:firstLine="480"/>
              <w:rPr>
                <w:rFonts w:eastAsia="宋体"/>
                <w:color w:val="auto"/>
              </w:rPr>
            </w:pPr>
            <w:r>
              <w:rPr>
                <w:rFonts w:hint="eastAsia" w:eastAsia="宋体"/>
                <w:color w:val="auto"/>
              </w:rPr>
              <w:t>G.排（截）污沟：尺寸不小于上底×下底×深=0.4m×0.3m×0.3m，排水纵坡不小于1%，沟壁坡度不小于1：0.2，排（截）污沟铺设防渗膜，其厚度0.</w:t>
            </w:r>
            <w:r>
              <w:rPr>
                <w:rFonts w:hint="eastAsia" w:eastAsia="宋体"/>
                <w:color w:val="auto"/>
                <w:lang w:val="en-US" w:eastAsia="zh-CN"/>
              </w:rPr>
              <w:t>75</w:t>
            </w:r>
            <w:r>
              <w:rPr>
                <w:rFonts w:hint="eastAsia" w:eastAsia="宋体"/>
                <w:color w:val="auto"/>
              </w:rPr>
              <w:t>mm</w:t>
            </w:r>
            <w:r>
              <w:rPr>
                <w:rFonts w:hint="eastAsia" w:eastAsia="宋体"/>
                <w:color w:val="auto"/>
                <w:lang w:eastAsia="zh-CN"/>
              </w:rPr>
              <w:t>，</w:t>
            </w:r>
            <w:r>
              <w:rPr>
                <w:rFonts w:hint="eastAsia" w:eastAsia="宋体"/>
                <w:color w:val="auto"/>
                <w:lang w:val="en-US" w:eastAsia="zh-CN"/>
              </w:rPr>
              <w:t>沟内废水进入泥浆不落地系统处理</w:t>
            </w:r>
            <w:r>
              <w:rPr>
                <w:rFonts w:hint="eastAsia" w:eastAsia="宋体"/>
                <w:color w:val="auto"/>
              </w:rPr>
              <w:t>。</w:t>
            </w:r>
          </w:p>
          <w:p w14:paraId="747AD6D6">
            <w:pPr>
              <w:pStyle w:val="3"/>
              <w:ind w:firstLine="480"/>
              <w:rPr>
                <w:rFonts w:eastAsia="宋体"/>
                <w:color w:val="auto"/>
              </w:rPr>
            </w:pPr>
            <w:r>
              <w:rPr>
                <w:rFonts w:hint="eastAsia" w:eastAsia="宋体"/>
                <w:color w:val="auto"/>
              </w:rPr>
              <w:t>（2）小结</w:t>
            </w:r>
          </w:p>
          <w:p w14:paraId="2B9813C3">
            <w:pPr>
              <w:pStyle w:val="3"/>
              <w:ind w:firstLine="480"/>
              <w:rPr>
                <w:rFonts w:eastAsia="宋体"/>
                <w:color w:val="auto"/>
              </w:rPr>
            </w:pPr>
            <w:r>
              <w:rPr>
                <w:rFonts w:hint="eastAsia" w:eastAsia="宋体"/>
                <w:color w:val="auto"/>
              </w:rPr>
              <w:t>选用符合要求的防渗材料，合理划分防渗区域，加强日常管理和维护，本项目对地下水的影响可接受。</w:t>
            </w:r>
          </w:p>
          <w:p w14:paraId="05A7D322">
            <w:pPr>
              <w:pStyle w:val="2"/>
              <w:ind w:firstLine="482" w:firstLineChars="200"/>
              <w:rPr>
                <w:rFonts w:eastAsia="宋体"/>
              </w:rPr>
            </w:pPr>
            <w:r>
              <w:rPr>
                <w:rFonts w:hint="eastAsia" w:eastAsia="宋体"/>
              </w:rPr>
              <w:t>5、土壤</w:t>
            </w:r>
          </w:p>
          <w:p w14:paraId="59935FB1">
            <w:pPr>
              <w:pStyle w:val="3"/>
              <w:ind w:firstLine="480"/>
              <w:rPr>
                <w:rFonts w:eastAsia="宋体"/>
              </w:rPr>
            </w:pPr>
            <w:r>
              <w:rPr>
                <w:rFonts w:hint="eastAsia" w:eastAsia="宋体"/>
              </w:rPr>
              <w:t>（1）污染防治措施</w:t>
            </w:r>
          </w:p>
          <w:p w14:paraId="15871EFD">
            <w:pPr>
              <w:pStyle w:val="3"/>
              <w:ind w:firstLine="480"/>
              <w:rPr>
                <w:rFonts w:eastAsia="宋体"/>
              </w:rPr>
            </w:pPr>
            <w:r>
              <w:rPr>
                <w:rFonts w:eastAsia="宋体"/>
              </w:rPr>
              <w:t>①</w:t>
            </w:r>
            <w:r>
              <w:rPr>
                <w:rFonts w:hint="eastAsia" w:eastAsia="宋体"/>
              </w:rPr>
              <w:t>污染防控</w:t>
            </w:r>
          </w:p>
          <w:p w14:paraId="4BCE9FB2">
            <w:pPr>
              <w:pStyle w:val="3"/>
              <w:ind w:firstLine="480"/>
              <w:rPr>
                <w:rFonts w:eastAsia="宋体"/>
              </w:rPr>
            </w:pPr>
            <w:r>
              <w:rPr>
                <w:rFonts w:eastAsia="宋体"/>
              </w:rPr>
              <w:t>勘探期土壤环境影响的主要特征因子为石油烃，石油烃主要来源于钻井泥浆、柴油及含油岩屑，</w:t>
            </w:r>
            <w:bookmarkStart w:id="5" w:name="_Hlk53750857"/>
            <w:r>
              <w:rPr>
                <w:rFonts w:eastAsia="宋体"/>
              </w:rPr>
              <w:t>为保障土壤环境质量现状，避免土壤受到石油烃污染，须采取如下污染防治措施。</w:t>
            </w:r>
          </w:p>
          <w:bookmarkEnd w:id="5"/>
          <w:p w14:paraId="46630AA8">
            <w:pPr>
              <w:pStyle w:val="3"/>
              <w:ind w:firstLine="480"/>
              <w:rPr>
                <w:rFonts w:eastAsia="宋体"/>
              </w:rPr>
            </w:pPr>
            <w:r>
              <w:rPr>
                <w:rFonts w:hint="eastAsia" w:eastAsia="宋体"/>
              </w:rPr>
              <w:t>a.</w:t>
            </w:r>
            <w:r>
              <w:rPr>
                <w:rFonts w:eastAsia="宋体"/>
              </w:rPr>
              <w:t>柴油储罐下部法兰渗漏处渗漏，柴油泄漏进入罐区围堰中，不会污染土壤、影响地下水水质。储罐区设置围堰，围堰内应设置排水地漏，分类收集围堰内的排水，围堰地面、事故池采用防腐防渗的材料铺砌，防渗布铺设面积不得小于柴油罐外边30cm，可采用高密度聚乙烯（HDPE）膜，厚度0.75 mm，四周设置20cm高的围堰。</w:t>
            </w:r>
          </w:p>
          <w:p w14:paraId="73AB8960">
            <w:pPr>
              <w:pStyle w:val="3"/>
              <w:ind w:firstLine="480"/>
              <w:rPr>
                <w:rFonts w:eastAsia="宋体"/>
              </w:rPr>
            </w:pPr>
            <w:r>
              <w:rPr>
                <w:rFonts w:hint="eastAsia" w:eastAsia="宋体"/>
                <w:lang w:val="en-US" w:eastAsia="zh-CN"/>
              </w:rPr>
              <w:t>b</w:t>
            </w:r>
            <w:r>
              <w:rPr>
                <w:rFonts w:hint="eastAsia" w:eastAsia="宋体"/>
              </w:rPr>
              <w:t>.</w:t>
            </w:r>
            <w:r>
              <w:rPr>
                <w:rFonts w:eastAsia="宋体"/>
              </w:rPr>
              <w:t>钻井施工单位应建立施工井环保挡案，内容应包括但不限于：钻前工程环保验收检查表、钻井井场环境保护交接书及完井后井场不同方位数码照片等。</w:t>
            </w:r>
          </w:p>
          <w:p w14:paraId="46724900">
            <w:pPr>
              <w:pStyle w:val="3"/>
              <w:ind w:firstLine="480"/>
              <w:rPr>
                <w:rFonts w:eastAsia="宋体"/>
              </w:rPr>
            </w:pPr>
            <w:r>
              <w:rPr>
                <w:rFonts w:hint="eastAsia" w:eastAsia="宋体"/>
                <w:lang w:val="en-US" w:eastAsia="zh-CN"/>
              </w:rPr>
              <w:t>c</w:t>
            </w:r>
            <w:r>
              <w:rPr>
                <w:rFonts w:hint="eastAsia" w:eastAsia="宋体"/>
              </w:rPr>
              <w:t>.</w:t>
            </w:r>
            <w:r>
              <w:rPr>
                <w:rFonts w:eastAsia="宋体"/>
              </w:rPr>
              <w:t>完井后井场应平整、无油污、无积水、无废弃物、无化学药品，无垃圾，做到工完料净场地清。</w:t>
            </w:r>
          </w:p>
          <w:p w14:paraId="729A44AC">
            <w:pPr>
              <w:pStyle w:val="3"/>
              <w:ind w:firstLine="480"/>
              <w:rPr>
                <w:rFonts w:eastAsia="宋体"/>
              </w:rPr>
            </w:pPr>
            <w:bookmarkStart w:id="6" w:name="_Toc52206150"/>
            <w:bookmarkStart w:id="7" w:name="_Toc50937124"/>
            <w:r>
              <w:rPr>
                <w:rFonts w:hint="eastAsia" w:eastAsia="宋体"/>
              </w:rPr>
              <w:t>②</w:t>
            </w:r>
            <w:r>
              <w:rPr>
                <w:rFonts w:eastAsia="宋体"/>
              </w:rPr>
              <w:t>源头控制措施</w:t>
            </w:r>
            <w:bookmarkEnd w:id="6"/>
            <w:bookmarkEnd w:id="7"/>
          </w:p>
          <w:p w14:paraId="1C40EE97">
            <w:pPr>
              <w:pStyle w:val="3"/>
              <w:ind w:firstLine="480"/>
              <w:rPr>
                <w:rFonts w:eastAsia="宋体"/>
              </w:rPr>
            </w:pPr>
            <w:r>
              <w:rPr>
                <w:rFonts w:eastAsia="宋体"/>
              </w:rPr>
              <w:t>对土壤可能造成污染的主要是井场废水及固废，因此需控制井场废水及固废的产生，钻井施工源头控制措施如下：</w:t>
            </w:r>
          </w:p>
          <w:p w14:paraId="55AF0C8A">
            <w:pPr>
              <w:pStyle w:val="3"/>
              <w:ind w:firstLine="480"/>
              <w:rPr>
                <w:rFonts w:eastAsia="宋体"/>
              </w:rPr>
            </w:pPr>
            <w:r>
              <w:rPr>
                <w:rFonts w:hint="eastAsia" w:eastAsia="宋体"/>
              </w:rPr>
              <w:t>a.</w:t>
            </w:r>
            <w:r>
              <w:rPr>
                <w:rFonts w:eastAsia="宋体"/>
              </w:rPr>
              <w:t>钻井过程中应严格控制废水产生量，落实节水减排清洁生产措施，每百米进尺新鲜水消耗不得低于Q/SH 0454钻井专业清洁生产技术指标二级水平。</w:t>
            </w:r>
          </w:p>
          <w:p w14:paraId="585FA94F">
            <w:pPr>
              <w:pStyle w:val="3"/>
              <w:ind w:firstLine="480"/>
              <w:rPr>
                <w:rFonts w:eastAsia="宋体"/>
              </w:rPr>
            </w:pPr>
            <w:r>
              <w:rPr>
                <w:rFonts w:hint="eastAsia" w:eastAsia="宋体"/>
              </w:rPr>
              <w:t>b.</w:t>
            </w:r>
            <w:r>
              <w:rPr>
                <w:rFonts w:eastAsia="宋体"/>
              </w:rPr>
              <w:t>钻井过程中不得使用新鲜水冲洗设备，严格控制废水的产生，污水应尽量回用，完井后钻井废水量和钻井废水回用率应符合Q/SH 0454钻井专业清洁生产技术指标二级要求。</w:t>
            </w:r>
          </w:p>
          <w:p w14:paraId="150B3E55">
            <w:pPr>
              <w:pStyle w:val="3"/>
              <w:ind w:firstLine="480"/>
              <w:rPr>
                <w:rFonts w:eastAsia="宋体"/>
              </w:rPr>
            </w:pPr>
            <w:r>
              <w:rPr>
                <w:rFonts w:hint="eastAsia" w:eastAsia="宋体"/>
              </w:rPr>
              <w:t>c.</w:t>
            </w:r>
            <w:r>
              <w:rPr>
                <w:rFonts w:eastAsia="宋体"/>
              </w:rPr>
              <w:t>钻井过程中应严格控制废弃泥浆产生量，钻进时、完井后，应对泥浆进行回收再利用，废弃泥浆量和泥浆回收利用率应满足Q/SH 0454钻井专业清洁生产技术指标二级要求。</w:t>
            </w:r>
          </w:p>
          <w:p w14:paraId="6018824C">
            <w:pPr>
              <w:pStyle w:val="3"/>
              <w:ind w:firstLine="480"/>
              <w:rPr>
                <w:rFonts w:eastAsia="宋体"/>
              </w:rPr>
            </w:pPr>
            <w:r>
              <w:rPr>
                <w:rFonts w:hint="eastAsia" w:eastAsia="宋体"/>
              </w:rPr>
              <w:t>d.</w:t>
            </w:r>
            <w:r>
              <w:rPr>
                <w:rFonts w:eastAsia="宋体"/>
              </w:rPr>
              <w:t>钻井废水、岩屑，废弃泥浆等污染物的产生量，外运量，处理量等数据应有详细记录。</w:t>
            </w:r>
          </w:p>
          <w:p w14:paraId="26598107">
            <w:pPr>
              <w:pStyle w:val="3"/>
              <w:ind w:firstLine="480"/>
              <w:rPr>
                <w:rFonts w:eastAsia="宋体"/>
              </w:rPr>
            </w:pPr>
            <w:bookmarkStart w:id="8" w:name="_Toc50937125"/>
            <w:bookmarkStart w:id="9" w:name="_Toc52206151"/>
            <w:r>
              <w:rPr>
                <w:rFonts w:hint="eastAsia" w:eastAsia="宋体"/>
              </w:rPr>
              <w:t>③</w:t>
            </w:r>
            <w:r>
              <w:rPr>
                <w:rFonts w:eastAsia="宋体"/>
              </w:rPr>
              <w:t>过程防控措施</w:t>
            </w:r>
            <w:bookmarkEnd w:id="8"/>
            <w:bookmarkEnd w:id="9"/>
          </w:p>
          <w:p w14:paraId="734BF5DD">
            <w:pPr>
              <w:pStyle w:val="3"/>
              <w:ind w:firstLine="480"/>
              <w:rPr>
                <w:rFonts w:eastAsia="宋体"/>
              </w:rPr>
            </w:pPr>
            <w:r>
              <w:rPr>
                <w:rFonts w:eastAsia="宋体"/>
              </w:rPr>
              <w:t>本项目钻井勘探过程主要涉及的污染影响为地面漫流及入渗影响。</w:t>
            </w:r>
          </w:p>
          <w:p w14:paraId="3F5F4B36">
            <w:pPr>
              <w:pStyle w:val="3"/>
              <w:ind w:firstLine="480"/>
              <w:rPr>
                <w:rFonts w:eastAsia="宋体"/>
              </w:rPr>
            </w:pPr>
            <w:r>
              <w:rPr>
                <w:rFonts w:hint="eastAsia" w:eastAsia="宋体"/>
              </w:rPr>
              <w:t>A.</w:t>
            </w:r>
            <w:r>
              <w:rPr>
                <w:rFonts w:eastAsia="宋体"/>
              </w:rPr>
              <w:t>地面漫流污染防控措施</w:t>
            </w:r>
          </w:p>
          <w:p w14:paraId="1F6C7115">
            <w:pPr>
              <w:pStyle w:val="3"/>
              <w:ind w:firstLine="480"/>
              <w:rPr>
                <w:rFonts w:eastAsia="宋体"/>
              </w:rPr>
            </w:pPr>
            <w:r>
              <w:rPr>
                <w:rFonts w:hint="eastAsia" w:eastAsia="宋体"/>
              </w:rPr>
              <w:t>a.</w:t>
            </w:r>
            <w:r>
              <w:rPr>
                <w:rFonts w:eastAsia="宋体"/>
              </w:rPr>
              <w:t>边沟与雨水监控池</w:t>
            </w:r>
          </w:p>
          <w:p w14:paraId="0B43BF85">
            <w:pPr>
              <w:pStyle w:val="3"/>
              <w:ind w:firstLine="480"/>
              <w:rPr>
                <w:rFonts w:eastAsia="宋体"/>
              </w:rPr>
            </w:pPr>
            <w:r>
              <w:rPr>
                <w:rFonts w:eastAsia="宋体"/>
              </w:rPr>
              <w:t>井场周边应设置</w:t>
            </w:r>
            <w:r>
              <w:rPr>
                <w:rFonts w:hint="eastAsia" w:eastAsia="宋体"/>
              </w:rPr>
              <w:t>界沟</w:t>
            </w:r>
            <w:r>
              <w:rPr>
                <w:rFonts w:eastAsia="宋体"/>
              </w:rPr>
              <w:t>，排泄井场范围内的雨水。</w:t>
            </w:r>
            <w:r>
              <w:rPr>
                <w:rFonts w:hint="eastAsia" w:eastAsia="宋体"/>
              </w:rPr>
              <w:t>界沟</w:t>
            </w:r>
            <w:r>
              <w:rPr>
                <w:rFonts w:eastAsia="宋体"/>
              </w:rPr>
              <w:t>的设置符合Q/SH 0020-2007中4.7.3的规定。与毗邻的农田隔开。井场内的污水、废钻井液等不得外溢。坡面水、井场雨水等清净下水，经边沟进入雨水监控池可直接外排，受到污染时进入泥浆处理系统。开挖时，应将开挖的表土作为</w:t>
            </w:r>
            <w:r>
              <w:rPr>
                <w:rFonts w:hint="eastAsia" w:eastAsia="宋体"/>
              </w:rPr>
              <w:t>复垦</w:t>
            </w:r>
            <w:r>
              <w:rPr>
                <w:rFonts w:eastAsia="宋体"/>
              </w:rPr>
              <w:t>回填土单独堆存。</w:t>
            </w:r>
          </w:p>
          <w:p w14:paraId="044A826A">
            <w:pPr>
              <w:pStyle w:val="3"/>
              <w:ind w:firstLine="480"/>
              <w:rPr>
                <w:rFonts w:eastAsia="宋体"/>
              </w:rPr>
            </w:pPr>
            <w:r>
              <w:rPr>
                <w:rFonts w:hint="eastAsia" w:eastAsia="宋体"/>
              </w:rPr>
              <w:t>b.</w:t>
            </w:r>
            <w:r>
              <w:rPr>
                <w:rFonts w:eastAsia="宋体"/>
              </w:rPr>
              <w:t>污水沟</w:t>
            </w:r>
          </w:p>
          <w:p w14:paraId="5F6DFC3A">
            <w:pPr>
              <w:pStyle w:val="3"/>
              <w:ind w:firstLine="480"/>
              <w:rPr>
                <w:rFonts w:eastAsia="宋体"/>
              </w:rPr>
            </w:pPr>
            <w:r>
              <w:rPr>
                <w:rFonts w:eastAsia="宋体"/>
              </w:rPr>
              <w:t>井场钻台、机房、泵房、循环罐区应设置污水沟。发电房和油罐区四周设置环形</w:t>
            </w:r>
            <w:r>
              <w:rPr>
                <w:rFonts w:hint="eastAsia" w:eastAsia="宋体"/>
              </w:rPr>
              <w:t>截污</w:t>
            </w:r>
            <w:r>
              <w:rPr>
                <w:rFonts w:eastAsia="宋体"/>
              </w:rPr>
              <w:t>沟，并配备应急储备罐。开挖时，应将开挖的表土作为</w:t>
            </w:r>
            <w:r>
              <w:rPr>
                <w:rFonts w:hint="eastAsia" w:eastAsia="宋体"/>
              </w:rPr>
              <w:t>复垦</w:t>
            </w:r>
            <w:r>
              <w:rPr>
                <w:rFonts w:eastAsia="宋体"/>
              </w:rPr>
              <w:t>回填土单独堆存。</w:t>
            </w:r>
          </w:p>
          <w:p w14:paraId="08F5B284">
            <w:pPr>
              <w:pStyle w:val="3"/>
              <w:ind w:firstLine="560"/>
              <w:rPr>
                <w:rFonts w:eastAsia="宋体"/>
              </w:rPr>
            </w:pPr>
            <w:r>
              <w:rPr>
                <w:rFonts w:hint="eastAsia" w:eastAsia="宋体"/>
                <w:sz w:val="28"/>
                <w:szCs w:val="28"/>
              </w:rPr>
              <w:t>B.</w:t>
            </w:r>
            <w:r>
              <w:rPr>
                <w:rFonts w:eastAsia="宋体"/>
              </w:rPr>
              <w:t>入渗污染防控措施</w:t>
            </w:r>
          </w:p>
          <w:p w14:paraId="58FD20CD">
            <w:pPr>
              <w:pStyle w:val="3"/>
              <w:ind w:firstLine="480"/>
              <w:rPr>
                <w:rFonts w:eastAsia="宋体"/>
              </w:rPr>
            </w:pPr>
            <w:r>
              <w:rPr>
                <w:rFonts w:eastAsia="宋体"/>
              </w:rPr>
              <w:t>入渗污染防控主要通过井场防渗控制，井场防渗措施见</w:t>
            </w:r>
            <w:r>
              <w:rPr>
                <w:rFonts w:hint="eastAsia" w:eastAsia="宋体"/>
              </w:rPr>
              <w:t>地下水污染防治措施</w:t>
            </w:r>
            <w:r>
              <w:rPr>
                <w:rFonts w:eastAsia="宋体"/>
              </w:rPr>
              <w:t>章节。</w:t>
            </w:r>
          </w:p>
          <w:p w14:paraId="67099C53">
            <w:pPr>
              <w:pStyle w:val="3"/>
              <w:ind w:firstLine="480"/>
              <w:rPr>
                <w:rFonts w:eastAsia="宋体"/>
              </w:rPr>
            </w:pPr>
            <w:r>
              <w:rPr>
                <w:rFonts w:hint="eastAsia" w:eastAsia="宋体"/>
              </w:rPr>
              <w:t>（2）小结</w:t>
            </w:r>
          </w:p>
          <w:p w14:paraId="4491B352">
            <w:pPr>
              <w:pStyle w:val="3"/>
              <w:ind w:firstLine="480"/>
              <w:rPr>
                <w:rFonts w:eastAsia="宋体"/>
              </w:rPr>
            </w:pPr>
            <w:r>
              <w:rPr>
                <w:rFonts w:eastAsia="宋体"/>
              </w:rPr>
              <w:t>本工程对土壤污染影响为废弃泥浆及废水渗漏。建议在施工中应采取减小占地面积、规定好行车路线、对废弃泥浆进行及时处理，做到废弃泥浆不落地。</w:t>
            </w:r>
            <w:r>
              <w:rPr>
                <w:rFonts w:hint="eastAsia" w:eastAsia="宋体"/>
              </w:rPr>
              <w:t>由此，</w:t>
            </w:r>
            <w:r>
              <w:rPr>
                <w:rFonts w:eastAsia="宋体"/>
              </w:rPr>
              <w:t>本项目勘探井场严格按照土壤和地下水保护措施进行防渗的条件下，对土壤环境的影响可以接受。</w:t>
            </w:r>
          </w:p>
          <w:p w14:paraId="15999F8E">
            <w:pPr>
              <w:pStyle w:val="2"/>
              <w:ind w:firstLine="482" w:firstLineChars="200"/>
              <w:rPr>
                <w:rFonts w:eastAsia="宋体"/>
              </w:rPr>
            </w:pPr>
            <w:r>
              <w:rPr>
                <w:rFonts w:hint="eastAsia" w:eastAsia="宋体"/>
              </w:rPr>
              <w:t>6、噪声</w:t>
            </w:r>
          </w:p>
          <w:p w14:paraId="24616757">
            <w:pPr>
              <w:pStyle w:val="3"/>
              <w:ind w:firstLine="480"/>
              <w:rPr>
                <w:rFonts w:eastAsia="宋体"/>
                <w:color w:val="auto"/>
              </w:rPr>
            </w:pPr>
            <w:r>
              <w:rPr>
                <w:rFonts w:hint="eastAsia" w:eastAsia="宋体"/>
                <w:color w:val="auto"/>
              </w:rPr>
              <w:t>本项目仅涉及勘探期，勘探期间柴油机、钻机、压裂泵等高噪声设备工作时对井场周围声环境产生一定的影响，但勘探期结束后，噪声的影响会随勘探施工的结束而终止。</w:t>
            </w:r>
          </w:p>
          <w:p w14:paraId="192E5CF8">
            <w:pPr>
              <w:pStyle w:val="3"/>
              <w:ind w:firstLine="480"/>
              <w:rPr>
                <w:rFonts w:eastAsia="宋体"/>
                <w:color w:val="auto"/>
              </w:rPr>
            </w:pPr>
            <w:r>
              <w:rPr>
                <w:rFonts w:hint="eastAsia" w:eastAsia="宋体"/>
                <w:color w:val="auto"/>
              </w:rPr>
              <w:t>钻井过程中钻机、柴油机、泥浆泵同时工作时噪声叠加值较高，因此在临近居民一侧使用声屏障，施工时尽可能使用网电，避免使用柴油机发电，严格执行当地政府控制规定，与居民区做好沟通，尽量减少噪声扰民影响。</w:t>
            </w:r>
          </w:p>
          <w:p w14:paraId="48ED90BB">
            <w:pPr>
              <w:pStyle w:val="3"/>
              <w:ind w:firstLine="480"/>
              <w:rPr>
                <w:rFonts w:eastAsia="宋体"/>
                <w:color w:val="auto"/>
              </w:rPr>
            </w:pPr>
            <w:r>
              <w:rPr>
                <w:rFonts w:hint="eastAsia" w:eastAsia="宋体"/>
                <w:color w:val="auto"/>
              </w:rPr>
              <w:t>此外通过采取以下措施后，可减缓对周围环境的影响：</w:t>
            </w:r>
          </w:p>
          <w:p w14:paraId="7C685339">
            <w:pPr>
              <w:pStyle w:val="3"/>
              <w:ind w:firstLine="480"/>
              <w:rPr>
                <w:rFonts w:eastAsia="宋体"/>
                <w:color w:val="auto"/>
              </w:rPr>
            </w:pPr>
            <w:r>
              <w:rPr>
                <w:rFonts w:hint="eastAsia" w:eastAsia="宋体"/>
                <w:color w:val="auto"/>
              </w:rPr>
              <w:t>一、井场噪声影响减缓措施</w:t>
            </w:r>
          </w:p>
          <w:p w14:paraId="598863DB">
            <w:pPr>
              <w:pStyle w:val="3"/>
              <w:ind w:firstLine="480"/>
              <w:rPr>
                <w:rFonts w:eastAsia="宋体"/>
                <w:color w:val="auto"/>
              </w:rPr>
            </w:pPr>
            <w:r>
              <w:rPr>
                <w:rFonts w:hint="eastAsia" w:eastAsia="宋体"/>
                <w:color w:val="auto"/>
              </w:rPr>
              <w:t>①选取合适的井场位置，尽可能远离居民区</w:t>
            </w:r>
          </w:p>
          <w:p w14:paraId="7F2F8752">
            <w:pPr>
              <w:pStyle w:val="3"/>
              <w:ind w:firstLine="480"/>
              <w:rPr>
                <w:rFonts w:hint="eastAsia" w:eastAsia="宋体"/>
                <w:color w:val="auto"/>
              </w:rPr>
            </w:pPr>
            <w:r>
              <w:rPr>
                <w:rFonts w:hint="eastAsia" w:eastAsia="宋体"/>
                <w:color w:val="auto"/>
              </w:rPr>
              <w:t>根据预测分析，在采取以上降噪措施后，钻井噪声在井场周边敏感点贡献值与敏感点噪声背景值叠加后的预测值仍能够达到相应噪声环境质量标准。</w:t>
            </w:r>
          </w:p>
          <w:p w14:paraId="3A730D34">
            <w:pPr>
              <w:pStyle w:val="3"/>
              <w:ind w:firstLine="480"/>
              <w:rPr>
                <w:rFonts w:eastAsia="宋体"/>
                <w:color w:val="auto"/>
              </w:rPr>
            </w:pPr>
            <w:r>
              <w:rPr>
                <w:rFonts w:hint="eastAsia" w:eastAsia="宋体"/>
                <w:color w:val="auto"/>
              </w:rPr>
              <w:t>②本项目勘探期间，运输车辆应尽可能减少鸣号，尤其是在晚间和午休时间。</w:t>
            </w:r>
          </w:p>
          <w:p w14:paraId="01D34310">
            <w:pPr>
              <w:pStyle w:val="3"/>
              <w:ind w:firstLine="480"/>
              <w:rPr>
                <w:rFonts w:eastAsia="宋体"/>
                <w:color w:val="auto"/>
              </w:rPr>
            </w:pPr>
            <w:r>
              <w:rPr>
                <w:rFonts w:hint="eastAsia" w:eastAsia="宋体"/>
                <w:color w:val="auto"/>
              </w:rPr>
              <w:t>③加强设备维护与保养。</w:t>
            </w:r>
          </w:p>
          <w:p w14:paraId="4FEDEC05">
            <w:pPr>
              <w:pStyle w:val="3"/>
              <w:ind w:firstLine="480"/>
              <w:rPr>
                <w:rFonts w:eastAsia="宋体"/>
                <w:color w:val="auto"/>
              </w:rPr>
            </w:pPr>
            <w:r>
              <w:rPr>
                <w:rFonts w:hint="eastAsia" w:eastAsia="宋体"/>
                <w:color w:val="auto"/>
              </w:rPr>
              <w:t>根据以往油田现场作业经验，设备缺少维护与保养是造成噪声扰民的主要原因，在本项目施工过程中需加强各类设备的维护，减少摩擦声。</w:t>
            </w:r>
          </w:p>
          <w:p w14:paraId="1515D975">
            <w:pPr>
              <w:pStyle w:val="3"/>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④做好勘探期噪声监测和与周边居民沟通工作，在临近居民区的</w:t>
            </w:r>
            <w:r>
              <w:rPr>
                <w:rFonts w:hint="eastAsia" w:eastAsia="宋体"/>
                <w:color w:val="000000" w:themeColor="text1"/>
                <w:lang w:val="en-US" w:eastAsia="zh-CN"/>
                <w14:textFill>
                  <w14:solidFill>
                    <w14:schemeClr w14:val="tx1"/>
                  </w14:solidFill>
                </w14:textFill>
              </w:rPr>
              <w:t>西北侧和东</w:t>
            </w:r>
            <w:r>
              <w:rPr>
                <w:rFonts w:hint="eastAsia" w:eastAsia="宋体"/>
                <w:color w:val="000000" w:themeColor="text1"/>
                <w14:textFill>
                  <w14:solidFill>
                    <w14:schemeClr w14:val="tx1"/>
                  </w14:solidFill>
                </w14:textFill>
              </w:rPr>
              <w:t>侧采取隔声降噪措施。本项目应在勘探期对井场及周边敏感点开展噪声监测，加强井场管理。</w:t>
            </w:r>
          </w:p>
          <w:p w14:paraId="6660DAB5">
            <w:pPr>
              <w:pStyle w:val="3"/>
              <w:ind w:firstLine="480"/>
              <w:rPr>
                <w:rFonts w:eastAsia="宋体"/>
                <w:color w:val="auto"/>
              </w:rPr>
            </w:pPr>
            <w:r>
              <w:rPr>
                <w:rFonts w:hint="eastAsia" w:eastAsia="宋体"/>
                <w:color w:val="auto"/>
              </w:rPr>
              <w:t>二、主要高噪声设备噪声影响控制措施</w:t>
            </w:r>
          </w:p>
          <w:p w14:paraId="73D78AF1">
            <w:pPr>
              <w:pStyle w:val="3"/>
              <w:ind w:firstLine="480"/>
              <w:rPr>
                <w:rFonts w:eastAsia="宋体"/>
                <w:color w:val="auto"/>
              </w:rPr>
            </w:pPr>
            <w:r>
              <w:rPr>
                <w:rFonts w:hint="eastAsia" w:eastAsia="宋体"/>
                <w:color w:val="auto"/>
              </w:rPr>
              <w:t>①对钻井柴油发电机组采取局部隔声等降噪措施</w:t>
            </w:r>
          </w:p>
          <w:p w14:paraId="0C37DBFE">
            <w:pPr>
              <w:pStyle w:val="3"/>
              <w:ind w:firstLine="480"/>
              <w:rPr>
                <w:rFonts w:eastAsia="宋体"/>
                <w:color w:val="auto"/>
              </w:rPr>
            </w:pPr>
            <w:r>
              <w:rPr>
                <w:rFonts w:hint="eastAsia" w:eastAsia="宋体"/>
                <w:color w:val="auto"/>
              </w:rPr>
              <w:t>应采用低噪声柴油机组，柴油机组设置在发电机房内并尽可能远离居民点布设，柴油机组排气筒处安装防火消声器，使用采用多级内插管扩张室消声器或微穿孔板与扩张室复合消声器，消声量可达25dB</w:t>
            </w:r>
            <w:r>
              <w:rPr>
                <w:rFonts w:hint="eastAsia" w:ascii="宋体" w:hAnsi="宋体" w:eastAsia="宋体" w:cs="宋体"/>
                <w:color w:val="auto"/>
              </w:rPr>
              <w:t>(</w:t>
            </w:r>
            <w:r>
              <w:rPr>
                <w:rFonts w:hint="eastAsia" w:eastAsia="宋体"/>
                <w:color w:val="auto"/>
              </w:rPr>
              <w:t>A</w:t>
            </w:r>
            <w:r>
              <w:rPr>
                <w:rFonts w:hint="eastAsia" w:ascii="宋体" w:hAnsi="宋体" w:eastAsia="宋体" w:cs="宋体"/>
                <w:color w:val="auto"/>
              </w:rPr>
              <w:t>)</w:t>
            </w:r>
            <w:r>
              <w:rPr>
                <w:rFonts w:hint="eastAsia" w:eastAsia="宋体"/>
                <w:color w:val="auto"/>
              </w:rPr>
              <w:t>。在靠近居民点一侧设置隔声屏，至少遮挡设备75%的体积，隔声屏安装后底部不能与地面之间存在明显的空隙。</w:t>
            </w:r>
          </w:p>
          <w:p w14:paraId="7160149C">
            <w:pPr>
              <w:pStyle w:val="3"/>
              <w:ind w:firstLine="480"/>
              <w:rPr>
                <w:rFonts w:eastAsia="宋体"/>
                <w:color w:val="auto"/>
              </w:rPr>
            </w:pPr>
            <w:r>
              <w:rPr>
                <w:rFonts w:hint="eastAsia" w:eastAsia="宋体"/>
                <w:color w:val="auto"/>
              </w:rPr>
              <w:t>钻井期间钻井设备优先使用网电，根据现场施工情况采取柴油钻机或电机钻机，使用柴油发电机且勘探井周围200m范围内有居民点，针对较近的敏感点，尽可能与地方供电部门协商接电，选用低噪声的施工机械，将钻机、泥浆泵、振动筛、柴油发电机房等高噪声设备布置在远离居民一侧，使居民区与噪声源保持一定的噪声衰减的距离，最大限度的降低钻井噪声对敏感点的影响，必要时在设备附近安装隔声挡板，并与周边居民做好沟通工作，取得周边居民的理解支持。</w:t>
            </w:r>
          </w:p>
          <w:p w14:paraId="787A7907">
            <w:pPr>
              <w:pStyle w:val="3"/>
              <w:ind w:firstLine="480"/>
              <w:rPr>
                <w:rFonts w:eastAsia="宋体"/>
                <w:color w:val="auto"/>
              </w:rPr>
            </w:pPr>
            <w:r>
              <w:rPr>
                <w:rFonts w:hint="eastAsia" w:eastAsia="宋体"/>
                <w:color w:val="auto"/>
              </w:rPr>
              <w:t>②针对泥浆泵、压裂泵噪声设备的治理措施</w:t>
            </w:r>
          </w:p>
          <w:p w14:paraId="5D406A76">
            <w:pPr>
              <w:pStyle w:val="3"/>
              <w:ind w:firstLine="480"/>
              <w:rPr>
                <w:rFonts w:eastAsia="宋体"/>
                <w:color w:val="auto"/>
              </w:rPr>
            </w:pPr>
            <w:r>
              <w:rPr>
                <w:rFonts w:hint="eastAsia" w:eastAsia="宋体"/>
                <w:color w:val="auto"/>
              </w:rPr>
              <w:t>对于链条传动箱驱动的泥浆泵，在泵两侧安装隔音罩，电机驱动的泵组，在泵组三面及顶部安装隔音墙。</w:t>
            </w:r>
          </w:p>
          <w:p w14:paraId="46D69E4B">
            <w:pPr>
              <w:pStyle w:val="3"/>
              <w:ind w:firstLine="480"/>
              <w:rPr>
                <w:rFonts w:eastAsia="宋体"/>
                <w:color w:val="auto"/>
              </w:rPr>
            </w:pPr>
            <w:r>
              <w:rPr>
                <w:rFonts w:hint="eastAsia" w:eastAsia="宋体"/>
                <w:color w:val="auto"/>
              </w:rPr>
              <w:t>压裂泵在施工过程中为不固定场点的噪声作业，其中以增压机的噪声为主，本项目拟在增压机加装减振基座，减少增压机的振动及噪声。压裂作业前应告知周边居民具体的作业时间，同时针对施工人员，建议佩戴耳塞、耳罩，推荐采用慢回弹泡沫塑料耳塞，减少施工作业对工作人员的影响。</w:t>
            </w:r>
          </w:p>
          <w:p w14:paraId="2CC7424D">
            <w:pPr>
              <w:pStyle w:val="3"/>
              <w:ind w:firstLine="480"/>
              <w:rPr>
                <w:rFonts w:hint="eastAsia" w:eastAsia="宋体"/>
              </w:rPr>
            </w:pPr>
            <w:r>
              <w:rPr>
                <w:rFonts w:hint="eastAsia" w:eastAsia="宋体"/>
                <w:color w:val="auto"/>
              </w:rPr>
              <w:t>通过上述降噪措施并与周边居民积极沟通，本项目勘探期产生的噪声影响范围内不会产生噪声扰民现象，施工结束后周边声环境恢复正常。</w:t>
            </w:r>
          </w:p>
          <w:p w14:paraId="72CBC592">
            <w:pPr>
              <w:pStyle w:val="2"/>
              <w:ind w:firstLine="482" w:firstLineChars="200"/>
              <w:rPr>
                <w:rFonts w:eastAsia="宋体"/>
              </w:rPr>
            </w:pPr>
            <w:r>
              <w:rPr>
                <w:rFonts w:hint="eastAsia" w:eastAsia="宋体"/>
              </w:rPr>
              <w:t>7、固体废物</w:t>
            </w:r>
          </w:p>
          <w:p w14:paraId="61B77DAA">
            <w:pPr>
              <w:pStyle w:val="3"/>
              <w:ind w:firstLine="480"/>
              <w:rPr>
                <w:rFonts w:eastAsia="宋体"/>
                <w:color w:val="auto"/>
              </w:rPr>
            </w:pPr>
            <w:r>
              <w:rPr>
                <w:rFonts w:hint="eastAsia" w:eastAsia="宋体"/>
                <w:color w:val="auto"/>
              </w:rPr>
              <w:t>（1）污染防治措施</w:t>
            </w:r>
          </w:p>
          <w:p w14:paraId="4CAB1545">
            <w:pPr>
              <w:pStyle w:val="3"/>
              <w:ind w:firstLine="480"/>
              <w:rPr>
                <w:rFonts w:eastAsia="宋体"/>
                <w:color w:val="auto"/>
              </w:rPr>
            </w:pPr>
            <w:r>
              <w:rPr>
                <w:rFonts w:hint="eastAsia" w:eastAsia="宋体"/>
                <w:color w:val="auto"/>
              </w:rPr>
              <w:t>本项目固体废物主要为</w:t>
            </w:r>
            <w:r>
              <w:rPr>
                <w:rFonts w:hint="eastAsia" w:eastAsia="宋体"/>
                <w:color w:val="auto"/>
                <w:lang w:val="en-US" w:eastAsia="zh-CN"/>
              </w:rPr>
              <w:t>泥饼</w:t>
            </w:r>
            <w:r>
              <w:rPr>
                <w:rFonts w:hint="eastAsia" w:eastAsia="宋体"/>
                <w:color w:val="auto"/>
              </w:rPr>
              <w:t>、施工废料、生活垃圾</w:t>
            </w:r>
            <w:r>
              <w:rPr>
                <w:rFonts w:hint="eastAsia" w:eastAsia="宋体"/>
                <w:color w:val="auto"/>
                <w:lang w:eastAsia="zh-CN"/>
              </w:rPr>
              <w:t>、</w:t>
            </w:r>
            <w:r>
              <w:rPr>
                <w:rFonts w:hint="eastAsia" w:eastAsia="宋体"/>
                <w:color w:val="auto"/>
              </w:rPr>
              <w:t>废润滑油</w:t>
            </w:r>
            <w:r>
              <w:rPr>
                <w:rFonts w:hint="eastAsia" w:eastAsia="宋体"/>
                <w:color w:val="auto"/>
                <w:lang w:val="en-US" w:eastAsia="zh-CN"/>
              </w:rPr>
              <w:t>和</w:t>
            </w:r>
            <w:r>
              <w:rPr>
                <w:rFonts w:hint="eastAsia" w:eastAsia="宋体"/>
                <w:color w:val="auto"/>
              </w:rPr>
              <w:t>废</w:t>
            </w:r>
            <w:r>
              <w:rPr>
                <w:rFonts w:hint="eastAsia" w:eastAsia="宋体"/>
                <w:color w:val="auto"/>
                <w:lang w:val="en-US" w:eastAsia="zh-CN"/>
              </w:rPr>
              <w:t>沾油防渗膜</w:t>
            </w:r>
            <w:r>
              <w:rPr>
                <w:rFonts w:hint="eastAsia" w:eastAsia="宋体"/>
                <w:color w:val="auto"/>
              </w:rPr>
              <w:t>。</w:t>
            </w:r>
          </w:p>
          <w:p w14:paraId="5D78EADB">
            <w:pPr>
              <w:pStyle w:val="3"/>
              <w:ind w:firstLine="480"/>
              <w:rPr>
                <w:rFonts w:hint="eastAsia" w:eastAsia="宋体"/>
                <w:color w:val="auto"/>
                <w:lang w:eastAsia="zh-CN"/>
              </w:rPr>
            </w:pPr>
            <w:r>
              <w:rPr>
                <w:rFonts w:hint="eastAsia" w:eastAsia="宋体"/>
                <w:color w:val="auto"/>
              </w:rPr>
              <w:t>①</w:t>
            </w:r>
            <w:r>
              <w:rPr>
                <w:rFonts w:hint="eastAsia" w:eastAsia="宋体"/>
                <w:color w:val="auto"/>
                <w:lang w:val="en-US" w:eastAsia="zh-CN"/>
              </w:rPr>
              <w:t>泥饼</w:t>
            </w:r>
          </w:p>
          <w:p w14:paraId="136613BE">
            <w:pPr>
              <w:pStyle w:val="3"/>
              <w:ind w:firstLine="480"/>
              <w:rPr>
                <w:rFonts w:hint="eastAsia" w:eastAsia="宋体"/>
                <w:color w:val="000000" w:themeColor="text1"/>
                <w:lang w:eastAsia="zh-CN"/>
                <w14:textFill>
                  <w14:solidFill>
                    <w14:schemeClr w14:val="tx1"/>
                  </w14:solidFill>
                </w14:textFill>
              </w:rPr>
            </w:pPr>
            <w:r>
              <w:rPr>
                <w:rFonts w:hint="eastAsia" w:eastAsia="宋体"/>
                <w:color w:val="000000" w:themeColor="text1"/>
                <w14:textFill>
                  <w14:solidFill>
                    <w14:schemeClr w14:val="tx1"/>
                  </w14:solidFill>
                </w14:textFill>
              </w:rPr>
              <w:t>本项目废弃泥浆、岩屑经</w:t>
            </w:r>
            <w:r>
              <w:rPr>
                <w:rFonts w:hint="eastAsia" w:eastAsia="宋体"/>
                <w:color w:val="000000" w:themeColor="text1"/>
                <w:lang w:eastAsia="zh-CN"/>
                <w14:textFill>
                  <w14:solidFill>
                    <w14:schemeClr w14:val="tx1"/>
                  </w14:solidFill>
                </w14:textFill>
              </w:rPr>
              <w:t>场区</w:t>
            </w:r>
            <w:r>
              <w:rPr>
                <w:rFonts w:hint="eastAsia" w:eastAsia="宋体"/>
                <w:color w:val="000000" w:themeColor="text1"/>
                <w14:textFill>
                  <w14:solidFill>
                    <w14:schemeClr w14:val="tx1"/>
                  </w14:solidFill>
                </w14:textFill>
              </w:rPr>
              <w:t>泥浆不落地系统</w:t>
            </w:r>
            <w:r>
              <w:rPr>
                <w:rFonts w:hint="eastAsia" w:eastAsia="宋体"/>
                <w:color w:val="000000" w:themeColor="text1"/>
                <w:lang w:val="en-US" w:eastAsia="zh-CN"/>
                <w14:textFill>
                  <w14:solidFill>
                    <w14:schemeClr w14:val="tx1"/>
                  </w14:solidFill>
                </w14:textFill>
              </w:rPr>
              <w:t>压滤后形成泥饼，</w:t>
            </w:r>
            <w:r>
              <w:rPr>
                <w:rFonts w:hint="eastAsia" w:eastAsia="宋体"/>
                <w:color w:val="000000" w:themeColor="text1"/>
                <w14:textFill>
                  <w14:solidFill>
                    <w14:schemeClr w14:val="tx1"/>
                  </w14:solidFill>
                </w14:textFill>
              </w:rPr>
              <w:t>暂存于泥浆罐，委托</w:t>
            </w:r>
            <w:r>
              <w:rPr>
                <w:rFonts w:hint="eastAsia" w:eastAsia="宋体"/>
                <w:color w:val="000000" w:themeColor="text1"/>
                <w:lang w:val="en-US" w:eastAsia="zh-CN"/>
                <w14:textFill>
                  <w14:solidFill>
                    <w14:schemeClr w14:val="tx1"/>
                  </w14:solidFill>
                </w14:textFill>
              </w:rPr>
              <w:t>下游单位</w:t>
            </w:r>
            <w:r>
              <w:rPr>
                <w:rFonts w:hint="eastAsia" w:eastAsia="宋体"/>
                <w:color w:val="000000" w:themeColor="text1"/>
                <w14:textFill>
                  <w14:solidFill>
                    <w14:schemeClr w14:val="tx1"/>
                  </w14:solidFill>
                </w14:textFill>
              </w:rPr>
              <w:t>制成建材</w:t>
            </w:r>
            <w:r>
              <w:rPr>
                <w:rFonts w:hint="eastAsia" w:eastAsia="宋体"/>
                <w:color w:val="000000" w:themeColor="text1"/>
                <w:lang w:eastAsia="zh-CN"/>
                <w14:textFill>
                  <w14:solidFill>
                    <w14:schemeClr w14:val="tx1"/>
                  </w14:solidFill>
                </w14:textFill>
              </w:rPr>
              <w:t>。</w:t>
            </w:r>
          </w:p>
          <w:p w14:paraId="1296E34A">
            <w:pPr>
              <w:pStyle w:val="3"/>
              <w:ind w:firstLine="480"/>
              <w:rPr>
                <w:rFonts w:eastAsia="宋体"/>
                <w:color w:val="auto"/>
              </w:rPr>
            </w:pPr>
            <w:r>
              <w:rPr>
                <w:rFonts w:hint="eastAsia" w:eastAsia="宋体"/>
                <w:color w:val="auto"/>
              </w:rPr>
              <w:t>②施工废料</w:t>
            </w:r>
          </w:p>
          <w:p w14:paraId="6186143B">
            <w:pPr>
              <w:pStyle w:val="3"/>
              <w:ind w:firstLine="480"/>
              <w:rPr>
                <w:rFonts w:eastAsia="宋体"/>
                <w:color w:val="auto"/>
              </w:rPr>
            </w:pPr>
            <w:r>
              <w:rPr>
                <w:rFonts w:hint="eastAsia" w:eastAsia="宋体"/>
                <w:color w:val="auto"/>
              </w:rPr>
              <w:t>施工废料主要包括废包装、废防腐材料和废混凝土，井场工业垃圾应定点存放，集中回收。勘探期施工废料全部为一般性工业固体废物，无危险废物。施工废料尽量回收利用，不能回收利用的打包交给环卫部门处理，不会对环境造成破坏。完井后，应清除地面施工废料，恢复地貌，保持井场及井口设备清洁，并按规定做好钻井环境保护交接。</w:t>
            </w:r>
          </w:p>
          <w:p w14:paraId="450C4610">
            <w:pPr>
              <w:pStyle w:val="3"/>
              <w:ind w:firstLine="480"/>
              <w:rPr>
                <w:rFonts w:eastAsia="宋体"/>
                <w:color w:val="auto"/>
              </w:rPr>
            </w:pPr>
            <w:r>
              <w:rPr>
                <w:rFonts w:hint="eastAsia" w:eastAsia="宋体"/>
                <w:color w:val="auto"/>
              </w:rPr>
              <w:t>③生活垃圾</w:t>
            </w:r>
          </w:p>
          <w:p w14:paraId="0704B273">
            <w:pPr>
              <w:pStyle w:val="3"/>
              <w:ind w:firstLine="480"/>
              <w:rPr>
                <w:rFonts w:eastAsia="宋体"/>
                <w:color w:val="auto"/>
              </w:rPr>
            </w:pPr>
            <w:r>
              <w:rPr>
                <w:rFonts w:hint="eastAsia" w:eastAsia="宋体"/>
                <w:color w:val="auto"/>
              </w:rPr>
              <w:t>在井场内设置一定数量的密封式垃圾桶，由井场内服务员每日清理一次，生活垃圾交由当地环卫部门处理。</w:t>
            </w:r>
          </w:p>
          <w:p w14:paraId="33F48B7D">
            <w:pPr>
              <w:pStyle w:val="3"/>
              <w:ind w:firstLine="480"/>
              <w:rPr>
                <w:rFonts w:eastAsia="宋体"/>
                <w:color w:val="auto"/>
              </w:rPr>
            </w:pPr>
            <w:r>
              <w:rPr>
                <w:rFonts w:hint="eastAsia" w:eastAsia="宋体"/>
                <w:color w:val="auto"/>
              </w:rPr>
              <w:t>④废润滑油</w:t>
            </w:r>
          </w:p>
          <w:p w14:paraId="36B3470D">
            <w:pPr>
              <w:pStyle w:val="3"/>
              <w:ind w:firstLine="480"/>
              <w:rPr>
                <w:rFonts w:hint="eastAsia"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本项目勘探施工期较短，施工结束后机械设备运至石油公司内部指定部门进行维护保养，保养过程中产生的废润滑油由保养部门送至资质单位处置，勘探现场不产生废润滑油。</w:t>
            </w:r>
          </w:p>
          <w:p w14:paraId="459E4CBF">
            <w:pPr>
              <w:pStyle w:val="3"/>
              <w:ind w:firstLine="480"/>
              <w:rPr>
                <w:rFonts w:hint="default" w:eastAsia="宋体"/>
                <w:color w:val="auto"/>
                <w:lang w:val="en-US" w:eastAsia="zh-CN"/>
              </w:rPr>
            </w:pPr>
            <w:r>
              <w:rPr>
                <w:rFonts w:hint="eastAsia" w:eastAsia="宋体"/>
                <w:color w:val="auto"/>
              </w:rPr>
              <w:t>⑤废</w:t>
            </w:r>
            <w:r>
              <w:rPr>
                <w:rFonts w:hint="eastAsia" w:eastAsia="宋体"/>
                <w:color w:val="auto"/>
                <w:lang w:val="en-US" w:eastAsia="zh-CN"/>
              </w:rPr>
              <w:t>沾油防渗膜</w:t>
            </w:r>
          </w:p>
          <w:p w14:paraId="716904A8">
            <w:pPr>
              <w:pStyle w:val="3"/>
              <w:ind w:firstLine="480"/>
              <w:rPr>
                <w:rFonts w:hint="eastAsia"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本项目勘探</w:t>
            </w:r>
            <w:r>
              <w:rPr>
                <w:rFonts w:hint="eastAsia" w:eastAsia="宋体"/>
                <w:color w:val="000000" w:themeColor="text1"/>
                <w:lang w:val="en-US" w:eastAsia="zh-CN"/>
                <w14:textFill>
                  <w14:solidFill>
                    <w14:schemeClr w14:val="tx1"/>
                  </w14:solidFill>
                </w14:textFill>
              </w:rPr>
              <w:t>场地防渗工作</w:t>
            </w:r>
            <w:r>
              <w:rPr>
                <w:rFonts w:hint="eastAsia" w:eastAsia="宋体"/>
                <w:color w:val="000000" w:themeColor="text1"/>
                <w14:textFill>
                  <w14:solidFill>
                    <w14:schemeClr w14:val="tx1"/>
                  </w14:solidFill>
                </w14:textFill>
              </w:rPr>
              <w:t>中会产生废</w:t>
            </w:r>
            <w:r>
              <w:rPr>
                <w:rFonts w:hint="eastAsia" w:eastAsia="宋体"/>
                <w:color w:val="000000" w:themeColor="text1"/>
                <w:lang w:val="en-US" w:eastAsia="zh-CN"/>
                <w14:textFill>
                  <w14:solidFill>
                    <w14:schemeClr w14:val="tx1"/>
                  </w14:solidFill>
                </w14:textFill>
              </w:rPr>
              <w:t>沾油防渗膜</w:t>
            </w:r>
            <w:r>
              <w:rPr>
                <w:rFonts w:hint="eastAsia" w:eastAsia="宋体"/>
                <w:color w:val="000000" w:themeColor="text1"/>
                <w14:textFill>
                  <w14:solidFill>
                    <w14:schemeClr w14:val="tx1"/>
                  </w14:solidFill>
                </w14:textFill>
              </w:rPr>
              <w:t>，</w:t>
            </w:r>
            <w:r>
              <w:rPr>
                <w:rFonts w:hint="eastAsia" w:eastAsia="宋体"/>
                <w:color w:val="000000" w:themeColor="text1"/>
                <w:lang w:val="en-US" w:eastAsia="zh-CN"/>
                <w14:textFill>
                  <w14:solidFill>
                    <w14:schemeClr w14:val="tx1"/>
                  </w14:solidFill>
                </w14:textFill>
              </w:rPr>
              <w:t>产生后立即委托有资质单位</w:t>
            </w:r>
            <w:r>
              <w:rPr>
                <w:rFonts w:hint="eastAsia" w:eastAsia="宋体"/>
                <w:color w:val="000000" w:themeColor="text1"/>
                <w14:textFill>
                  <w14:solidFill>
                    <w14:schemeClr w14:val="tx1"/>
                  </w14:solidFill>
                </w14:textFill>
              </w:rPr>
              <w:t>直接运走，不在本项目场地内暂存</w:t>
            </w:r>
            <w:r>
              <w:rPr>
                <w:rFonts w:hint="eastAsia" w:eastAsia="宋体"/>
                <w:color w:val="000000" w:themeColor="text1"/>
                <w:lang w:eastAsia="zh-CN"/>
                <w14:textFill>
                  <w14:solidFill>
                    <w14:schemeClr w14:val="tx1"/>
                  </w14:solidFill>
                </w14:textFill>
              </w:rPr>
              <w:t>。</w:t>
            </w:r>
          </w:p>
          <w:p w14:paraId="49244D37">
            <w:pPr>
              <w:pStyle w:val="3"/>
              <w:ind w:firstLine="480"/>
              <w:rPr>
                <w:rFonts w:eastAsia="宋体"/>
                <w:color w:val="auto"/>
              </w:rPr>
            </w:pPr>
            <w:r>
              <w:rPr>
                <w:rFonts w:hint="eastAsia" w:eastAsia="宋体"/>
                <w:color w:val="auto"/>
              </w:rPr>
              <w:t>（2）小结</w:t>
            </w:r>
          </w:p>
          <w:p w14:paraId="286CDDCC">
            <w:pPr>
              <w:pStyle w:val="3"/>
              <w:ind w:firstLine="480"/>
              <w:rPr>
                <w:rFonts w:eastAsia="宋体"/>
              </w:rPr>
            </w:pPr>
            <w:r>
              <w:rPr>
                <w:rFonts w:hint="eastAsia" w:eastAsia="宋体"/>
                <w:color w:val="auto"/>
              </w:rPr>
              <w:t>本项目固体废物均合理处置，不外排，对当地的环境影响可接受。</w:t>
            </w:r>
          </w:p>
          <w:p w14:paraId="40E1D00B">
            <w:pPr>
              <w:pStyle w:val="2"/>
              <w:ind w:firstLine="482" w:firstLineChars="200"/>
              <w:rPr>
                <w:rFonts w:eastAsia="宋体"/>
              </w:rPr>
            </w:pPr>
            <w:bookmarkStart w:id="10" w:name="_Toc52206153"/>
            <w:bookmarkStart w:id="11" w:name="_Toc50937127"/>
            <w:r>
              <w:rPr>
                <w:rFonts w:hint="eastAsia" w:eastAsia="宋体"/>
              </w:rPr>
              <w:t>8、封井作业环境保护措施</w:t>
            </w:r>
            <w:bookmarkEnd w:id="10"/>
            <w:bookmarkEnd w:id="11"/>
          </w:p>
          <w:p w14:paraId="024083E9">
            <w:pPr>
              <w:pStyle w:val="3"/>
              <w:ind w:firstLine="480"/>
              <w:rPr>
                <w:rFonts w:hint="default" w:eastAsia="宋体"/>
                <w:color w:val="auto"/>
                <w:lang w:val="en-US" w:eastAsia="zh-CN"/>
              </w:rPr>
            </w:pPr>
            <w:r>
              <w:rPr>
                <w:rFonts w:hint="eastAsia" w:eastAsia="宋体"/>
                <w:color w:val="auto"/>
              </w:rPr>
              <w:t>若试</w:t>
            </w:r>
            <w:r>
              <w:rPr>
                <w:rFonts w:hint="eastAsia" w:eastAsia="宋体"/>
                <w:color w:val="auto"/>
                <w:lang w:val="en-US" w:eastAsia="zh-CN"/>
              </w:rPr>
              <w:t>采</w:t>
            </w:r>
            <w:r>
              <w:rPr>
                <w:rFonts w:hint="eastAsia" w:eastAsia="宋体"/>
                <w:color w:val="auto"/>
              </w:rPr>
              <w:t>结果表明本项目具有开采价值，则转为</w:t>
            </w:r>
            <w:r>
              <w:rPr>
                <w:rFonts w:hint="eastAsia" w:eastAsia="宋体"/>
                <w:color w:val="auto"/>
                <w:lang w:val="en-US" w:eastAsia="zh-CN"/>
              </w:rPr>
              <w:t>油气开发井</w:t>
            </w:r>
            <w:r>
              <w:rPr>
                <w:rFonts w:hint="eastAsia" w:eastAsia="宋体"/>
                <w:color w:val="auto"/>
              </w:rPr>
              <w:t>（</w:t>
            </w:r>
            <w:r>
              <w:rPr>
                <w:rFonts w:hint="eastAsia" w:eastAsia="宋体"/>
                <w:color w:val="auto"/>
                <w:lang w:val="en-US" w:eastAsia="zh-CN"/>
              </w:rPr>
              <w:t>油气开发</w:t>
            </w:r>
            <w:r>
              <w:rPr>
                <w:rFonts w:hint="eastAsia" w:eastAsia="宋体"/>
                <w:color w:val="auto"/>
              </w:rPr>
              <w:t>另行立项和开展环评，并完善井</w:t>
            </w:r>
            <w:r>
              <w:rPr>
                <w:rFonts w:hint="eastAsia" w:eastAsia="宋体"/>
                <w:color w:val="auto"/>
                <w:lang w:val="en-US" w:eastAsia="zh-CN"/>
              </w:rPr>
              <w:t>场</w:t>
            </w:r>
            <w:r>
              <w:rPr>
                <w:rFonts w:hint="eastAsia" w:eastAsia="宋体"/>
                <w:color w:val="auto"/>
              </w:rPr>
              <w:t>永久占地征地手续，临时占地恢复原貌），对钻井和压裂</w:t>
            </w:r>
            <w:r>
              <w:rPr>
                <w:rFonts w:hint="eastAsia" w:eastAsia="宋体"/>
                <w:color w:val="auto"/>
                <w:lang w:eastAsia="zh-CN"/>
              </w:rPr>
              <w:t>、</w:t>
            </w:r>
            <w:r>
              <w:rPr>
                <w:rFonts w:hint="eastAsia" w:eastAsia="宋体"/>
                <w:color w:val="auto"/>
                <w:lang w:val="en-US" w:eastAsia="zh-CN"/>
              </w:rPr>
              <w:t>试采等</w:t>
            </w:r>
            <w:r>
              <w:rPr>
                <w:rFonts w:hint="eastAsia" w:eastAsia="宋体"/>
                <w:color w:val="auto"/>
              </w:rPr>
              <w:t>设备进行拆除搬迁处理；若</w:t>
            </w:r>
            <w:r>
              <w:rPr>
                <w:rFonts w:eastAsia="宋体"/>
                <w:color w:val="auto"/>
              </w:rPr>
              <w:t>确定为无开采价值，则进行</w:t>
            </w:r>
            <w:r>
              <w:rPr>
                <w:rFonts w:hint="eastAsia" w:eastAsia="宋体"/>
                <w:color w:val="auto"/>
              </w:rPr>
              <w:t>封</w:t>
            </w:r>
            <w:r>
              <w:rPr>
                <w:rFonts w:eastAsia="宋体"/>
                <w:color w:val="auto"/>
              </w:rPr>
              <w:t>井作业</w:t>
            </w:r>
            <w:r>
              <w:rPr>
                <w:rFonts w:hint="eastAsia" w:eastAsia="宋体"/>
                <w:color w:val="auto"/>
              </w:rPr>
              <w:t>（无永久占地，临时占地恢复原貌，复耕复种）。对井场能重复利用的设施搬迁利用，不能利用的统一收集交回收单位处置；对构筑的设备基础拆除后作场地边坡凹地平整填方区填方回填，不留坑凼；清除场内固体废物，平整井场，保留场地排水等基础设施，对钻井场地等临时占地实施复垦，生态恢复</w:t>
            </w:r>
            <w:r>
              <w:rPr>
                <w:rFonts w:hint="eastAsia" w:eastAsia="宋体"/>
                <w:color w:val="auto"/>
                <w:lang w:eastAsia="zh-CN"/>
              </w:rPr>
              <w:t>，</w:t>
            </w:r>
            <w:r>
              <w:rPr>
                <w:rFonts w:hint="eastAsia" w:eastAsia="宋体"/>
                <w:color w:val="auto"/>
                <w:lang w:val="en-US" w:eastAsia="zh-CN"/>
              </w:rPr>
              <w:t>并编制相应的拆除应急预案，具体如下：</w:t>
            </w:r>
          </w:p>
          <w:p w14:paraId="625E97CE">
            <w:pPr>
              <w:pStyle w:val="3"/>
              <w:ind w:firstLine="480"/>
              <w:rPr>
                <w:rFonts w:eastAsia="宋体"/>
                <w:color w:val="auto"/>
              </w:rPr>
            </w:pPr>
            <w:r>
              <w:rPr>
                <w:rFonts w:hint="eastAsia" w:eastAsia="宋体"/>
                <w:color w:val="auto"/>
              </w:rPr>
              <w:t>（1）污染防治措施</w:t>
            </w:r>
          </w:p>
          <w:p w14:paraId="0A9D3A52">
            <w:pPr>
              <w:pStyle w:val="3"/>
              <w:ind w:firstLine="480"/>
              <w:rPr>
                <w:rFonts w:eastAsia="宋体"/>
                <w:color w:val="auto"/>
              </w:rPr>
            </w:pPr>
            <w:r>
              <w:rPr>
                <w:rFonts w:hint="eastAsia" w:eastAsia="宋体"/>
                <w:color w:val="auto"/>
              </w:rPr>
              <w:t>完井后剩余的储备钻井液应回收集中处理，剩余的钻井液材料、泥沙等全部回收，临时占地全部退耕。</w:t>
            </w:r>
          </w:p>
          <w:p w14:paraId="79728247">
            <w:pPr>
              <w:pStyle w:val="3"/>
              <w:ind w:firstLine="480"/>
              <w:rPr>
                <w:rFonts w:eastAsia="宋体"/>
                <w:color w:val="auto"/>
              </w:rPr>
            </w:pPr>
            <w:r>
              <w:rPr>
                <w:rFonts w:hint="eastAsia" w:eastAsia="宋体"/>
                <w:color w:val="auto"/>
              </w:rPr>
              <w:t>封井作业过程中采用的环保措施：</w:t>
            </w:r>
          </w:p>
          <w:p w14:paraId="195E4D94">
            <w:pPr>
              <w:pStyle w:val="3"/>
              <w:ind w:firstLine="480"/>
              <w:rPr>
                <w:rFonts w:eastAsia="宋体"/>
                <w:color w:val="auto"/>
              </w:rPr>
            </w:pPr>
            <w:r>
              <w:rPr>
                <w:rFonts w:hint="eastAsia" w:eastAsia="宋体"/>
                <w:color w:val="auto"/>
              </w:rPr>
              <w:t>①封井作业前进行压井，压稳后方可进行其他作业，探井封堵作业结束后，对井筒进行试压检验。对探井采取固井、封井措施，防止发生油水串层。</w:t>
            </w:r>
          </w:p>
          <w:p w14:paraId="71C69C2A">
            <w:pPr>
              <w:pStyle w:val="3"/>
              <w:ind w:firstLine="480"/>
              <w:rPr>
                <w:rFonts w:eastAsia="宋体"/>
                <w:color w:val="auto"/>
              </w:rPr>
            </w:pPr>
            <w:r>
              <w:rPr>
                <w:rFonts w:hint="eastAsia" w:eastAsia="宋体"/>
                <w:color w:val="auto"/>
              </w:rPr>
              <w:t>②钻井施工结束后，临时征地进行覆土、复耕、复貌。及时清理场内施工废料，施工废料尽量回收利用，不能回收利用的打包交给环卫部门处理，不会对环境造成破坏；利用原场地表层土壤进行覆土复耕。</w:t>
            </w:r>
          </w:p>
          <w:p w14:paraId="0F541022">
            <w:pPr>
              <w:pStyle w:val="3"/>
              <w:ind w:firstLine="480"/>
              <w:rPr>
                <w:rFonts w:eastAsia="宋体"/>
                <w:color w:val="auto"/>
              </w:rPr>
            </w:pPr>
            <w:r>
              <w:rPr>
                <w:rFonts w:hint="eastAsia" w:eastAsia="宋体"/>
                <w:color w:val="auto"/>
              </w:rPr>
              <w:t>③完井后清除地面生活及施工废料，恢复地貌，保持井场及井口设备清洁，并按规定做好钻井保护交接，按照《钻井工程污染防治规范》（Q/SH 0238-2009）填写钻井井场环境保护交接书。</w:t>
            </w:r>
          </w:p>
          <w:p w14:paraId="145FE0A0">
            <w:pPr>
              <w:pStyle w:val="3"/>
              <w:ind w:firstLine="480"/>
              <w:rPr>
                <w:rFonts w:eastAsia="宋体"/>
                <w:color w:val="auto"/>
              </w:rPr>
            </w:pPr>
            <w:r>
              <w:rPr>
                <w:rFonts w:hint="eastAsia" w:eastAsia="宋体"/>
                <w:color w:val="auto"/>
              </w:rPr>
              <w:t>④废弃井建立已封废弃井档案及封井数据库，明确废弃井坐标位置、废弃方式等，记录废钻井液及岩屑量，废水量，环境监测报告，井场废弃物治理和完井覆耕安排工作，同时建立施工井环保档案，对完井后井场不同方位拍摄照片。</w:t>
            </w:r>
          </w:p>
          <w:p w14:paraId="540D7A6B">
            <w:pPr>
              <w:pStyle w:val="3"/>
              <w:ind w:firstLine="480"/>
              <w:rPr>
                <w:rFonts w:eastAsia="宋体"/>
                <w:color w:val="auto"/>
              </w:rPr>
            </w:pPr>
            <w:r>
              <w:rPr>
                <w:rFonts w:hint="eastAsia" w:eastAsia="宋体"/>
                <w:color w:val="auto"/>
              </w:rPr>
              <w:t>⑤建立废弃井定期巡检制度，并记录巡井资料，含CO</w:t>
            </w:r>
            <w:r>
              <w:rPr>
                <w:rFonts w:hint="eastAsia" w:eastAsia="宋体"/>
                <w:color w:val="auto"/>
                <w:vertAlign w:val="subscript"/>
              </w:rPr>
              <w:t>2</w:t>
            </w:r>
            <w:r>
              <w:rPr>
                <w:rFonts w:hint="eastAsia" w:eastAsia="宋体"/>
                <w:color w:val="auto"/>
              </w:rPr>
              <w:t>等气体的井至少每半年巡检一次，其他井每年至少巡检一次。</w:t>
            </w:r>
          </w:p>
          <w:p w14:paraId="153819B4">
            <w:pPr>
              <w:pStyle w:val="3"/>
              <w:ind w:firstLine="480"/>
              <w:rPr>
                <w:rFonts w:eastAsia="宋体"/>
                <w:color w:val="auto"/>
              </w:rPr>
            </w:pPr>
            <w:r>
              <w:rPr>
                <w:rFonts w:hint="eastAsia" w:eastAsia="宋体"/>
                <w:color w:val="auto"/>
              </w:rPr>
              <w:t>（2）小结</w:t>
            </w:r>
          </w:p>
          <w:p w14:paraId="288DC4BD">
            <w:pPr>
              <w:pStyle w:val="3"/>
              <w:ind w:firstLine="480"/>
              <w:rPr>
                <w:rFonts w:eastAsia="宋体"/>
                <w:color w:val="auto"/>
              </w:rPr>
            </w:pPr>
            <w:r>
              <w:rPr>
                <w:rFonts w:hint="eastAsia" w:eastAsia="宋体"/>
                <w:color w:val="auto"/>
              </w:rPr>
              <w:t>中国石油化工集团公司依据《钻井工程污染防治规范》（Q/SH 0238-2009）及《钻井井场环境保护规范》（Q/SHJS 0805-2015），对钻井过程、完井施工中的环保措施进行规范化管理，各项环保措施可以满足相关要求。</w:t>
            </w:r>
          </w:p>
          <w:p w14:paraId="7C70EDE8">
            <w:pPr>
              <w:pStyle w:val="2"/>
              <w:ind w:firstLine="482" w:firstLineChars="200"/>
              <w:rPr>
                <w:rFonts w:eastAsia="宋体"/>
              </w:rPr>
            </w:pPr>
            <w:r>
              <w:rPr>
                <w:rFonts w:hint="eastAsia" w:eastAsia="宋体"/>
              </w:rPr>
              <w:t>9、环境风险</w:t>
            </w:r>
          </w:p>
          <w:p w14:paraId="677DDADF">
            <w:pPr>
              <w:pStyle w:val="3"/>
              <w:ind w:firstLine="480"/>
              <w:rPr>
                <w:rFonts w:eastAsia="宋体"/>
                <w:color w:val="auto"/>
              </w:rPr>
            </w:pPr>
            <w:r>
              <w:rPr>
                <w:rFonts w:hint="eastAsia" w:eastAsia="宋体"/>
                <w:color w:val="auto"/>
              </w:rPr>
              <w:t>（1）钻井井漏预防措施</w:t>
            </w:r>
          </w:p>
          <w:p w14:paraId="38917069">
            <w:pPr>
              <w:pStyle w:val="3"/>
              <w:ind w:firstLine="480"/>
              <w:rPr>
                <w:rFonts w:hint="default" w:eastAsia="宋体"/>
                <w:color w:val="auto"/>
                <w:lang w:val="en-US" w:eastAsia="zh-CN"/>
              </w:rPr>
            </w:pPr>
            <w:r>
              <w:rPr>
                <w:rFonts w:hint="eastAsia" w:eastAsia="宋体"/>
                <w:color w:val="auto"/>
              </w:rPr>
              <w:t>项目在施工建设前应充分研究地质设计资料和钻井资料，并在此基础上优化钻井施工工艺、泥浆体系等。钻井过程对泥浆进行实时监控，并配备足够的堵漏材料，一旦发现井漏，首先观察并测量井漏速度。渗透性井漏（井漏速度&lt;20m</w:t>
            </w:r>
            <w:r>
              <w:rPr>
                <w:rFonts w:hint="eastAsia" w:eastAsia="宋体"/>
                <w:color w:val="auto"/>
                <w:vertAlign w:val="superscript"/>
              </w:rPr>
              <w:t>3</w:t>
            </w:r>
            <w:r>
              <w:rPr>
                <w:rFonts w:hint="eastAsia" w:eastAsia="宋体"/>
                <w:color w:val="auto"/>
              </w:rPr>
              <w:t>/h）采取在钻井液中加入1%单向封闭剂，随钻堵漏。在压裂过程中也需监控压裂液的漏失情况，以防止压裂液的扩散污染</w:t>
            </w:r>
            <w:r>
              <w:rPr>
                <w:rFonts w:hint="eastAsia" w:eastAsia="宋体"/>
                <w:color w:val="auto"/>
                <w:lang w:eastAsia="zh-CN"/>
              </w:rPr>
              <w:t>，</w:t>
            </w:r>
            <w:r>
              <w:rPr>
                <w:rFonts w:hint="eastAsia" w:eastAsia="宋体"/>
                <w:color w:val="auto"/>
                <w:lang w:val="en-US" w:eastAsia="zh-CN"/>
              </w:rPr>
              <w:t>详细如下：</w:t>
            </w:r>
          </w:p>
          <w:p w14:paraId="33049B44">
            <w:pPr>
              <w:pStyle w:val="3"/>
              <w:ind w:firstLine="480"/>
              <w:rPr>
                <w:rFonts w:eastAsia="宋体"/>
                <w:color w:val="auto"/>
              </w:rPr>
            </w:pPr>
            <w:r>
              <w:rPr>
                <w:rFonts w:hint="eastAsia" w:eastAsia="宋体"/>
                <w:color w:val="auto"/>
              </w:rPr>
              <w:t xml:space="preserve">①严格控制和按规定调整钻井液密度，应保持近平衡压力钻井，使井眼稳定。 </w:t>
            </w:r>
          </w:p>
          <w:p w14:paraId="7EF621AE">
            <w:pPr>
              <w:pStyle w:val="3"/>
              <w:ind w:firstLine="480"/>
              <w:rPr>
                <w:rFonts w:eastAsia="宋体"/>
                <w:color w:val="auto"/>
              </w:rPr>
            </w:pPr>
            <w:r>
              <w:rPr>
                <w:rFonts w:hint="eastAsia" w:eastAsia="宋体"/>
                <w:color w:val="auto"/>
              </w:rPr>
              <w:t xml:space="preserve">②控制起下钻速度，长期静止和长裸眼段下钻过程中要分段循环，开泵应转动钻具后开泵，排量由小及大，适当循环，防止因激动压力过大产生井漏。 </w:t>
            </w:r>
          </w:p>
          <w:p w14:paraId="08B99B94">
            <w:pPr>
              <w:pStyle w:val="3"/>
              <w:ind w:firstLine="480"/>
              <w:rPr>
                <w:rFonts w:eastAsia="宋体"/>
                <w:color w:val="auto"/>
              </w:rPr>
            </w:pPr>
            <w:r>
              <w:rPr>
                <w:rFonts w:hint="eastAsia" w:eastAsia="宋体"/>
                <w:color w:val="auto"/>
              </w:rPr>
              <w:t xml:space="preserve">③根据实际情况，在保证井身质量的同时尽可能简化下部钻具结构。 </w:t>
            </w:r>
          </w:p>
          <w:p w14:paraId="0F16C964">
            <w:pPr>
              <w:pStyle w:val="3"/>
              <w:ind w:firstLine="480"/>
              <w:rPr>
                <w:rFonts w:eastAsia="宋体"/>
                <w:color w:val="auto"/>
              </w:rPr>
            </w:pPr>
            <w:r>
              <w:rPr>
                <w:rFonts w:hint="eastAsia" w:eastAsia="宋体"/>
                <w:color w:val="auto"/>
              </w:rPr>
              <w:t xml:space="preserve">④根据设计做好地层抗破能力试验，进入主要目的层之前的薄弱地层在征得甲方许可的情况下，进行先期堵漏，提高抗破能力。 </w:t>
            </w:r>
          </w:p>
          <w:p w14:paraId="393CE4BA">
            <w:pPr>
              <w:pStyle w:val="3"/>
              <w:ind w:firstLine="480"/>
              <w:rPr>
                <w:rFonts w:eastAsia="宋体"/>
                <w:color w:val="auto"/>
              </w:rPr>
            </w:pPr>
            <w:r>
              <w:rPr>
                <w:rFonts w:hint="eastAsia" w:eastAsia="宋体"/>
                <w:color w:val="auto"/>
              </w:rPr>
              <w:t>⑤认真执行坐岗制度，专人观察钻井液液面的变化情况，无论钻进还是下钻时，发现井漏，如果漏速达到</w:t>
            </w:r>
            <w:r>
              <w:rPr>
                <w:rFonts w:eastAsia="宋体"/>
                <w:color w:val="auto"/>
              </w:rPr>
              <w:t>5m</w:t>
            </w:r>
            <w:r>
              <w:rPr>
                <w:rFonts w:eastAsia="宋体"/>
                <w:color w:val="auto"/>
                <w:vertAlign w:val="superscript"/>
              </w:rPr>
              <w:t>3</w:t>
            </w:r>
            <w:r>
              <w:rPr>
                <w:rFonts w:hint="eastAsia" w:eastAsia="宋体"/>
                <w:color w:val="auto"/>
              </w:rPr>
              <w:t>/</w:t>
            </w:r>
            <w:r>
              <w:rPr>
                <w:rFonts w:eastAsia="宋体"/>
                <w:color w:val="auto"/>
              </w:rPr>
              <w:t>h</w:t>
            </w:r>
            <w:r>
              <w:rPr>
                <w:rFonts w:hint="eastAsia" w:eastAsia="宋体"/>
                <w:color w:val="auto"/>
              </w:rPr>
              <w:t xml:space="preserve">，应立即起钻，并连续向井内灌入钻井液，同时做好堵漏准备。 </w:t>
            </w:r>
          </w:p>
          <w:p w14:paraId="4CB57FD6">
            <w:pPr>
              <w:pStyle w:val="3"/>
              <w:ind w:firstLine="480"/>
              <w:rPr>
                <w:rFonts w:eastAsia="宋体"/>
                <w:color w:val="auto"/>
              </w:rPr>
            </w:pPr>
            <w:r>
              <w:rPr>
                <w:rFonts w:hint="eastAsia" w:eastAsia="宋体"/>
                <w:color w:val="auto"/>
              </w:rPr>
              <w:t xml:space="preserve">⑥使用单封等处理剂在易漏地层进行防漏，提高地层的抗破能力，结合其它随钻堵漏剂，将漏失的几率降低到最低。 </w:t>
            </w:r>
          </w:p>
          <w:p w14:paraId="4DED3F52">
            <w:pPr>
              <w:pStyle w:val="3"/>
              <w:ind w:firstLine="480"/>
              <w:rPr>
                <w:rFonts w:eastAsia="宋体"/>
                <w:color w:val="auto"/>
              </w:rPr>
            </w:pPr>
            <w:r>
              <w:rPr>
                <w:rFonts w:hint="eastAsia" w:eastAsia="宋体"/>
                <w:color w:val="auto"/>
              </w:rPr>
              <w:t>（2）油井防喷主要措施</w:t>
            </w:r>
          </w:p>
          <w:p w14:paraId="4789EDCA">
            <w:pPr>
              <w:pStyle w:val="3"/>
              <w:ind w:firstLine="480"/>
              <w:rPr>
                <w:rFonts w:hint="default" w:eastAsia="宋体"/>
                <w:color w:val="auto"/>
                <w:lang w:val="en-US" w:eastAsia="zh-CN"/>
              </w:rPr>
            </w:pPr>
            <w:r>
              <w:rPr>
                <w:rFonts w:hint="eastAsia" w:eastAsia="宋体"/>
                <w:color w:val="auto"/>
                <w:lang w:val="en-US" w:eastAsia="zh-CN"/>
              </w:rPr>
              <w:t>本项目</w:t>
            </w:r>
            <w:r>
              <w:rPr>
                <w:rFonts w:hint="eastAsia" w:eastAsia="宋体"/>
                <w:color w:val="auto"/>
              </w:rPr>
              <w:t>含油层属正常温度、压力系统，目的层出现井喷的概率较低，但</w:t>
            </w:r>
            <w:r>
              <w:rPr>
                <w:rFonts w:hint="eastAsia" w:eastAsia="宋体"/>
                <w:color w:val="auto"/>
                <w:lang w:val="en-US" w:eastAsia="zh-CN"/>
              </w:rPr>
              <w:t>吸取同类型事故的经验教训，</w:t>
            </w:r>
            <w:r>
              <w:rPr>
                <w:rFonts w:hint="eastAsia" w:eastAsia="宋体"/>
                <w:color w:val="auto"/>
              </w:rPr>
              <w:t>为防止在钻</w:t>
            </w:r>
            <w:r>
              <w:rPr>
                <w:rFonts w:hint="eastAsia" w:eastAsia="宋体"/>
                <w:color w:val="auto"/>
                <w:lang w:val="en-US" w:eastAsia="zh-CN"/>
              </w:rPr>
              <w:t>井</w:t>
            </w:r>
            <w:r>
              <w:rPr>
                <w:rFonts w:hint="eastAsia" w:eastAsia="宋体"/>
                <w:color w:val="auto"/>
              </w:rPr>
              <w:t>、</w:t>
            </w:r>
            <w:r>
              <w:rPr>
                <w:rFonts w:hint="eastAsia" w:eastAsia="宋体"/>
                <w:color w:val="auto"/>
                <w:lang w:eastAsia="zh-CN"/>
              </w:rPr>
              <w:t>试采</w:t>
            </w:r>
            <w:r>
              <w:rPr>
                <w:rFonts w:hint="eastAsia" w:eastAsia="宋体"/>
                <w:color w:val="auto"/>
              </w:rPr>
              <w:t>过程中由于异常情况，出现失控的情况，应采取相应的控制措施：在施工设计时，选择合理的压井液、射孔方式，对操作方式和配备装置做出明确要求；在钻井作业中，严格按照《中国石化井控管理规定》（中国石化安[2015]374号）及相关的井控技术标准和规范中的有关规定执行，并针对本工程情况制定具体的可操作的实施方案。</w:t>
            </w:r>
            <w:r>
              <w:rPr>
                <w:rFonts w:hint="eastAsia" w:eastAsia="宋体"/>
                <w:color w:val="auto"/>
                <w:lang w:eastAsia="zh-CN"/>
              </w:rPr>
              <w:t>试采</w:t>
            </w:r>
            <w:r>
              <w:rPr>
                <w:rFonts w:hint="eastAsia" w:eastAsia="宋体"/>
                <w:color w:val="auto"/>
              </w:rPr>
              <w:t>作业发生井喷，立即启动井控装置和防止井喷的应急预案，通过防喷器关闭井口，采取压井措施控制井喷；最后还可用向事故井打定位斜井等方法处理井喷，并尽快采取措施回收采出液。井喷产生的放喷液通过放喷管线排至集污罐中，通过征调附近区块应急放喷罐车运至</w:t>
            </w:r>
            <w:r>
              <w:rPr>
                <w:rFonts w:hint="eastAsia" w:eastAsia="宋体"/>
                <w:color w:val="auto"/>
                <w:lang w:val="en-US" w:eastAsia="zh-CN"/>
              </w:rPr>
              <w:t>注水站</w:t>
            </w:r>
            <w:r>
              <w:rPr>
                <w:rFonts w:hint="eastAsia" w:eastAsia="宋体"/>
                <w:color w:val="auto"/>
              </w:rPr>
              <w:t>处理，并及时组织人力在受污染的河道处布设围油栏，隔绝污染水体，防止污染进一步扩大，避免放喷液溢流对周边河流的影响。待井喷事故处理完毕后，将落地原油和河道受污染水体及时回收处理，防止污染环境。井喷事故时及时研判事故影响范围，应根据事故影响范围及时对周边村庄居民进行疏散</w:t>
            </w:r>
            <w:r>
              <w:rPr>
                <w:rFonts w:hint="eastAsia" w:eastAsia="宋体"/>
                <w:color w:val="auto"/>
                <w:lang w:eastAsia="zh-CN"/>
              </w:rPr>
              <w:t>，</w:t>
            </w:r>
            <w:r>
              <w:rPr>
                <w:rFonts w:hint="eastAsia" w:eastAsia="宋体"/>
                <w:color w:val="auto"/>
                <w:lang w:val="en-US" w:eastAsia="zh-CN"/>
              </w:rPr>
              <w:t>详细如下：</w:t>
            </w:r>
          </w:p>
          <w:p w14:paraId="09850C94">
            <w:pPr>
              <w:pStyle w:val="3"/>
              <w:ind w:firstLine="480"/>
              <w:rPr>
                <w:rFonts w:eastAsia="宋体"/>
                <w:color w:val="auto"/>
              </w:rPr>
            </w:pPr>
            <w:r>
              <w:rPr>
                <w:rFonts w:hint="eastAsia" w:eastAsia="宋体"/>
                <w:color w:val="auto"/>
              </w:rPr>
              <w:t xml:space="preserve">①控制好起钻速度并灌好钻井液，防止抽汲井喷。 </w:t>
            </w:r>
          </w:p>
          <w:p w14:paraId="4232A117">
            <w:pPr>
              <w:pStyle w:val="3"/>
              <w:ind w:firstLine="480"/>
              <w:rPr>
                <w:rFonts w:eastAsia="宋体"/>
                <w:color w:val="auto"/>
              </w:rPr>
            </w:pPr>
            <w:r>
              <w:rPr>
                <w:rFonts w:hint="eastAsia" w:eastAsia="宋体"/>
                <w:color w:val="auto"/>
              </w:rPr>
              <w:t xml:space="preserve">②在防漏堵漏同时做好防喷预防工作，防止先漏后喷。 </w:t>
            </w:r>
          </w:p>
          <w:p w14:paraId="6750C2CE">
            <w:pPr>
              <w:pStyle w:val="3"/>
              <w:ind w:firstLine="480"/>
              <w:rPr>
                <w:rFonts w:eastAsia="宋体"/>
                <w:color w:val="auto"/>
              </w:rPr>
            </w:pPr>
            <w:r>
              <w:rPr>
                <w:rFonts w:hint="eastAsia" w:eastAsia="宋体"/>
                <w:color w:val="auto"/>
              </w:rPr>
              <w:t>③从二开起按照标准中国石化油</w:t>
            </w:r>
            <w:r>
              <w:rPr>
                <w:rFonts w:hint="default" w:ascii="Times New Roman" w:hAnsi="Times New Roman" w:eastAsia="宋体" w:cs="Times New Roman"/>
                <w:bCs/>
                <w:color w:val="auto"/>
                <w:spacing w:val="4"/>
                <w:sz w:val="24"/>
                <w:lang w:val="en-US" w:eastAsia="zh-CN"/>
              </w:rPr>
              <w:t>〔</w:t>
            </w:r>
            <w:r>
              <w:rPr>
                <w:rFonts w:hint="default" w:ascii="Times New Roman" w:hAnsi="Times New Roman" w:cs="Times New Roman"/>
                <w:bCs/>
                <w:color w:val="auto"/>
                <w:spacing w:val="4"/>
                <w:sz w:val="24"/>
                <w:lang w:val="en-US" w:eastAsia="zh-CN"/>
              </w:rPr>
              <w:t>20</w:t>
            </w:r>
            <w:r>
              <w:rPr>
                <w:rFonts w:hint="eastAsia" w:cs="Times New Roman"/>
                <w:bCs/>
                <w:color w:val="auto"/>
                <w:spacing w:val="4"/>
                <w:sz w:val="24"/>
                <w:lang w:val="en-US" w:eastAsia="zh-CN"/>
              </w:rPr>
              <w:t>15</w:t>
            </w:r>
            <w:r>
              <w:rPr>
                <w:rFonts w:hint="default" w:ascii="Times New Roman" w:hAnsi="Times New Roman" w:eastAsia="宋体" w:cs="Times New Roman"/>
                <w:bCs/>
                <w:color w:val="auto"/>
                <w:spacing w:val="4"/>
                <w:sz w:val="24"/>
                <w:lang w:val="en-US" w:eastAsia="zh-CN"/>
              </w:rPr>
              <w:t>〕</w:t>
            </w:r>
            <w:r>
              <w:rPr>
                <w:rFonts w:hint="eastAsia" w:eastAsia="宋体"/>
                <w:color w:val="auto"/>
              </w:rPr>
              <w:t>374 号《中国石化井控管理规定》、苏油分开</w:t>
            </w:r>
            <w:r>
              <w:rPr>
                <w:rFonts w:hint="default" w:ascii="Times New Roman" w:hAnsi="Times New Roman" w:eastAsia="宋体" w:cs="Times New Roman"/>
                <w:bCs/>
                <w:color w:val="auto"/>
                <w:spacing w:val="4"/>
                <w:sz w:val="24"/>
                <w:lang w:val="en-US" w:eastAsia="zh-CN"/>
              </w:rPr>
              <w:t>〔</w:t>
            </w:r>
            <w:r>
              <w:rPr>
                <w:rFonts w:hint="default" w:ascii="Times New Roman" w:hAnsi="Times New Roman" w:cs="Times New Roman"/>
                <w:bCs/>
                <w:color w:val="auto"/>
                <w:spacing w:val="4"/>
                <w:sz w:val="24"/>
                <w:lang w:val="en-US" w:eastAsia="zh-CN"/>
              </w:rPr>
              <w:t>202</w:t>
            </w:r>
            <w:r>
              <w:rPr>
                <w:rFonts w:hint="eastAsia" w:cs="Times New Roman"/>
                <w:bCs/>
                <w:color w:val="auto"/>
                <w:spacing w:val="4"/>
                <w:sz w:val="24"/>
                <w:lang w:val="en-US" w:eastAsia="zh-CN"/>
              </w:rPr>
              <w:t>0</w:t>
            </w:r>
            <w:r>
              <w:rPr>
                <w:rFonts w:hint="default" w:ascii="Times New Roman" w:hAnsi="Times New Roman" w:eastAsia="宋体" w:cs="Times New Roman"/>
                <w:bCs/>
                <w:color w:val="auto"/>
                <w:spacing w:val="4"/>
                <w:sz w:val="24"/>
                <w:lang w:val="en-US" w:eastAsia="zh-CN"/>
              </w:rPr>
              <w:t>〕</w:t>
            </w:r>
            <w:r>
              <w:rPr>
                <w:rFonts w:hint="eastAsia" w:eastAsia="宋体"/>
                <w:color w:val="auto"/>
              </w:rPr>
              <w:t>81号《江苏油田井控管理实施细则》及本设计油气井控制部分的规定，切实搞好一次和二次井控。必须立足于一次控制，搞好二次控制，防止井喷失控。</w:t>
            </w:r>
          </w:p>
          <w:p w14:paraId="62133213">
            <w:pPr>
              <w:pStyle w:val="3"/>
              <w:ind w:firstLine="480"/>
              <w:rPr>
                <w:rFonts w:eastAsia="宋体"/>
                <w:color w:val="auto"/>
              </w:rPr>
            </w:pPr>
            <w:r>
              <w:rPr>
                <w:rFonts w:hint="eastAsia" w:eastAsia="宋体"/>
                <w:color w:val="auto"/>
              </w:rPr>
              <w:t>④按照气井安全规定，现场施工人员安全防护用品均要配备。</w:t>
            </w:r>
          </w:p>
          <w:p w14:paraId="10A26AFA">
            <w:pPr>
              <w:pStyle w:val="3"/>
              <w:ind w:firstLine="480"/>
              <w:rPr>
                <w:rFonts w:eastAsia="宋体"/>
                <w:color w:val="auto"/>
              </w:rPr>
            </w:pPr>
            <w:r>
              <w:rPr>
                <w:rFonts w:hint="eastAsia" w:eastAsia="宋体"/>
                <w:color w:val="auto"/>
              </w:rPr>
              <w:t>⑤钻井油气层后，必须坚持坐岗制度，勤测循环周，并收集好相关资料。</w:t>
            </w:r>
          </w:p>
          <w:p w14:paraId="4CF9295F">
            <w:pPr>
              <w:pStyle w:val="3"/>
              <w:ind w:firstLine="480"/>
              <w:rPr>
                <w:rFonts w:eastAsia="宋体"/>
                <w:color w:val="auto"/>
              </w:rPr>
            </w:pPr>
            <w:r>
              <w:rPr>
                <w:rFonts w:hint="eastAsia" w:eastAsia="宋体"/>
                <w:color w:val="auto"/>
              </w:rPr>
              <w:t>⑥二开前井场应储备80m</w:t>
            </w:r>
            <w:r>
              <w:rPr>
                <w:rFonts w:hint="eastAsia" w:eastAsia="宋体"/>
                <w:color w:val="auto"/>
                <w:vertAlign w:val="superscript"/>
              </w:rPr>
              <w:t>3</w:t>
            </w:r>
            <w:r>
              <w:rPr>
                <w:rFonts w:hint="eastAsia" w:eastAsia="宋体"/>
                <w:color w:val="auto"/>
              </w:rPr>
              <w:t>的加重钻井液(加重浆密度1.40g/cm</w:t>
            </w:r>
            <w:r>
              <w:rPr>
                <w:rFonts w:hint="eastAsia" w:eastAsia="宋体"/>
                <w:color w:val="auto"/>
                <w:vertAlign w:val="superscript"/>
              </w:rPr>
              <w:t xml:space="preserve">3 </w:t>
            </w:r>
            <w:r>
              <w:rPr>
                <w:rFonts w:hint="eastAsia" w:eastAsia="宋体"/>
                <w:color w:val="auto"/>
              </w:rPr>
              <w:t>)，60t 复合加重剂、30t石灰石粉以及相关处理剂等。储备罐罐底应高出地面1.5m 以上。</w:t>
            </w:r>
          </w:p>
          <w:p w14:paraId="7F11204A">
            <w:pPr>
              <w:pStyle w:val="3"/>
              <w:ind w:firstLine="480"/>
              <w:rPr>
                <w:rFonts w:eastAsia="宋体"/>
                <w:color w:val="auto"/>
              </w:rPr>
            </w:pPr>
            <w:r>
              <w:rPr>
                <w:rFonts w:hint="eastAsia" w:eastAsia="宋体"/>
                <w:color w:val="auto"/>
              </w:rPr>
              <w:t xml:space="preserve">⑦发现溢流，及时了解油气上窜速度，根据井控规定，取全取准地层压力等方面数据，及时进行压井。在替重浆过程中，注意控制排量，同时保持钻井液的润滑性能。 </w:t>
            </w:r>
          </w:p>
          <w:p w14:paraId="19DF4F96">
            <w:pPr>
              <w:pStyle w:val="3"/>
              <w:ind w:firstLine="480"/>
              <w:rPr>
                <w:rFonts w:eastAsia="宋体"/>
                <w:color w:val="auto"/>
              </w:rPr>
            </w:pPr>
            <w:r>
              <w:rPr>
                <w:rFonts w:hint="eastAsia" w:eastAsia="宋体"/>
                <w:color w:val="auto"/>
              </w:rPr>
              <w:t xml:space="preserve">⑧在近平衡状态下钻进发现大的异常溢流，及时按照甲方要求制定措施，组织压井。 </w:t>
            </w:r>
          </w:p>
          <w:p w14:paraId="6009BD6D">
            <w:pPr>
              <w:pStyle w:val="3"/>
              <w:ind w:firstLine="480"/>
              <w:rPr>
                <w:rFonts w:eastAsia="宋体"/>
                <w:color w:val="auto"/>
              </w:rPr>
            </w:pPr>
            <w:r>
              <w:rPr>
                <w:rFonts w:hint="eastAsia" w:eastAsia="宋体"/>
                <w:color w:val="auto"/>
              </w:rPr>
              <w:t xml:space="preserve">⑨钻开油气层后控制起下钻速度，防止抽汲加速油气上窜。同时做好防火工作。 </w:t>
            </w:r>
          </w:p>
          <w:p w14:paraId="4C0A5756">
            <w:pPr>
              <w:pStyle w:val="3"/>
              <w:numPr>
                <w:ilvl w:val="0"/>
                <w:numId w:val="6"/>
              </w:numPr>
              <w:ind w:left="0" w:leftChars="0" w:firstLine="480" w:firstLineChars="200"/>
              <w:rPr>
                <w:color w:val="auto"/>
              </w:rPr>
            </w:pPr>
            <w:r>
              <w:rPr>
                <w:rFonts w:hint="eastAsia" w:eastAsia="宋体"/>
                <w:color w:val="auto"/>
              </w:rPr>
              <w:t>柴油储罐泄</w:t>
            </w:r>
            <w:r>
              <w:rPr>
                <w:rFonts w:eastAsia="宋体"/>
                <w:color w:val="auto"/>
              </w:rPr>
              <w:t>漏</w:t>
            </w:r>
            <w:r>
              <w:rPr>
                <w:rFonts w:hint="eastAsia" w:eastAsia="宋体"/>
                <w:color w:val="auto"/>
              </w:rPr>
              <w:t>风险</w:t>
            </w:r>
            <w:r>
              <w:rPr>
                <w:rFonts w:eastAsia="宋体"/>
                <w:color w:val="auto"/>
              </w:rPr>
              <w:t>防范</w:t>
            </w:r>
          </w:p>
          <w:p w14:paraId="0D4ADE6E">
            <w:pPr>
              <w:pStyle w:val="3"/>
              <w:ind w:firstLine="480"/>
              <w:rPr>
                <w:rFonts w:eastAsia="宋体"/>
                <w:color w:val="auto"/>
              </w:rPr>
            </w:pPr>
            <w:r>
              <w:rPr>
                <w:rFonts w:eastAsia="宋体"/>
                <w:color w:val="auto"/>
              </w:rPr>
              <w:t>柴油储罐下部法兰</w:t>
            </w:r>
            <w:r>
              <w:rPr>
                <w:rFonts w:hint="eastAsia" w:eastAsia="宋体"/>
                <w:color w:val="auto"/>
              </w:rPr>
              <w:t>渗漏</w:t>
            </w:r>
            <w:r>
              <w:rPr>
                <w:rFonts w:eastAsia="宋体"/>
                <w:color w:val="auto"/>
              </w:rPr>
              <w:t>处渗漏</w:t>
            </w:r>
            <w:r>
              <w:rPr>
                <w:rFonts w:hint="eastAsia" w:eastAsia="宋体"/>
                <w:color w:val="auto"/>
              </w:rPr>
              <w:t>，</w:t>
            </w:r>
            <w:r>
              <w:rPr>
                <w:rFonts w:eastAsia="宋体"/>
                <w:color w:val="auto"/>
              </w:rPr>
              <w:t>柴油泄漏</w:t>
            </w:r>
            <w:r>
              <w:rPr>
                <w:rFonts w:hint="eastAsia" w:eastAsia="宋体"/>
                <w:color w:val="auto"/>
              </w:rPr>
              <w:t>进入罐区</w:t>
            </w:r>
            <w:r>
              <w:rPr>
                <w:rFonts w:eastAsia="宋体"/>
                <w:color w:val="auto"/>
              </w:rPr>
              <w:t>围堰中，不会污染土壤、影响地下水水质</w:t>
            </w:r>
            <w:r>
              <w:rPr>
                <w:rFonts w:hint="eastAsia" w:eastAsia="宋体"/>
                <w:color w:val="auto"/>
              </w:rPr>
              <w:t>。</w:t>
            </w:r>
            <w:r>
              <w:rPr>
                <w:rFonts w:eastAsia="宋体"/>
                <w:color w:val="auto"/>
              </w:rPr>
              <w:t>储罐区设置</w:t>
            </w:r>
            <w:r>
              <w:rPr>
                <w:rFonts w:hint="eastAsia" w:eastAsia="宋体"/>
                <w:color w:val="auto"/>
              </w:rPr>
              <w:t>环形截污沟，并配备污油回收罐（桶）；排污沟尺寸不小于上底×下底×深=0.4m×0.3m×0.3m，排水纵坡不小于1%，沟壁坡度不小于1:0.2；排污沟应铺设防渗膜，防渗膜的防渗技术应符合Q/SHJS0805-2015的标准要求。</w:t>
            </w:r>
          </w:p>
          <w:p w14:paraId="038972FE">
            <w:pPr>
              <w:pStyle w:val="3"/>
              <w:ind w:firstLine="480"/>
              <w:rPr>
                <w:rFonts w:hint="eastAsia" w:eastAsia="宋体"/>
                <w:color w:val="auto"/>
              </w:rPr>
            </w:pPr>
            <w:bookmarkStart w:id="12" w:name="_Toc50937130"/>
            <w:bookmarkStart w:id="13" w:name="_Toc52206156"/>
            <w:r>
              <w:rPr>
                <w:rFonts w:hint="eastAsia" w:eastAsia="宋体"/>
                <w:color w:val="auto"/>
                <w:lang w:eastAsia="zh-CN"/>
              </w:rPr>
              <w:t>（</w:t>
            </w:r>
            <w:r>
              <w:rPr>
                <w:rFonts w:hint="eastAsia" w:eastAsia="宋体"/>
                <w:color w:val="auto"/>
                <w:lang w:val="en-US" w:eastAsia="zh-CN"/>
              </w:rPr>
              <w:t>4</w:t>
            </w:r>
            <w:r>
              <w:rPr>
                <w:rFonts w:hint="eastAsia" w:eastAsia="宋体"/>
                <w:color w:val="auto"/>
                <w:lang w:eastAsia="zh-CN"/>
              </w:rPr>
              <w:t>）</w:t>
            </w:r>
            <w:r>
              <w:rPr>
                <w:rFonts w:hint="eastAsia" w:eastAsia="宋体"/>
                <w:color w:val="auto"/>
              </w:rPr>
              <w:t>火灾爆炸处置</w:t>
            </w:r>
          </w:p>
          <w:p w14:paraId="1808372F">
            <w:pPr>
              <w:pStyle w:val="3"/>
              <w:ind w:firstLine="480"/>
              <w:rPr>
                <w:rFonts w:hint="eastAsia" w:eastAsia="宋体"/>
                <w:color w:val="auto"/>
              </w:rPr>
            </w:pPr>
            <w:r>
              <w:rPr>
                <w:rFonts w:hint="eastAsia" w:eastAsia="宋体"/>
                <w:color w:val="auto"/>
              </w:rPr>
              <w:t>当发生火灾甚至爆炸时，应立即阻断引火源，组织灭火，并采取隔离、警戒和疏散措施，避免无关人员进入事发危险区域，并合理布置消防和救援力量；在扑救的同时，采取防泄漏、防扩散控制措施，防止火势蔓延，对附近受威胁的油气储存设施，及时采取冷却、倒罐、置换、泄压等措施，防止升温、升压而引起次生或衍生火灾爆炸；条件允许时，迅速组织抢装井口和压井作业；灭火完毕后，继续冷却至常温状态，清理火灾现场，组织力量对泄漏管道、设施进行封堵、抢修，同时随时准备利用消防水掩护对泄漏点的封堵抢修作业。</w:t>
            </w:r>
          </w:p>
          <w:p w14:paraId="3EC63374">
            <w:pPr>
              <w:pStyle w:val="3"/>
              <w:ind w:firstLine="480"/>
              <w:rPr>
                <w:rFonts w:hint="eastAsia" w:eastAsia="宋体"/>
                <w:color w:val="auto"/>
              </w:rPr>
            </w:pPr>
            <w:r>
              <w:rPr>
                <w:rFonts w:hint="eastAsia" w:eastAsia="宋体"/>
                <w:color w:val="auto"/>
                <w:lang w:eastAsia="zh-CN"/>
              </w:rPr>
              <w:t>（</w:t>
            </w:r>
            <w:r>
              <w:rPr>
                <w:rFonts w:hint="eastAsia" w:eastAsia="宋体"/>
                <w:color w:val="auto"/>
                <w:lang w:val="en-US" w:eastAsia="zh-CN"/>
              </w:rPr>
              <w:t>5</w:t>
            </w:r>
            <w:r>
              <w:rPr>
                <w:rFonts w:hint="eastAsia" w:eastAsia="宋体"/>
                <w:color w:val="auto"/>
                <w:lang w:eastAsia="zh-CN"/>
              </w:rPr>
              <w:t>）</w:t>
            </w:r>
            <w:r>
              <w:rPr>
                <w:rFonts w:hint="eastAsia" w:eastAsia="宋体"/>
                <w:color w:val="auto"/>
              </w:rPr>
              <w:t>钻井废</w:t>
            </w:r>
            <w:r>
              <w:rPr>
                <w:rFonts w:hint="eastAsia" w:eastAsia="宋体"/>
                <w:color w:val="auto"/>
                <w:lang w:val="en-US" w:eastAsia="zh-CN"/>
              </w:rPr>
              <w:t>水</w:t>
            </w:r>
            <w:r>
              <w:rPr>
                <w:rFonts w:hint="eastAsia" w:eastAsia="宋体"/>
                <w:color w:val="auto"/>
              </w:rPr>
              <w:t>、</w:t>
            </w:r>
            <w:r>
              <w:rPr>
                <w:rFonts w:hint="eastAsia" w:eastAsia="宋体"/>
                <w:color w:val="auto"/>
                <w:lang w:val="en-US" w:eastAsia="zh-CN"/>
              </w:rPr>
              <w:t>洗井废水、压裂废水</w:t>
            </w:r>
            <w:r>
              <w:rPr>
                <w:rFonts w:hint="eastAsia" w:eastAsia="宋体"/>
                <w:color w:val="auto"/>
              </w:rPr>
              <w:t>运输防范措施</w:t>
            </w:r>
          </w:p>
          <w:p w14:paraId="7551FD97">
            <w:pPr>
              <w:pStyle w:val="3"/>
              <w:ind w:firstLine="480"/>
              <w:rPr>
                <w:rFonts w:eastAsia="宋体"/>
                <w:color w:val="auto"/>
              </w:rPr>
            </w:pPr>
            <w:r>
              <w:rPr>
                <w:rFonts w:hint="eastAsia" w:eastAsia="宋体"/>
                <w:color w:val="auto"/>
              </w:rPr>
              <w:t>本项目钻井</w:t>
            </w:r>
            <w:r>
              <w:rPr>
                <w:rFonts w:hint="eastAsia" w:eastAsia="宋体"/>
                <w:color w:val="auto"/>
                <w:lang w:val="en-US" w:eastAsia="zh-CN"/>
              </w:rPr>
              <w:t>产生的钻井废水和</w:t>
            </w:r>
            <w:r>
              <w:rPr>
                <w:rFonts w:hint="eastAsia" w:eastAsia="宋体"/>
                <w:color w:val="auto"/>
              </w:rPr>
              <w:t>不可回用的</w:t>
            </w:r>
            <w:r>
              <w:rPr>
                <w:rFonts w:eastAsia="宋体"/>
                <w:color w:val="auto"/>
              </w:rPr>
              <w:t>洗井废水</w:t>
            </w:r>
            <w:r>
              <w:rPr>
                <w:rFonts w:hint="eastAsia" w:eastAsia="宋体"/>
                <w:color w:val="auto"/>
                <w:lang w:eastAsia="zh-CN"/>
              </w:rPr>
              <w:t>、</w:t>
            </w:r>
            <w:r>
              <w:rPr>
                <w:rFonts w:hint="eastAsia" w:eastAsia="宋体"/>
                <w:color w:val="auto"/>
                <w:lang w:val="en-US" w:eastAsia="zh-CN"/>
              </w:rPr>
              <w:t>压裂直接泵入井场水罐车储罐内，储罐装满后不在场区暂存，直接由</w:t>
            </w:r>
            <w:r>
              <w:rPr>
                <w:rFonts w:hint="eastAsia" w:eastAsia="宋体"/>
                <w:color w:val="auto"/>
              </w:rPr>
              <w:t>罐车拉运至</w:t>
            </w:r>
            <w:r>
              <w:rPr>
                <w:rFonts w:hint="eastAsia" w:eastAsia="宋体"/>
                <w:color w:val="auto"/>
                <w:lang w:val="en-US" w:eastAsia="zh-CN"/>
              </w:rPr>
              <w:t>附近沙埝注水站废水处理站</w:t>
            </w:r>
            <w:r>
              <w:rPr>
                <w:rFonts w:hint="eastAsia" w:eastAsia="宋体"/>
                <w:color w:val="auto"/>
              </w:rPr>
              <w:t>进行处理，</w:t>
            </w:r>
            <w:r>
              <w:rPr>
                <w:rFonts w:eastAsia="宋体"/>
                <w:color w:val="auto"/>
              </w:rPr>
              <w:t>处理达标后用于开发注水，</w:t>
            </w:r>
            <w:r>
              <w:rPr>
                <w:rFonts w:hint="eastAsia" w:eastAsia="宋体"/>
                <w:color w:val="auto"/>
                <w:lang w:val="en-US" w:eastAsia="zh-CN"/>
              </w:rPr>
              <w:t>不</w:t>
            </w:r>
            <w:r>
              <w:rPr>
                <w:rFonts w:eastAsia="宋体"/>
                <w:color w:val="auto"/>
              </w:rPr>
              <w:t>外排。</w:t>
            </w:r>
          </w:p>
          <w:p w14:paraId="1E101562">
            <w:pPr>
              <w:pStyle w:val="3"/>
              <w:ind w:firstLine="480"/>
              <w:rPr>
                <w:rFonts w:hint="eastAsia" w:eastAsia="宋体"/>
                <w:color w:val="auto"/>
                <w:lang w:eastAsia="zh-CN"/>
              </w:rPr>
            </w:pPr>
            <w:r>
              <w:rPr>
                <w:rFonts w:hint="eastAsia" w:eastAsia="宋体"/>
                <w:color w:val="auto"/>
              </w:rPr>
              <w:t>废</w:t>
            </w:r>
            <w:r>
              <w:rPr>
                <w:rFonts w:hint="eastAsia" w:eastAsia="宋体"/>
                <w:color w:val="auto"/>
                <w:lang w:val="en-US" w:eastAsia="zh-CN"/>
              </w:rPr>
              <w:t>水</w:t>
            </w:r>
            <w:r>
              <w:rPr>
                <w:rFonts w:hint="eastAsia" w:eastAsia="宋体"/>
                <w:color w:val="auto"/>
              </w:rPr>
              <w:t>运输过程应重点关注运输安全问题，合理安排运输线路，避开生态环境敏感区域；建设单位废水</w:t>
            </w:r>
            <w:r>
              <w:rPr>
                <w:rFonts w:hint="eastAsia" w:eastAsia="宋体"/>
                <w:color w:val="auto"/>
                <w:lang w:val="en-US" w:eastAsia="zh-CN"/>
              </w:rPr>
              <w:t>拉运</w:t>
            </w:r>
            <w:r>
              <w:rPr>
                <w:rFonts w:hint="eastAsia" w:eastAsia="宋体"/>
                <w:color w:val="auto"/>
              </w:rPr>
              <w:t>时应检查罐车的密闭情况，防止运输过程中产生跑冒滴漏，降低运输过程中对周边环境的影响；运输人员应有充足的运输车辆驾驶经验，保证罐车平稳安全地运输行驶</w:t>
            </w:r>
            <w:r>
              <w:rPr>
                <w:rFonts w:hint="eastAsia" w:eastAsia="宋体"/>
                <w:color w:val="auto"/>
                <w:lang w:eastAsia="zh-CN"/>
              </w:rPr>
              <w:t>。</w:t>
            </w:r>
          </w:p>
          <w:p w14:paraId="3889993A">
            <w:pPr>
              <w:pStyle w:val="3"/>
              <w:ind w:firstLine="480"/>
              <w:rPr>
                <w:rFonts w:eastAsia="宋体"/>
                <w:color w:val="auto"/>
              </w:rPr>
            </w:pPr>
            <w:r>
              <w:rPr>
                <w:rFonts w:hint="eastAsia" w:eastAsia="宋体"/>
                <w:color w:val="auto"/>
              </w:rPr>
              <w:t>（</w:t>
            </w:r>
            <w:r>
              <w:rPr>
                <w:rFonts w:hint="eastAsia" w:eastAsia="宋体"/>
                <w:color w:val="auto"/>
                <w:lang w:val="en-US" w:eastAsia="zh-CN"/>
              </w:rPr>
              <w:t>6</w:t>
            </w:r>
            <w:r>
              <w:rPr>
                <w:rFonts w:hint="eastAsia" w:eastAsia="宋体"/>
                <w:color w:val="auto"/>
              </w:rPr>
              <w:t>）</w:t>
            </w:r>
            <w:r>
              <w:rPr>
                <w:rFonts w:eastAsia="宋体"/>
                <w:color w:val="auto"/>
              </w:rPr>
              <w:t>事故应急预案</w:t>
            </w:r>
            <w:bookmarkEnd w:id="12"/>
            <w:bookmarkEnd w:id="13"/>
          </w:p>
          <w:p w14:paraId="6FAC5D0F">
            <w:pPr>
              <w:pStyle w:val="3"/>
              <w:ind w:firstLine="480"/>
              <w:rPr>
                <w:rFonts w:eastAsia="宋体"/>
                <w:color w:val="auto"/>
              </w:rPr>
            </w:pPr>
            <w:r>
              <w:rPr>
                <w:rFonts w:eastAsia="宋体"/>
                <w:color w:val="auto"/>
              </w:rPr>
              <w:t>江苏油田已建立了完善的应急预案，按照工业生产事件，公共卫生事件，自然灾害事件，社会安全事件和突发环境事件的类别，经危害识别，风险评估，确定可能发生或容易发生的风险事件。</w:t>
            </w:r>
            <w:r>
              <w:rPr>
                <w:rFonts w:hint="eastAsia" w:eastAsia="宋体"/>
                <w:color w:val="auto"/>
              </w:rPr>
              <w:t>按照《钻井工程污染防治规范》（</w:t>
            </w:r>
            <w:r>
              <w:rPr>
                <w:rFonts w:eastAsia="宋体"/>
                <w:color w:val="auto"/>
              </w:rPr>
              <w:t>Q/SH</w:t>
            </w:r>
            <w:r>
              <w:rPr>
                <w:rFonts w:hint="eastAsia" w:eastAsia="宋体"/>
                <w:color w:val="auto"/>
              </w:rPr>
              <w:t xml:space="preserve"> 0238-2009）及《江苏油田突发环境事件应急预案》的要求</w:t>
            </w:r>
            <w:r>
              <w:rPr>
                <w:rFonts w:eastAsia="宋体"/>
                <w:color w:val="auto"/>
              </w:rPr>
              <w:t>施工前</w:t>
            </w:r>
            <w:r>
              <w:rPr>
                <w:rFonts w:hint="eastAsia" w:eastAsia="宋体"/>
                <w:color w:val="auto"/>
              </w:rPr>
              <w:t>编制环境污染应急处置预案做到一井一案</w:t>
            </w:r>
            <w:r>
              <w:rPr>
                <w:rFonts w:eastAsia="宋体"/>
                <w:color w:val="auto"/>
              </w:rPr>
              <w:t>，以防患于未然。</w:t>
            </w:r>
          </w:p>
          <w:p w14:paraId="6FAF4408">
            <w:pPr>
              <w:pStyle w:val="3"/>
              <w:ind w:firstLine="480"/>
              <w:rPr>
                <w:rFonts w:eastAsia="宋体"/>
                <w:color w:val="auto"/>
              </w:rPr>
            </w:pPr>
            <w:r>
              <w:rPr>
                <w:rFonts w:hint="eastAsia" w:eastAsia="宋体"/>
                <w:color w:val="auto"/>
              </w:rPr>
              <w:t>井场</w:t>
            </w:r>
            <w:r>
              <w:rPr>
                <w:rFonts w:eastAsia="宋体"/>
                <w:color w:val="auto"/>
              </w:rPr>
              <w:t>应配备全面的应急</w:t>
            </w:r>
            <w:r>
              <w:rPr>
                <w:rFonts w:hint="eastAsia" w:eastAsia="宋体"/>
                <w:color w:val="auto"/>
                <w:lang w:val="en-US" w:eastAsia="zh-CN"/>
              </w:rPr>
              <w:t>物资</w:t>
            </w:r>
            <w:r>
              <w:rPr>
                <w:rFonts w:eastAsia="宋体"/>
                <w:color w:val="auto"/>
              </w:rPr>
              <w:t>，</w:t>
            </w:r>
            <w:r>
              <w:rPr>
                <w:rFonts w:hint="eastAsia" w:eastAsia="宋体"/>
                <w:color w:val="auto"/>
                <w:lang w:val="en-US" w:eastAsia="zh-CN"/>
              </w:rPr>
              <w:t>如</w:t>
            </w:r>
            <w:r>
              <w:rPr>
                <w:rFonts w:hint="eastAsia" w:eastAsia="宋体"/>
                <w:color w:val="auto"/>
              </w:rPr>
              <w:t>正压空气呼吸器，空气呼吸器充气机，洗眼液，氧气瓶，氧气袋，急救包，担架，防爆手电筒，防爆探照灯，应急发电机，卫星电话，防爆对讲机等</w:t>
            </w:r>
            <w:r>
              <w:rPr>
                <w:rFonts w:eastAsia="宋体"/>
                <w:color w:val="auto"/>
              </w:rPr>
              <w:t>并定期检查，使</w:t>
            </w:r>
            <w:r>
              <w:rPr>
                <w:rFonts w:hint="eastAsia" w:eastAsia="宋体"/>
                <w:color w:val="auto"/>
                <w:lang w:val="en-US" w:eastAsia="zh-CN"/>
              </w:rPr>
              <w:t>应急物资</w:t>
            </w:r>
            <w:r>
              <w:rPr>
                <w:rFonts w:eastAsia="宋体"/>
                <w:color w:val="auto"/>
              </w:rPr>
              <w:t>一直保持能够使用的良好状态；具备畅通的通讯设备和通讯网络，配备必须的通讯联络设备。制定应急撤离措施，保护事故现场周围职工、周围的设备等，对事故后果进行监测和评价，以确定事故的影响范围和危害程度，为制定应急措施提供依据。</w:t>
            </w:r>
          </w:p>
          <w:p w14:paraId="5EA551E8">
            <w:pPr>
              <w:pStyle w:val="3"/>
              <w:ind w:firstLine="480"/>
              <w:rPr>
                <w:rFonts w:eastAsia="宋体"/>
                <w:color w:val="auto"/>
              </w:rPr>
            </w:pPr>
            <w:r>
              <w:rPr>
                <w:rFonts w:eastAsia="宋体"/>
                <w:color w:val="auto"/>
              </w:rPr>
              <w:t>江苏油田应按照相关要求，对事故发生时必须采取的行动、措施进行演习。</w:t>
            </w:r>
          </w:p>
          <w:p w14:paraId="5350EA43">
            <w:pPr>
              <w:pStyle w:val="3"/>
              <w:ind w:firstLine="480"/>
              <w:rPr>
                <w:rFonts w:eastAsia="宋体"/>
                <w:color w:val="auto"/>
              </w:rPr>
            </w:pPr>
            <w:r>
              <w:rPr>
                <w:rFonts w:hint="eastAsia" w:eastAsia="宋体"/>
                <w:color w:val="auto"/>
              </w:rPr>
              <w:t>（</w:t>
            </w:r>
            <w:r>
              <w:rPr>
                <w:rFonts w:hint="eastAsia" w:eastAsia="宋体"/>
                <w:color w:val="auto"/>
                <w:lang w:val="en-US" w:eastAsia="zh-CN"/>
              </w:rPr>
              <w:t>7</w:t>
            </w:r>
            <w:r>
              <w:rPr>
                <w:rFonts w:hint="eastAsia" w:eastAsia="宋体"/>
                <w:color w:val="auto"/>
              </w:rPr>
              <w:t>）突发环境事件应急处置措施</w:t>
            </w:r>
          </w:p>
          <w:p w14:paraId="383A86E1">
            <w:pPr>
              <w:pStyle w:val="3"/>
              <w:ind w:firstLine="480"/>
              <w:rPr>
                <w:rFonts w:hint="eastAsia" w:eastAsia="宋体"/>
                <w:color w:val="auto"/>
              </w:rPr>
            </w:pPr>
            <w:r>
              <w:rPr>
                <w:rFonts w:hint="eastAsia" w:eastAsia="宋体"/>
                <w:color w:val="auto"/>
              </w:rPr>
              <w:t>井漏事件、井喷溢油事件</w:t>
            </w:r>
            <w:r>
              <w:rPr>
                <w:rFonts w:hint="eastAsia" w:eastAsia="宋体"/>
                <w:color w:val="auto"/>
                <w:lang w:val="en-US" w:eastAsia="zh-CN"/>
              </w:rPr>
              <w:t>和</w:t>
            </w:r>
            <w:r>
              <w:rPr>
                <w:rFonts w:hint="eastAsia" w:eastAsia="宋体"/>
                <w:color w:val="auto"/>
              </w:rPr>
              <w:t>柴油储罐的泄漏事件环境污染应急处置措施见</w:t>
            </w:r>
            <w:r>
              <w:rPr>
                <w:rFonts w:eastAsia="宋体"/>
                <w:color w:val="auto"/>
              </w:rPr>
              <w:t>表</w:t>
            </w:r>
            <w:r>
              <w:rPr>
                <w:rFonts w:hint="eastAsia" w:eastAsia="宋体"/>
                <w:color w:val="auto"/>
              </w:rPr>
              <w:t>5-2、</w:t>
            </w:r>
            <w:r>
              <w:rPr>
                <w:rFonts w:eastAsia="宋体"/>
                <w:color w:val="auto"/>
              </w:rPr>
              <w:t>表</w:t>
            </w:r>
            <w:r>
              <w:rPr>
                <w:rFonts w:hint="eastAsia" w:eastAsia="宋体"/>
                <w:color w:val="auto"/>
              </w:rPr>
              <w:t>5-3、</w:t>
            </w:r>
            <w:r>
              <w:rPr>
                <w:rFonts w:eastAsia="宋体"/>
                <w:color w:val="auto"/>
              </w:rPr>
              <w:t>表</w:t>
            </w:r>
            <w:r>
              <w:rPr>
                <w:rFonts w:hint="eastAsia" w:eastAsia="宋体"/>
                <w:color w:val="auto"/>
              </w:rPr>
              <w:t>5-4、表5-5。</w:t>
            </w:r>
          </w:p>
          <w:p w14:paraId="1507CB27">
            <w:pPr>
              <w:pStyle w:val="16"/>
              <w:rPr>
                <w:rFonts w:eastAsia="宋体"/>
              </w:rPr>
            </w:pPr>
            <w:r>
              <w:rPr>
                <w:rFonts w:hint="eastAsia" w:eastAsia="宋体"/>
              </w:rPr>
              <w:t>表5-2  井漏事件引发的环境污染应急处置措施</w:t>
            </w:r>
          </w:p>
          <w:tbl>
            <w:tblPr>
              <w:tblStyle w:val="1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7"/>
              <w:gridCol w:w="648"/>
              <w:gridCol w:w="904"/>
              <w:gridCol w:w="5493"/>
            </w:tblGrid>
            <w:tr w14:paraId="788B28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shd w:val="clear" w:color="auto" w:fill="auto"/>
                  <w:vAlign w:val="center"/>
                </w:tcPr>
                <w:p w14:paraId="4B079CA7">
                  <w:pPr>
                    <w:pStyle w:val="17"/>
                    <w:rPr>
                      <w:rFonts w:eastAsia="宋体"/>
                      <w:b/>
                      <w:bCs/>
                    </w:rPr>
                  </w:pPr>
                  <w:r>
                    <w:rPr>
                      <w:rFonts w:hint="eastAsia" w:eastAsia="宋体"/>
                      <w:b/>
                      <w:bCs/>
                    </w:rPr>
                    <w:t>序号</w:t>
                  </w:r>
                </w:p>
              </w:tc>
              <w:tc>
                <w:tcPr>
                  <w:tcW w:w="995" w:type="pct"/>
                  <w:gridSpan w:val="2"/>
                  <w:shd w:val="clear" w:color="auto" w:fill="auto"/>
                  <w:vAlign w:val="center"/>
                </w:tcPr>
                <w:p w14:paraId="11B8D65A">
                  <w:pPr>
                    <w:pStyle w:val="17"/>
                    <w:rPr>
                      <w:rFonts w:eastAsia="宋体"/>
                      <w:b/>
                      <w:bCs/>
                    </w:rPr>
                  </w:pPr>
                  <w:r>
                    <w:rPr>
                      <w:rFonts w:hint="eastAsia" w:eastAsia="宋体"/>
                      <w:b/>
                      <w:bCs/>
                    </w:rPr>
                    <w:t>工作内容</w:t>
                  </w:r>
                </w:p>
              </w:tc>
              <w:tc>
                <w:tcPr>
                  <w:tcW w:w="3525" w:type="pct"/>
                  <w:shd w:val="clear" w:color="auto" w:fill="auto"/>
                  <w:vAlign w:val="center"/>
                </w:tcPr>
                <w:p w14:paraId="5FFFEADB">
                  <w:pPr>
                    <w:pStyle w:val="17"/>
                    <w:rPr>
                      <w:rFonts w:eastAsia="宋体"/>
                      <w:b/>
                      <w:bCs/>
                    </w:rPr>
                  </w:pPr>
                  <w:r>
                    <w:rPr>
                      <w:rFonts w:hint="eastAsia" w:eastAsia="宋体"/>
                      <w:b/>
                      <w:bCs/>
                    </w:rPr>
                    <w:t>处置措施</w:t>
                  </w:r>
                </w:p>
              </w:tc>
            </w:tr>
            <w:tr w14:paraId="6EF344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shd w:val="clear" w:color="auto" w:fill="auto"/>
                  <w:vAlign w:val="center"/>
                </w:tcPr>
                <w:p w14:paraId="6E363115">
                  <w:pPr>
                    <w:pStyle w:val="17"/>
                    <w:rPr>
                      <w:rFonts w:eastAsia="宋体"/>
                    </w:rPr>
                  </w:pPr>
                  <w:r>
                    <w:rPr>
                      <w:rFonts w:hint="eastAsia" w:eastAsia="宋体"/>
                    </w:rPr>
                    <w:t>1</w:t>
                  </w:r>
                </w:p>
              </w:tc>
              <w:tc>
                <w:tcPr>
                  <w:tcW w:w="995" w:type="pct"/>
                  <w:gridSpan w:val="2"/>
                  <w:shd w:val="clear" w:color="auto" w:fill="auto"/>
                  <w:vAlign w:val="center"/>
                </w:tcPr>
                <w:p w14:paraId="68FD64E6">
                  <w:pPr>
                    <w:pStyle w:val="17"/>
                    <w:rPr>
                      <w:rFonts w:eastAsia="宋体"/>
                    </w:rPr>
                  </w:pPr>
                  <w:r>
                    <w:rPr>
                      <w:rFonts w:hint="eastAsia" w:eastAsia="宋体"/>
                    </w:rPr>
                    <w:t>处置要点</w:t>
                  </w:r>
                </w:p>
              </w:tc>
              <w:tc>
                <w:tcPr>
                  <w:tcW w:w="3525" w:type="pct"/>
                  <w:shd w:val="clear" w:color="auto" w:fill="auto"/>
                  <w:vAlign w:val="center"/>
                </w:tcPr>
                <w:p w14:paraId="54943917">
                  <w:pPr>
                    <w:pStyle w:val="17"/>
                    <w:jc w:val="both"/>
                    <w:rPr>
                      <w:rFonts w:eastAsia="宋体"/>
                    </w:rPr>
                  </w:pPr>
                  <w:r>
                    <w:rPr>
                      <w:rFonts w:hint="eastAsia" w:eastAsia="宋体"/>
                    </w:rPr>
                    <w:t>应及时发现溢流，快速控制井口。发现溢流、井漏及油气显示时，应立即报告司钻，做到溢流量1m</w:t>
                  </w:r>
                  <w:r>
                    <w:rPr>
                      <w:rFonts w:hint="eastAsia" w:eastAsia="宋体"/>
                      <w:vertAlign w:val="superscript"/>
                    </w:rPr>
                    <w:t>3</w:t>
                  </w:r>
                  <w:r>
                    <w:rPr>
                      <w:rFonts w:hint="eastAsia" w:eastAsia="宋体"/>
                    </w:rPr>
                    <w:t>发现、2m</w:t>
                  </w:r>
                  <w:r>
                    <w:rPr>
                      <w:rFonts w:hint="eastAsia" w:eastAsia="宋体"/>
                      <w:vertAlign w:val="superscript"/>
                    </w:rPr>
                    <w:t>3</w:t>
                  </w:r>
                  <w:r>
                    <w:rPr>
                      <w:rFonts w:hint="eastAsia" w:eastAsia="宋体"/>
                    </w:rPr>
                    <w:t>关井, 关井后应及时求得关井立压、套压和溢流量。</w:t>
                  </w:r>
                </w:p>
              </w:tc>
            </w:tr>
            <w:tr w14:paraId="36A610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vMerge w:val="restart"/>
                  <w:shd w:val="clear" w:color="auto" w:fill="auto"/>
                  <w:vAlign w:val="center"/>
                </w:tcPr>
                <w:p w14:paraId="361B4E0F">
                  <w:pPr>
                    <w:pStyle w:val="17"/>
                    <w:rPr>
                      <w:rFonts w:eastAsia="宋体"/>
                    </w:rPr>
                  </w:pPr>
                  <w:r>
                    <w:rPr>
                      <w:rFonts w:hint="eastAsia" w:eastAsia="宋体"/>
                    </w:rPr>
                    <w:t>2</w:t>
                  </w:r>
                </w:p>
              </w:tc>
              <w:tc>
                <w:tcPr>
                  <w:tcW w:w="415" w:type="pct"/>
                  <w:vMerge w:val="restart"/>
                  <w:shd w:val="clear" w:color="auto" w:fill="auto"/>
                  <w:vAlign w:val="center"/>
                </w:tcPr>
                <w:p w14:paraId="601D7736">
                  <w:pPr>
                    <w:pStyle w:val="17"/>
                    <w:rPr>
                      <w:rFonts w:eastAsia="宋体"/>
                    </w:rPr>
                  </w:pPr>
                  <w:r>
                    <w:rPr>
                      <w:rFonts w:hint="eastAsia" w:eastAsia="宋体"/>
                    </w:rPr>
                    <w:t>处置措施</w:t>
                  </w:r>
                </w:p>
              </w:tc>
              <w:tc>
                <w:tcPr>
                  <w:tcW w:w="580" w:type="pct"/>
                  <w:shd w:val="clear" w:color="auto" w:fill="auto"/>
                  <w:vAlign w:val="center"/>
                </w:tcPr>
                <w:p w14:paraId="5C9F481F">
                  <w:pPr>
                    <w:pStyle w:val="17"/>
                    <w:rPr>
                      <w:rFonts w:eastAsia="宋体"/>
                    </w:rPr>
                  </w:pPr>
                  <w:r>
                    <w:rPr>
                      <w:rFonts w:hint="eastAsia" w:eastAsia="宋体"/>
                    </w:rPr>
                    <w:t>井控措施</w:t>
                  </w:r>
                </w:p>
              </w:tc>
              <w:tc>
                <w:tcPr>
                  <w:tcW w:w="3525" w:type="pct"/>
                  <w:shd w:val="clear" w:color="auto" w:fill="auto"/>
                  <w:vAlign w:val="center"/>
                </w:tcPr>
                <w:p w14:paraId="4958D5ED">
                  <w:pPr>
                    <w:pStyle w:val="17"/>
                    <w:jc w:val="both"/>
                    <w:rPr>
                      <w:rFonts w:eastAsia="宋体"/>
                    </w:rPr>
                  </w:pPr>
                  <w:r>
                    <w:rPr>
                      <w:rFonts w:hint="eastAsia" w:eastAsia="宋体"/>
                    </w:rPr>
                    <w:t>钻进中发生井漏应将钻具提离井底，方钻杆提出转盘，以便关井观察。采取定时、定量反灌钻井液的措施保持井内液柱压力与地层压力平衡，防止发生溢流，其后采取相应措施处理井漏。</w:t>
                  </w:r>
                </w:p>
              </w:tc>
            </w:tr>
            <w:tr w14:paraId="6C5656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vMerge w:val="continue"/>
                  <w:shd w:val="clear" w:color="auto" w:fill="auto"/>
                  <w:vAlign w:val="center"/>
                </w:tcPr>
                <w:p w14:paraId="143042FA">
                  <w:pPr>
                    <w:pStyle w:val="17"/>
                    <w:rPr>
                      <w:rFonts w:eastAsia="宋体"/>
                    </w:rPr>
                  </w:pPr>
                </w:p>
              </w:tc>
              <w:tc>
                <w:tcPr>
                  <w:tcW w:w="415" w:type="pct"/>
                  <w:vMerge w:val="continue"/>
                  <w:shd w:val="clear" w:color="auto" w:fill="auto"/>
                  <w:vAlign w:val="center"/>
                </w:tcPr>
                <w:p w14:paraId="70D85CBB">
                  <w:pPr>
                    <w:pStyle w:val="17"/>
                    <w:rPr>
                      <w:rFonts w:eastAsia="宋体"/>
                    </w:rPr>
                  </w:pPr>
                </w:p>
              </w:tc>
              <w:tc>
                <w:tcPr>
                  <w:tcW w:w="580" w:type="pct"/>
                  <w:shd w:val="clear" w:color="auto" w:fill="auto"/>
                  <w:vAlign w:val="center"/>
                </w:tcPr>
                <w:p w14:paraId="7CFFEC93">
                  <w:pPr>
                    <w:pStyle w:val="17"/>
                    <w:rPr>
                      <w:rFonts w:eastAsia="宋体"/>
                    </w:rPr>
                  </w:pPr>
                  <w:r>
                    <w:rPr>
                      <w:rFonts w:hint="eastAsia" w:eastAsia="宋体"/>
                    </w:rPr>
                    <w:t>渗透性漏失</w:t>
                  </w:r>
                </w:p>
              </w:tc>
              <w:tc>
                <w:tcPr>
                  <w:tcW w:w="3525" w:type="pct"/>
                  <w:shd w:val="clear" w:color="auto" w:fill="auto"/>
                  <w:vAlign w:val="center"/>
                </w:tcPr>
                <w:p w14:paraId="38AF5975">
                  <w:pPr>
                    <w:pStyle w:val="17"/>
                    <w:jc w:val="both"/>
                    <w:rPr>
                      <w:rFonts w:eastAsia="宋体"/>
                    </w:rPr>
                  </w:pPr>
                  <w:r>
                    <w:rPr>
                      <w:rFonts w:hint="eastAsia" w:eastAsia="宋体"/>
                    </w:rPr>
                    <w:t>漏失速度小于5m</w:t>
                  </w:r>
                  <w:r>
                    <w:rPr>
                      <w:rFonts w:eastAsia="宋体"/>
                      <w:vertAlign w:val="superscript"/>
                    </w:rPr>
                    <w:t>3</w:t>
                  </w:r>
                  <w:r>
                    <w:rPr>
                      <w:rFonts w:hint="eastAsia" w:eastAsia="宋体"/>
                    </w:rPr>
                    <w:t>/h时，首先应降低钻井液密度，提高钻井液的粘度和切力，后采取随钻堵漏方式。在钻井液中加入1-3%的单向封闭剂，边钻边观察。根据漏失程度添加膨润土、CMC、复合型堵漏剂等。如果漏失严重，停止钻进，配制堵漏浆，静止堵漏，方法同下。</w:t>
                  </w:r>
                </w:p>
              </w:tc>
            </w:tr>
            <w:tr w14:paraId="68291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vMerge w:val="continue"/>
                  <w:shd w:val="clear" w:color="auto" w:fill="auto"/>
                  <w:vAlign w:val="center"/>
                </w:tcPr>
                <w:p w14:paraId="7A6C945C">
                  <w:pPr>
                    <w:pStyle w:val="17"/>
                    <w:rPr>
                      <w:rFonts w:eastAsia="宋体"/>
                    </w:rPr>
                  </w:pPr>
                </w:p>
              </w:tc>
              <w:tc>
                <w:tcPr>
                  <w:tcW w:w="415" w:type="pct"/>
                  <w:vMerge w:val="continue"/>
                  <w:shd w:val="clear" w:color="auto" w:fill="auto"/>
                  <w:vAlign w:val="center"/>
                </w:tcPr>
                <w:p w14:paraId="1102FFA5">
                  <w:pPr>
                    <w:pStyle w:val="17"/>
                    <w:rPr>
                      <w:rFonts w:eastAsia="宋体"/>
                    </w:rPr>
                  </w:pPr>
                </w:p>
              </w:tc>
              <w:tc>
                <w:tcPr>
                  <w:tcW w:w="580" w:type="pct"/>
                  <w:shd w:val="clear" w:color="auto" w:fill="auto"/>
                  <w:vAlign w:val="center"/>
                </w:tcPr>
                <w:p w14:paraId="0788B942">
                  <w:pPr>
                    <w:pStyle w:val="17"/>
                    <w:rPr>
                      <w:rFonts w:eastAsia="宋体"/>
                    </w:rPr>
                  </w:pPr>
                  <w:r>
                    <w:rPr>
                      <w:rFonts w:hint="eastAsia" w:eastAsia="宋体"/>
                    </w:rPr>
                    <w:t>小漏失</w:t>
                  </w:r>
                </w:p>
              </w:tc>
              <w:tc>
                <w:tcPr>
                  <w:tcW w:w="3525" w:type="pct"/>
                  <w:shd w:val="clear" w:color="auto" w:fill="auto"/>
                  <w:vAlign w:val="center"/>
                </w:tcPr>
                <w:p w14:paraId="5137B1B6">
                  <w:pPr>
                    <w:pStyle w:val="17"/>
                    <w:jc w:val="both"/>
                    <w:rPr>
                      <w:rFonts w:eastAsia="宋体"/>
                    </w:rPr>
                  </w:pPr>
                  <w:r>
                    <w:rPr>
                      <w:rFonts w:hint="eastAsia" w:eastAsia="宋体"/>
                    </w:rPr>
                    <w:t>漏失速度在5~-15m</w:t>
                  </w:r>
                  <w:r>
                    <w:rPr>
                      <w:rFonts w:eastAsia="宋体"/>
                      <w:vertAlign w:val="superscript"/>
                    </w:rPr>
                    <w:t>3</w:t>
                  </w:r>
                  <w:r>
                    <w:rPr>
                      <w:rFonts w:hint="eastAsia" w:eastAsia="宋体"/>
                    </w:rPr>
                    <w:t>/h，采取静止堵漏方式。配制堵漏浆，配方为一定量井浆+3%膨润</w:t>
                  </w:r>
                  <w:r>
                    <w:rPr>
                      <w:rFonts w:hint="eastAsia" w:eastAsia="宋体"/>
                      <w:lang w:eastAsia="zh-CN"/>
                    </w:rPr>
                    <w:t>土</w:t>
                  </w:r>
                  <w:r>
                    <w:rPr>
                      <w:rFonts w:hint="eastAsia" w:eastAsia="宋体"/>
                    </w:rPr>
                    <w:t>+3~ 8%复合型堵漏剂+3%单向封闭剂，调整粘切。提钻至漏失层位，用小排量将堵漏浆泵入至漏失层位后，提钻至漏失层位顶部，静止堵漏4~6h (堵漏期间必须保持井内灌满钻井液)，再在漏层顶部循环30min,不漏则恢复钻进。</w:t>
                  </w:r>
                </w:p>
              </w:tc>
            </w:tr>
            <w:tr w14:paraId="53E336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vMerge w:val="continue"/>
                  <w:shd w:val="clear" w:color="auto" w:fill="auto"/>
                  <w:vAlign w:val="center"/>
                </w:tcPr>
                <w:p w14:paraId="79D27E41">
                  <w:pPr>
                    <w:pStyle w:val="17"/>
                    <w:rPr>
                      <w:rFonts w:eastAsia="宋体"/>
                    </w:rPr>
                  </w:pPr>
                </w:p>
              </w:tc>
              <w:tc>
                <w:tcPr>
                  <w:tcW w:w="415" w:type="pct"/>
                  <w:vMerge w:val="continue"/>
                  <w:shd w:val="clear" w:color="auto" w:fill="auto"/>
                  <w:vAlign w:val="center"/>
                </w:tcPr>
                <w:p w14:paraId="2E6E0A7E">
                  <w:pPr>
                    <w:pStyle w:val="17"/>
                    <w:rPr>
                      <w:rFonts w:eastAsia="宋体"/>
                    </w:rPr>
                  </w:pPr>
                </w:p>
              </w:tc>
              <w:tc>
                <w:tcPr>
                  <w:tcW w:w="580" w:type="pct"/>
                  <w:shd w:val="clear" w:color="auto" w:fill="auto"/>
                  <w:vAlign w:val="center"/>
                </w:tcPr>
                <w:p w14:paraId="1232B7F1">
                  <w:pPr>
                    <w:pStyle w:val="17"/>
                    <w:rPr>
                      <w:rFonts w:eastAsia="宋体"/>
                    </w:rPr>
                  </w:pPr>
                  <w:r>
                    <w:rPr>
                      <w:rFonts w:hint="eastAsia" w:eastAsia="宋体"/>
                    </w:rPr>
                    <w:t>中漏失</w:t>
                  </w:r>
                </w:p>
              </w:tc>
              <w:tc>
                <w:tcPr>
                  <w:tcW w:w="3525" w:type="pct"/>
                  <w:shd w:val="clear" w:color="auto" w:fill="auto"/>
                  <w:vAlign w:val="center"/>
                </w:tcPr>
                <w:p w14:paraId="0DBC6A1A">
                  <w:pPr>
                    <w:pStyle w:val="17"/>
                    <w:jc w:val="both"/>
                    <w:rPr>
                      <w:rFonts w:eastAsia="宋体"/>
                    </w:rPr>
                  </w:pPr>
                  <w:r>
                    <w:rPr>
                      <w:rFonts w:hint="eastAsia" w:eastAsia="宋体"/>
                    </w:rPr>
                    <w:t>漏失速度在15-30m</w:t>
                  </w:r>
                  <w:r>
                    <w:rPr>
                      <w:rFonts w:eastAsia="宋体"/>
                      <w:vertAlign w:val="superscript"/>
                    </w:rPr>
                    <w:t>3</w:t>
                  </w:r>
                  <w:r>
                    <w:rPr>
                      <w:rFonts w:hint="eastAsia" w:eastAsia="宋体"/>
                    </w:rPr>
                    <w:t>/h,配制堵漏浆,配方为一定量井浆+2%膨润土+3-8%复合型堵漏剂+3%单向封闭剂+3- 4%锯末+1- -2%JYW-1，采取静止堵漏方式。</w:t>
                  </w:r>
                </w:p>
              </w:tc>
            </w:tr>
            <w:tr w14:paraId="2D3216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vMerge w:val="continue"/>
                  <w:shd w:val="clear" w:color="auto" w:fill="auto"/>
                  <w:vAlign w:val="center"/>
                </w:tcPr>
                <w:p w14:paraId="607807DB">
                  <w:pPr>
                    <w:pStyle w:val="17"/>
                    <w:rPr>
                      <w:rFonts w:eastAsia="宋体"/>
                    </w:rPr>
                  </w:pPr>
                </w:p>
              </w:tc>
              <w:tc>
                <w:tcPr>
                  <w:tcW w:w="415" w:type="pct"/>
                  <w:vMerge w:val="continue"/>
                  <w:shd w:val="clear" w:color="auto" w:fill="auto"/>
                  <w:vAlign w:val="center"/>
                </w:tcPr>
                <w:p w14:paraId="13AB5EA8">
                  <w:pPr>
                    <w:pStyle w:val="17"/>
                    <w:rPr>
                      <w:rFonts w:eastAsia="宋体"/>
                    </w:rPr>
                  </w:pPr>
                </w:p>
              </w:tc>
              <w:tc>
                <w:tcPr>
                  <w:tcW w:w="580" w:type="pct"/>
                  <w:shd w:val="clear" w:color="auto" w:fill="auto"/>
                  <w:vAlign w:val="center"/>
                </w:tcPr>
                <w:p w14:paraId="040D6189">
                  <w:pPr>
                    <w:pStyle w:val="17"/>
                    <w:rPr>
                      <w:rFonts w:eastAsia="宋体"/>
                    </w:rPr>
                  </w:pPr>
                  <w:r>
                    <w:rPr>
                      <w:rFonts w:hint="eastAsia" w:eastAsia="宋体"/>
                    </w:rPr>
                    <w:t>大漏失</w:t>
                  </w:r>
                </w:p>
              </w:tc>
              <w:tc>
                <w:tcPr>
                  <w:tcW w:w="3525" w:type="pct"/>
                  <w:shd w:val="clear" w:color="auto" w:fill="auto"/>
                  <w:vAlign w:val="center"/>
                </w:tcPr>
                <w:p w14:paraId="18985E61">
                  <w:pPr>
                    <w:pStyle w:val="17"/>
                    <w:jc w:val="both"/>
                    <w:rPr>
                      <w:rFonts w:eastAsia="宋体"/>
                    </w:rPr>
                  </w:pPr>
                  <w:r>
                    <w:rPr>
                      <w:rFonts w:hint="eastAsia" w:eastAsia="宋体"/>
                    </w:rPr>
                    <w:t>漏失速度在30~-60m</w:t>
                  </w:r>
                  <w:r>
                    <w:rPr>
                      <w:rFonts w:eastAsia="宋体"/>
                      <w:vertAlign w:val="superscript"/>
                    </w:rPr>
                    <w:t>3</w:t>
                  </w:r>
                  <w:r>
                    <w:rPr>
                      <w:rFonts w:hint="eastAsia" w:eastAsia="宋体"/>
                    </w:rPr>
                    <w:t>/h,配制堵漏浆,配方为一定量井浆+2%膨润土+3-8%复合型堵漏剂+1~2%花生壳+2-~3%核桃壳+3-4%云母片+1~2%JYW-2,采取静止堵漏方式。堵漏不成功，可采取注水泥浆堵漏或尝试采用凝胶等堵漏工艺技术。遇恶性漏失可利用现场污水池储备清水，采用清水强钻。</w:t>
                  </w:r>
                </w:p>
              </w:tc>
            </w:tr>
            <w:tr w14:paraId="5221E6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shd w:val="clear" w:color="auto" w:fill="auto"/>
                  <w:vAlign w:val="center"/>
                </w:tcPr>
                <w:p w14:paraId="0A0796CF">
                  <w:pPr>
                    <w:pStyle w:val="17"/>
                    <w:rPr>
                      <w:rFonts w:eastAsia="宋体"/>
                    </w:rPr>
                  </w:pPr>
                  <w:r>
                    <w:rPr>
                      <w:rFonts w:hint="eastAsia" w:eastAsia="宋体"/>
                    </w:rPr>
                    <w:t>3</w:t>
                  </w:r>
                </w:p>
              </w:tc>
              <w:tc>
                <w:tcPr>
                  <w:tcW w:w="995" w:type="pct"/>
                  <w:gridSpan w:val="2"/>
                  <w:shd w:val="clear" w:color="auto" w:fill="auto"/>
                  <w:vAlign w:val="center"/>
                </w:tcPr>
                <w:p w14:paraId="3537D7ED">
                  <w:pPr>
                    <w:pStyle w:val="17"/>
                    <w:rPr>
                      <w:rFonts w:eastAsia="宋体"/>
                    </w:rPr>
                  </w:pPr>
                  <w:r>
                    <w:rPr>
                      <w:rFonts w:hint="eastAsia" w:eastAsia="宋体"/>
                    </w:rPr>
                    <w:t>注意事项</w:t>
                  </w:r>
                </w:p>
              </w:tc>
              <w:tc>
                <w:tcPr>
                  <w:tcW w:w="3525" w:type="pct"/>
                  <w:shd w:val="clear" w:color="auto" w:fill="auto"/>
                  <w:vAlign w:val="center"/>
                </w:tcPr>
                <w:p w14:paraId="0023A8D0">
                  <w:pPr>
                    <w:pStyle w:val="17"/>
                    <w:jc w:val="both"/>
                    <w:rPr>
                      <w:rFonts w:eastAsia="宋体"/>
                    </w:rPr>
                  </w:pPr>
                  <w:r>
                    <w:rPr>
                      <w:rFonts w:hint="eastAsia" w:eastAsia="宋体"/>
                    </w:rPr>
                    <w:t>钻进中如发生井漏，应将钻杆提出转盘以便观察，处理时应遵守“先保持压力，后处理井漏”的原则。</w:t>
                  </w:r>
                </w:p>
              </w:tc>
            </w:tr>
          </w:tbl>
          <w:p w14:paraId="725601A4">
            <w:pPr>
              <w:pStyle w:val="16"/>
              <w:rPr>
                <w:rFonts w:eastAsia="宋体"/>
              </w:rPr>
            </w:pPr>
            <w:r>
              <w:rPr>
                <w:rFonts w:hint="eastAsia" w:eastAsia="宋体"/>
              </w:rPr>
              <w:t>表5-3  井喷溢油事件引发的环境污染应急处置措施</w:t>
            </w:r>
          </w:p>
          <w:tbl>
            <w:tblPr>
              <w:tblStyle w:val="1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7"/>
              <w:gridCol w:w="648"/>
              <w:gridCol w:w="903"/>
              <w:gridCol w:w="5494"/>
            </w:tblGrid>
            <w:tr w14:paraId="515102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shd w:val="clear" w:color="auto" w:fill="auto"/>
                  <w:vAlign w:val="center"/>
                </w:tcPr>
                <w:p w14:paraId="76E53577">
                  <w:pPr>
                    <w:pStyle w:val="17"/>
                    <w:rPr>
                      <w:rFonts w:eastAsia="宋体"/>
                      <w:b/>
                      <w:bCs/>
                    </w:rPr>
                  </w:pPr>
                  <w:r>
                    <w:rPr>
                      <w:rFonts w:hint="eastAsia" w:eastAsia="宋体"/>
                      <w:b/>
                      <w:bCs/>
                    </w:rPr>
                    <w:t>序号</w:t>
                  </w:r>
                </w:p>
              </w:tc>
              <w:tc>
                <w:tcPr>
                  <w:tcW w:w="995" w:type="pct"/>
                  <w:gridSpan w:val="2"/>
                  <w:shd w:val="clear" w:color="auto" w:fill="auto"/>
                  <w:vAlign w:val="center"/>
                </w:tcPr>
                <w:p w14:paraId="517B1DE5">
                  <w:pPr>
                    <w:pStyle w:val="17"/>
                    <w:rPr>
                      <w:rFonts w:eastAsia="宋体"/>
                      <w:b/>
                      <w:bCs/>
                    </w:rPr>
                  </w:pPr>
                  <w:r>
                    <w:rPr>
                      <w:rFonts w:hint="eastAsia" w:eastAsia="宋体"/>
                      <w:b/>
                      <w:bCs/>
                    </w:rPr>
                    <w:t>工作内容</w:t>
                  </w:r>
                </w:p>
              </w:tc>
              <w:tc>
                <w:tcPr>
                  <w:tcW w:w="3525" w:type="pct"/>
                  <w:shd w:val="clear" w:color="auto" w:fill="auto"/>
                  <w:vAlign w:val="center"/>
                </w:tcPr>
                <w:p w14:paraId="7B14B0D7">
                  <w:pPr>
                    <w:pStyle w:val="17"/>
                    <w:rPr>
                      <w:rFonts w:eastAsia="宋体"/>
                      <w:b/>
                      <w:bCs/>
                    </w:rPr>
                  </w:pPr>
                  <w:r>
                    <w:rPr>
                      <w:rFonts w:hint="eastAsia" w:eastAsia="宋体"/>
                      <w:b/>
                      <w:bCs/>
                    </w:rPr>
                    <w:t>处置措施</w:t>
                  </w:r>
                </w:p>
              </w:tc>
            </w:tr>
            <w:tr w14:paraId="3C135C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shd w:val="clear" w:color="auto" w:fill="auto"/>
                  <w:vAlign w:val="center"/>
                </w:tcPr>
                <w:p w14:paraId="5017A7F5">
                  <w:pPr>
                    <w:pStyle w:val="17"/>
                    <w:rPr>
                      <w:rFonts w:eastAsia="宋体"/>
                    </w:rPr>
                  </w:pPr>
                  <w:r>
                    <w:rPr>
                      <w:rFonts w:hint="eastAsia" w:eastAsia="宋体"/>
                    </w:rPr>
                    <w:t>1</w:t>
                  </w:r>
                </w:p>
              </w:tc>
              <w:tc>
                <w:tcPr>
                  <w:tcW w:w="995" w:type="pct"/>
                  <w:gridSpan w:val="2"/>
                  <w:shd w:val="clear" w:color="auto" w:fill="auto"/>
                  <w:vAlign w:val="center"/>
                </w:tcPr>
                <w:p w14:paraId="59D121B7">
                  <w:pPr>
                    <w:pStyle w:val="17"/>
                    <w:rPr>
                      <w:rFonts w:eastAsia="宋体"/>
                    </w:rPr>
                  </w:pPr>
                  <w:r>
                    <w:rPr>
                      <w:rFonts w:hint="eastAsia" w:eastAsia="宋体"/>
                    </w:rPr>
                    <w:t>处置要点</w:t>
                  </w:r>
                </w:p>
              </w:tc>
              <w:tc>
                <w:tcPr>
                  <w:tcW w:w="3525" w:type="pct"/>
                  <w:shd w:val="clear" w:color="auto" w:fill="auto"/>
                  <w:vAlign w:val="center"/>
                </w:tcPr>
                <w:p w14:paraId="553A5E09">
                  <w:pPr>
                    <w:pStyle w:val="17"/>
                    <w:jc w:val="both"/>
                    <w:rPr>
                      <w:rFonts w:eastAsia="宋体"/>
                    </w:rPr>
                  </w:pPr>
                  <w:r>
                    <w:rPr>
                      <w:rFonts w:hint="eastAsia" w:eastAsia="宋体"/>
                    </w:rPr>
                    <w:t>1）阻断溢油源，控制油污染的扩散；</w:t>
                  </w:r>
                </w:p>
                <w:p w14:paraId="4CA4788C">
                  <w:pPr>
                    <w:pStyle w:val="17"/>
                    <w:jc w:val="both"/>
                    <w:rPr>
                      <w:rFonts w:eastAsia="宋体"/>
                    </w:rPr>
                  </w:pPr>
                  <w:r>
                    <w:rPr>
                      <w:rFonts w:hint="eastAsia" w:eastAsia="宋体"/>
                    </w:rPr>
                    <w:t>2）优先防控水源保护区或自然保护区域。</w:t>
                  </w:r>
                </w:p>
              </w:tc>
            </w:tr>
            <w:tr w14:paraId="0A0DD3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vMerge w:val="restart"/>
                  <w:shd w:val="clear" w:color="auto" w:fill="auto"/>
                  <w:vAlign w:val="center"/>
                </w:tcPr>
                <w:p w14:paraId="1A8A381B">
                  <w:pPr>
                    <w:pStyle w:val="17"/>
                    <w:rPr>
                      <w:rFonts w:eastAsia="宋体"/>
                    </w:rPr>
                  </w:pPr>
                  <w:r>
                    <w:rPr>
                      <w:rFonts w:hint="eastAsia" w:eastAsia="宋体"/>
                    </w:rPr>
                    <w:t>2</w:t>
                  </w:r>
                </w:p>
              </w:tc>
              <w:tc>
                <w:tcPr>
                  <w:tcW w:w="416" w:type="pct"/>
                  <w:vMerge w:val="restart"/>
                  <w:shd w:val="clear" w:color="auto" w:fill="auto"/>
                  <w:vAlign w:val="center"/>
                </w:tcPr>
                <w:p w14:paraId="3B9832ED">
                  <w:pPr>
                    <w:pStyle w:val="17"/>
                    <w:rPr>
                      <w:rFonts w:eastAsia="宋体"/>
                    </w:rPr>
                  </w:pPr>
                  <w:r>
                    <w:rPr>
                      <w:rFonts w:hint="eastAsia" w:eastAsia="宋体"/>
                    </w:rPr>
                    <w:t>处置措施</w:t>
                  </w:r>
                </w:p>
              </w:tc>
              <w:tc>
                <w:tcPr>
                  <w:tcW w:w="579" w:type="pct"/>
                  <w:shd w:val="clear" w:color="auto" w:fill="auto"/>
                  <w:vAlign w:val="center"/>
                </w:tcPr>
                <w:p w14:paraId="3A7CFCC1">
                  <w:pPr>
                    <w:pStyle w:val="17"/>
                    <w:rPr>
                      <w:rFonts w:eastAsia="宋体"/>
                    </w:rPr>
                  </w:pPr>
                  <w:r>
                    <w:rPr>
                      <w:rFonts w:hint="eastAsia" w:eastAsia="宋体"/>
                    </w:rPr>
                    <w:t>阻断溢油源</w:t>
                  </w:r>
                </w:p>
              </w:tc>
              <w:tc>
                <w:tcPr>
                  <w:tcW w:w="3525" w:type="pct"/>
                  <w:shd w:val="clear" w:color="auto" w:fill="auto"/>
                  <w:vAlign w:val="center"/>
                </w:tcPr>
                <w:p w14:paraId="4A6F3EA2">
                  <w:pPr>
                    <w:pStyle w:val="17"/>
                    <w:jc w:val="both"/>
                    <w:rPr>
                      <w:rFonts w:eastAsia="宋体"/>
                    </w:rPr>
                  </w:pPr>
                  <w:r>
                    <w:rPr>
                      <w:rFonts w:hint="eastAsia" w:eastAsia="宋体"/>
                    </w:rPr>
                    <w:t>迅速果断阻断溢油源，关闭产生溢油事件的各种阀门，更换管线或转移储运设施内的油品。</w:t>
                  </w:r>
                </w:p>
              </w:tc>
            </w:tr>
            <w:tr w14:paraId="3B045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vMerge w:val="continue"/>
                  <w:shd w:val="clear" w:color="auto" w:fill="auto"/>
                  <w:vAlign w:val="center"/>
                </w:tcPr>
                <w:p w14:paraId="4692C5AE">
                  <w:pPr>
                    <w:pStyle w:val="17"/>
                    <w:rPr>
                      <w:rFonts w:eastAsia="宋体"/>
                    </w:rPr>
                  </w:pPr>
                </w:p>
              </w:tc>
              <w:tc>
                <w:tcPr>
                  <w:tcW w:w="416" w:type="pct"/>
                  <w:vMerge w:val="continue"/>
                  <w:shd w:val="clear" w:color="auto" w:fill="auto"/>
                  <w:vAlign w:val="center"/>
                </w:tcPr>
                <w:p w14:paraId="2380ACCE">
                  <w:pPr>
                    <w:pStyle w:val="17"/>
                    <w:rPr>
                      <w:rFonts w:eastAsia="宋体"/>
                    </w:rPr>
                  </w:pPr>
                </w:p>
              </w:tc>
              <w:tc>
                <w:tcPr>
                  <w:tcW w:w="579" w:type="pct"/>
                  <w:shd w:val="clear" w:color="auto" w:fill="auto"/>
                  <w:vAlign w:val="center"/>
                </w:tcPr>
                <w:p w14:paraId="3EDAA1B5">
                  <w:pPr>
                    <w:pStyle w:val="17"/>
                    <w:rPr>
                      <w:rFonts w:eastAsia="宋体"/>
                    </w:rPr>
                  </w:pPr>
                  <w:r>
                    <w:rPr>
                      <w:rFonts w:hint="eastAsia" w:eastAsia="宋体"/>
                    </w:rPr>
                    <w:t>溢油的围控</w:t>
                  </w:r>
                </w:p>
              </w:tc>
              <w:tc>
                <w:tcPr>
                  <w:tcW w:w="3525" w:type="pct"/>
                  <w:shd w:val="clear" w:color="auto" w:fill="auto"/>
                  <w:vAlign w:val="center"/>
                </w:tcPr>
                <w:p w14:paraId="30A50A0A">
                  <w:pPr>
                    <w:pStyle w:val="17"/>
                    <w:jc w:val="both"/>
                    <w:rPr>
                      <w:rFonts w:eastAsia="宋体"/>
                    </w:rPr>
                  </w:pPr>
                  <w:r>
                    <w:rPr>
                      <w:rFonts w:hint="eastAsia" w:eastAsia="宋体"/>
                    </w:rPr>
                    <w:t>陆上溢油围控</w:t>
                  </w:r>
                </w:p>
                <w:p w14:paraId="5D90477B">
                  <w:pPr>
                    <w:pStyle w:val="17"/>
                    <w:jc w:val="both"/>
                    <w:rPr>
                      <w:rFonts w:eastAsia="宋体"/>
                    </w:rPr>
                  </w:pPr>
                  <w:r>
                    <w:rPr>
                      <w:rFonts w:hint="eastAsia" w:eastAsia="宋体"/>
                    </w:rPr>
                    <w:t>a）迅速将溢油控制在已污染的范围内，一旦出现无法控制的局面，应利用低洼地形汇集，或进行堵截，引流至环境相对不敏感、污染易清除，损失较小的地带，使溢出的油品局限在这一区域内；</w:t>
                  </w:r>
                </w:p>
                <w:p w14:paraId="33C9767F">
                  <w:pPr>
                    <w:pStyle w:val="17"/>
                    <w:jc w:val="both"/>
                    <w:rPr>
                      <w:rFonts w:eastAsia="宋体"/>
                    </w:rPr>
                  </w:pPr>
                  <w:r>
                    <w:rPr>
                      <w:rFonts w:hint="eastAsia" w:eastAsia="宋体"/>
                    </w:rPr>
                    <w:t>b）利用已有沟渠因势利导防止外流或外溢，同时注意避开高经济养殖区、高经济作物区、有一定使用功能的水域，将溢油集中到某一区域范围内。</w:t>
                  </w:r>
                </w:p>
              </w:tc>
            </w:tr>
            <w:tr w14:paraId="11446D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vMerge w:val="continue"/>
                  <w:shd w:val="clear" w:color="auto" w:fill="auto"/>
                  <w:vAlign w:val="center"/>
                </w:tcPr>
                <w:p w14:paraId="6AD56158">
                  <w:pPr>
                    <w:pStyle w:val="17"/>
                    <w:rPr>
                      <w:rFonts w:eastAsia="宋体"/>
                    </w:rPr>
                  </w:pPr>
                </w:p>
              </w:tc>
              <w:tc>
                <w:tcPr>
                  <w:tcW w:w="416" w:type="pct"/>
                  <w:vMerge w:val="continue"/>
                  <w:shd w:val="clear" w:color="auto" w:fill="auto"/>
                  <w:vAlign w:val="center"/>
                </w:tcPr>
                <w:p w14:paraId="5275EB80">
                  <w:pPr>
                    <w:pStyle w:val="17"/>
                    <w:rPr>
                      <w:rFonts w:eastAsia="宋体"/>
                    </w:rPr>
                  </w:pPr>
                </w:p>
              </w:tc>
              <w:tc>
                <w:tcPr>
                  <w:tcW w:w="579" w:type="pct"/>
                  <w:shd w:val="clear" w:color="auto" w:fill="auto"/>
                  <w:vAlign w:val="center"/>
                </w:tcPr>
                <w:p w14:paraId="4F018538">
                  <w:pPr>
                    <w:pStyle w:val="17"/>
                    <w:rPr>
                      <w:rFonts w:eastAsia="宋体"/>
                    </w:rPr>
                  </w:pPr>
                  <w:r>
                    <w:rPr>
                      <w:rFonts w:hint="eastAsia" w:eastAsia="宋体"/>
                    </w:rPr>
                    <w:t>应急监测</w:t>
                  </w:r>
                </w:p>
              </w:tc>
              <w:tc>
                <w:tcPr>
                  <w:tcW w:w="3525" w:type="pct"/>
                  <w:shd w:val="clear" w:color="auto" w:fill="auto"/>
                  <w:vAlign w:val="center"/>
                </w:tcPr>
                <w:p w14:paraId="3F351CB2">
                  <w:pPr>
                    <w:pStyle w:val="17"/>
                    <w:jc w:val="both"/>
                    <w:rPr>
                      <w:rFonts w:eastAsia="宋体"/>
                    </w:rPr>
                  </w:pPr>
                  <w:r>
                    <w:rPr>
                      <w:rFonts w:hint="eastAsia" w:eastAsia="宋体"/>
                    </w:rPr>
                    <w:t>陆上溢油应急监测</w:t>
                  </w:r>
                </w:p>
                <w:p w14:paraId="34BB21B7">
                  <w:pPr>
                    <w:pStyle w:val="17"/>
                    <w:jc w:val="both"/>
                    <w:rPr>
                      <w:rFonts w:eastAsia="宋体"/>
                    </w:rPr>
                  </w:pPr>
                  <w:r>
                    <w:rPr>
                      <w:rFonts w:hint="eastAsia" w:eastAsia="宋体"/>
                    </w:rPr>
                    <w:t>进行溢油围控的同时，进行污染区域土壤布点、取样、室内检测。布点至少应涵盖重污染、轻污染和未污染三个区域，其中重污染区域取样点位不少于3个，轻污染区域取样点位不少2个。</w:t>
                  </w:r>
                </w:p>
              </w:tc>
            </w:tr>
            <w:tr w14:paraId="7B7EF5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vMerge w:val="continue"/>
                  <w:shd w:val="clear" w:color="auto" w:fill="auto"/>
                  <w:vAlign w:val="center"/>
                </w:tcPr>
                <w:p w14:paraId="371DED6F">
                  <w:pPr>
                    <w:pStyle w:val="17"/>
                    <w:rPr>
                      <w:rFonts w:eastAsia="宋体"/>
                    </w:rPr>
                  </w:pPr>
                </w:p>
              </w:tc>
              <w:tc>
                <w:tcPr>
                  <w:tcW w:w="416" w:type="pct"/>
                  <w:vMerge w:val="continue"/>
                  <w:shd w:val="clear" w:color="auto" w:fill="auto"/>
                  <w:vAlign w:val="center"/>
                </w:tcPr>
                <w:p w14:paraId="589D3DB4">
                  <w:pPr>
                    <w:pStyle w:val="17"/>
                    <w:rPr>
                      <w:rFonts w:eastAsia="宋体"/>
                    </w:rPr>
                  </w:pPr>
                </w:p>
              </w:tc>
              <w:tc>
                <w:tcPr>
                  <w:tcW w:w="579" w:type="pct"/>
                  <w:shd w:val="clear" w:color="auto" w:fill="auto"/>
                  <w:vAlign w:val="center"/>
                </w:tcPr>
                <w:p w14:paraId="2DEBC6E6">
                  <w:pPr>
                    <w:pStyle w:val="17"/>
                    <w:rPr>
                      <w:rFonts w:eastAsia="宋体"/>
                    </w:rPr>
                  </w:pPr>
                  <w:r>
                    <w:rPr>
                      <w:rFonts w:hint="eastAsia" w:eastAsia="宋体"/>
                    </w:rPr>
                    <w:t>陆上溢油的回收清除</w:t>
                  </w:r>
                </w:p>
              </w:tc>
              <w:tc>
                <w:tcPr>
                  <w:tcW w:w="3525" w:type="pct"/>
                  <w:shd w:val="clear" w:color="auto" w:fill="auto"/>
                  <w:vAlign w:val="center"/>
                </w:tcPr>
                <w:p w14:paraId="3267C9AD">
                  <w:pPr>
                    <w:pStyle w:val="17"/>
                    <w:jc w:val="both"/>
                    <w:rPr>
                      <w:rFonts w:eastAsia="宋体"/>
                    </w:rPr>
                  </w:pPr>
                  <w:r>
                    <w:rPr>
                      <w:rFonts w:hint="eastAsia" w:eastAsia="宋体"/>
                    </w:rPr>
                    <w:t>陆地上的油污尽可能不用化学方法回收清除。</w:t>
                  </w:r>
                </w:p>
              </w:tc>
            </w:tr>
            <w:tr w14:paraId="4490BD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vMerge w:val="continue"/>
                  <w:shd w:val="clear" w:color="auto" w:fill="auto"/>
                  <w:vAlign w:val="center"/>
                </w:tcPr>
                <w:p w14:paraId="612434E6">
                  <w:pPr>
                    <w:pStyle w:val="17"/>
                    <w:rPr>
                      <w:rFonts w:eastAsia="宋体"/>
                    </w:rPr>
                  </w:pPr>
                </w:p>
              </w:tc>
              <w:tc>
                <w:tcPr>
                  <w:tcW w:w="416" w:type="pct"/>
                  <w:vMerge w:val="continue"/>
                  <w:shd w:val="clear" w:color="auto" w:fill="auto"/>
                  <w:vAlign w:val="center"/>
                </w:tcPr>
                <w:p w14:paraId="49F2DCAE">
                  <w:pPr>
                    <w:pStyle w:val="17"/>
                    <w:rPr>
                      <w:rFonts w:eastAsia="宋体"/>
                    </w:rPr>
                  </w:pPr>
                </w:p>
              </w:tc>
              <w:tc>
                <w:tcPr>
                  <w:tcW w:w="579" w:type="pct"/>
                  <w:shd w:val="clear" w:color="auto" w:fill="auto"/>
                  <w:vAlign w:val="center"/>
                </w:tcPr>
                <w:p w14:paraId="53C675B9">
                  <w:pPr>
                    <w:pStyle w:val="17"/>
                    <w:rPr>
                      <w:rFonts w:eastAsia="宋体"/>
                    </w:rPr>
                  </w:pPr>
                  <w:r>
                    <w:rPr>
                      <w:rFonts w:hint="eastAsia" w:eastAsia="宋体"/>
                    </w:rPr>
                    <w:t>回收的溢油及油污废弃物的处置</w:t>
                  </w:r>
                </w:p>
              </w:tc>
              <w:tc>
                <w:tcPr>
                  <w:tcW w:w="3525" w:type="pct"/>
                  <w:shd w:val="clear" w:color="auto" w:fill="auto"/>
                  <w:vAlign w:val="center"/>
                </w:tcPr>
                <w:p w14:paraId="119CB4E9">
                  <w:pPr>
                    <w:pStyle w:val="17"/>
                    <w:jc w:val="both"/>
                    <w:rPr>
                      <w:rFonts w:eastAsia="宋体"/>
                    </w:rPr>
                  </w:pPr>
                  <w:r>
                    <w:rPr>
                      <w:rFonts w:hint="eastAsia" w:eastAsia="宋体"/>
                    </w:rPr>
                    <w:t>a)将回收的溢油运到联合站（中转站）、卸油台、油泥砂处理站等地进入流程处理或进罐贮存。</w:t>
                  </w:r>
                </w:p>
                <w:p w14:paraId="14C6A646">
                  <w:pPr>
                    <w:pStyle w:val="17"/>
                    <w:jc w:val="both"/>
                    <w:rPr>
                      <w:rFonts w:eastAsia="宋体"/>
                    </w:rPr>
                  </w:pPr>
                  <w:r>
                    <w:rPr>
                      <w:rFonts w:hint="eastAsia" w:eastAsia="宋体"/>
                    </w:rPr>
                    <w:t>b)应在规定的地点清洗水面溢油防治设施，确保产生的污水经处理达标后排放。</w:t>
                  </w:r>
                </w:p>
                <w:p w14:paraId="36DA6597">
                  <w:pPr>
                    <w:pStyle w:val="17"/>
                    <w:jc w:val="both"/>
                    <w:rPr>
                      <w:rFonts w:eastAsia="宋体"/>
                    </w:rPr>
                  </w:pPr>
                  <w:r>
                    <w:rPr>
                      <w:rFonts w:hint="eastAsia" w:eastAsia="宋体"/>
                    </w:rPr>
                    <w:t>c)对使用过的吸油毡等油污废弃物进行无害处理。</w:t>
                  </w:r>
                </w:p>
              </w:tc>
            </w:tr>
            <w:tr w14:paraId="3063BC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shd w:val="clear" w:color="auto" w:fill="auto"/>
                  <w:vAlign w:val="center"/>
                </w:tcPr>
                <w:p w14:paraId="05EDC5C4">
                  <w:pPr>
                    <w:pStyle w:val="17"/>
                    <w:rPr>
                      <w:rFonts w:eastAsia="宋体"/>
                    </w:rPr>
                  </w:pPr>
                  <w:r>
                    <w:rPr>
                      <w:rFonts w:hint="eastAsia" w:eastAsia="宋体"/>
                    </w:rPr>
                    <w:t>3</w:t>
                  </w:r>
                </w:p>
              </w:tc>
              <w:tc>
                <w:tcPr>
                  <w:tcW w:w="995" w:type="pct"/>
                  <w:gridSpan w:val="2"/>
                  <w:shd w:val="clear" w:color="auto" w:fill="auto"/>
                  <w:vAlign w:val="center"/>
                </w:tcPr>
                <w:p w14:paraId="41FE4C6E">
                  <w:pPr>
                    <w:pStyle w:val="17"/>
                    <w:rPr>
                      <w:rFonts w:eastAsia="宋体"/>
                    </w:rPr>
                  </w:pPr>
                  <w:r>
                    <w:rPr>
                      <w:rFonts w:hint="eastAsia" w:eastAsia="宋体"/>
                    </w:rPr>
                    <w:t>注意事项</w:t>
                  </w:r>
                </w:p>
              </w:tc>
              <w:tc>
                <w:tcPr>
                  <w:tcW w:w="3525" w:type="pct"/>
                  <w:shd w:val="clear" w:color="auto" w:fill="auto"/>
                  <w:vAlign w:val="center"/>
                </w:tcPr>
                <w:p w14:paraId="539775E2">
                  <w:pPr>
                    <w:pStyle w:val="17"/>
                    <w:jc w:val="both"/>
                    <w:rPr>
                      <w:rFonts w:eastAsia="宋体"/>
                    </w:rPr>
                  </w:pPr>
                  <w:r>
                    <w:rPr>
                      <w:rFonts w:hint="eastAsia" w:eastAsia="宋体"/>
                    </w:rPr>
                    <w:t>1）用于溢油处置的设备或工具必须具备阻火功能，以控制火源，防止火灾事故的发生；</w:t>
                  </w:r>
                </w:p>
                <w:p w14:paraId="78647076">
                  <w:pPr>
                    <w:pStyle w:val="17"/>
                    <w:jc w:val="both"/>
                    <w:rPr>
                      <w:rFonts w:eastAsia="宋体"/>
                    </w:rPr>
                  </w:pPr>
                  <w:r>
                    <w:rPr>
                      <w:rFonts w:hint="eastAsia" w:eastAsia="宋体"/>
                    </w:rPr>
                    <w:t>2）注意将清除溢油的材料回收处理，避免二次污染的发生。</w:t>
                  </w:r>
                </w:p>
              </w:tc>
            </w:tr>
          </w:tbl>
          <w:p w14:paraId="1ADE3903">
            <w:pPr>
              <w:pStyle w:val="16"/>
              <w:jc w:val="center"/>
              <w:rPr>
                <w:rFonts w:eastAsia="宋体"/>
              </w:rPr>
            </w:pPr>
            <w:r>
              <w:rPr>
                <w:rFonts w:hint="eastAsia" w:eastAsia="宋体"/>
              </w:rPr>
              <w:t>表5-4  伴生气泄漏事件引发的环境污染应急处置措施</w:t>
            </w:r>
          </w:p>
          <w:tbl>
            <w:tblPr>
              <w:tblStyle w:val="1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7"/>
              <w:gridCol w:w="648"/>
              <w:gridCol w:w="1294"/>
              <w:gridCol w:w="5103"/>
            </w:tblGrid>
            <w:tr w14:paraId="10535E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shd w:val="clear" w:color="auto" w:fill="auto"/>
                  <w:vAlign w:val="center"/>
                </w:tcPr>
                <w:p w14:paraId="21396B7D">
                  <w:pPr>
                    <w:pStyle w:val="17"/>
                    <w:rPr>
                      <w:rFonts w:eastAsia="宋体"/>
                      <w:b/>
                      <w:bCs/>
                    </w:rPr>
                  </w:pPr>
                  <w:r>
                    <w:rPr>
                      <w:rFonts w:hint="eastAsia" w:eastAsia="宋体"/>
                      <w:b/>
                      <w:bCs/>
                    </w:rPr>
                    <w:t>序号</w:t>
                  </w:r>
                </w:p>
              </w:tc>
              <w:tc>
                <w:tcPr>
                  <w:tcW w:w="1247" w:type="pct"/>
                  <w:gridSpan w:val="2"/>
                  <w:shd w:val="clear" w:color="auto" w:fill="auto"/>
                  <w:vAlign w:val="center"/>
                </w:tcPr>
                <w:p w14:paraId="7D29274F">
                  <w:pPr>
                    <w:pStyle w:val="17"/>
                    <w:rPr>
                      <w:rFonts w:eastAsia="宋体"/>
                      <w:b/>
                      <w:bCs/>
                    </w:rPr>
                  </w:pPr>
                  <w:r>
                    <w:rPr>
                      <w:rFonts w:hint="eastAsia" w:eastAsia="宋体"/>
                      <w:b/>
                      <w:bCs/>
                    </w:rPr>
                    <w:t>工作内容</w:t>
                  </w:r>
                </w:p>
              </w:tc>
              <w:tc>
                <w:tcPr>
                  <w:tcW w:w="3273" w:type="pct"/>
                  <w:shd w:val="clear" w:color="auto" w:fill="auto"/>
                  <w:vAlign w:val="center"/>
                </w:tcPr>
                <w:p w14:paraId="5E46E5E7">
                  <w:pPr>
                    <w:pStyle w:val="17"/>
                    <w:rPr>
                      <w:rFonts w:eastAsia="宋体"/>
                      <w:b/>
                      <w:bCs/>
                    </w:rPr>
                  </w:pPr>
                  <w:r>
                    <w:rPr>
                      <w:rFonts w:hint="eastAsia" w:eastAsia="宋体"/>
                      <w:b/>
                      <w:bCs/>
                    </w:rPr>
                    <w:t>处置措施</w:t>
                  </w:r>
                </w:p>
              </w:tc>
            </w:tr>
            <w:tr w14:paraId="38E44A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shd w:val="clear" w:color="auto" w:fill="auto"/>
                  <w:vAlign w:val="center"/>
                </w:tcPr>
                <w:p w14:paraId="2CFCC637">
                  <w:pPr>
                    <w:pStyle w:val="17"/>
                    <w:rPr>
                      <w:rFonts w:eastAsia="宋体"/>
                    </w:rPr>
                  </w:pPr>
                  <w:r>
                    <w:rPr>
                      <w:rFonts w:hint="eastAsia" w:eastAsia="宋体"/>
                    </w:rPr>
                    <w:t>1</w:t>
                  </w:r>
                </w:p>
              </w:tc>
              <w:tc>
                <w:tcPr>
                  <w:tcW w:w="1247" w:type="pct"/>
                  <w:gridSpan w:val="2"/>
                  <w:shd w:val="clear" w:color="auto" w:fill="auto"/>
                  <w:vAlign w:val="center"/>
                </w:tcPr>
                <w:p w14:paraId="16B8A1CB">
                  <w:pPr>
                    <w:pStyle w:val="17"/>
                    <w:rPr>
                      <w:rFonts w:eastAsia="宋体"/>
                    </w:rPr>
                  </w:pPr>
                  <w:r>
                    <w:rPr>
                      <w:rFonts w:hint="eastAsia" w:eastAsia="宋体"/>
                    </w:rPr>
                    <w:t>处置要点</w:t>
                  </w:r>
                </w:p>
              </w:tc>
              <w:tc>
                <w:tcPr>
                  <w:tcW w:w="3273" w:type="pct"/>
                  <w:shd w:val="clear" w:color="auto" w:fill="auto"/>
                  <w:vAlign w:val="center"/>
                </w:tcPr>
                <w:p w14:paraId="4E4F61AD">
                  <w:pPr>
                    <w:pStyle w:val="17"/>
                    <w:jc w:val="both"/>
                    <w:rPr>
                      <w:rFonts w:eastAsia="宋体"/>
                    </w:rPr>
                  </w:pPr>
                  <w:r>
                    <w:rPr>
                      <w:rFonts w:hint="eastAsia" w:eastAsia="宋体"/>
                    </w:rPr>
                    <w:t>1）</w:t>
                  </w:r>
                  <w:r>
                    <w:rPr>
                      <w:rFonts w:eastAsia="宋体"/>
                    </w:rPr>
                    <w:t>采取有效措施，尽快切断污染源</w:t>
                  </w:r>
                  <w:r>
                    <w:rPr>
                      <w:rFonts w:hint="eastAsia" w:eastAsia="宋体"/>
                    </w:rPr>
                    <w:t xml:space="preserve">；                                                                   </w:t>
                  </w:r>
                </w:p>
                <w:p w14:paraId="1D85DBE4">
                  <w:pPr>
                    <w:pStyle w:val="17"/>
                    <w:jc w:val="both"/>
                    <w:rPr>
                      <w:rFonts w:eastAsia="宋体"/>
                    </w:rPr>
                  </w:pPr>
                  <w:r>
                    <w:rPr>
                      <w:rFonts w:hint="eastAsia" w:eastAsia="宋体"/>
                    </w:rPr>
                    <w:t>2）迅速撤离泄漏污染区人员至安全地方（如上风向处）。</w:t>
                  </w:r>
                </w:p>
              </w:tc>
            </w:tr>
            <w:tr w14:paraId="397488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vMerge w:val="restart"/>
                  <w:shd w:val="clear" w:color="auto" w:fill="auto"/>
                  <w:vAlign w:val="center"/>
                </w:tcPr>
                <w:p w14:paraId="4C545375">
                  <w:pPr>
                    <w:pStyle w:val="17"/>
                    <w:rPr>
                      <w:rFonts w:eastAsia="宋体"/>
                    </w:rPr>
                  </w:pPr>
                  <w:r>
                    <w:rPr>
                      <w:rFonts w:hint="eastAsia" w:eastAsia="宋体"/>
                    </w:rPr>
                    <w:t>2</w:t>
                  </w:r>
                </w:p>
              </w:tc>
              <w:tc>
                <w:tcPr>
                  <w:tcW w:w="415" w:type="pct"/>
                  <w:vMerge w:val="restart"/>
                  <w:shd w:val="clear" w:color="auto" w:fill="auto"/>
                  <w:vAlign w:val="center"/>
                </w:tcPr>
                <w:p w14:paraId="05F96B6B">
                  <w:pPr>
                    <w:pStyle w:val="17"/>
                    <w:rPr>
                      <w:rFonts w:eastAsia="宋体"/>
                    </w:rPr>
                  </w:pPr>
                  <w:r>
                    <w:rPr>
                      <w:rFonts w:hint="eastAsia" w:eastAsia="宋体"/>
                    </w:rPr>
                    <w:t>处置措施</w:t>
                  </w:r>
                </w:p>
              </w:tc>
              <w:tc>
                <w:tcPr>
                  <w:tcW w:w="831" w:type="pct"/>
                  <w:shd w:val="clear" w:color="auto" w:fill="auto"/>
                  <w:vAlign w:val="center"/>
                </w:tcPr>
                <w:p w14:paraId="6EE47822">
                  <w:pPr>
                    <w:pStyle w:val="17"/>
                    <w:rPr>
                      <w:rFonts w:eastAsia="宋体"/>
                    </w:rPr>
                  </w:pPr>
                  <w:r>
                    <w:rPr>
                      <w:rFonts w:hint="eastAsia" w:eastAsia="宋体"/>
                    </w:rPr>
                    <w:t>切断污染源</w:t>
                  </w:r>
                </w:p>
              </w:tc>
              <w:tc>
                <w:tcPr>
                  <w:tcW w:w="3273" w:type="pct"/>
                  <w:shd w:val="clear" w:color="auto" w:fill="auto"/>
                  <w:vAlign w:val="center"/>
                </w:tcPr>
                <w:p w14:paraId="59465E71">
                  <w:pPr>
                    <w:pStyle w:val="17"/>
                    <w:jc w:val="both"/>
                    <w:rPr>
                      <w:rFonts w:eastAsia="宋体"/>
                    </w:rPr>
                  </w:pPr>
                  <w:r>
                    <w:rPr>
                      <w:rFonts w:hint="eastAsia" w:eastAsia="宋体"/>
                    </w:rPr>
                    <w:t>迅速果断切断污染源，关闭产生气体泄漏事件的各种阀门。</w:t>
                  </w:r>
                </w:p>
              </w:tc>
            </w:tr>
            <w:tr w14:paraId="32AC8B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vMerge w:val="continue"/>
                  <w:shd w:val="clear" w:color="auto" w:fill="auto"/>
                  <w:vAlign w:val="center"/>
                </w:tcPr>
                <w:p w14:paraId="1E85A4FE">
                  <w:pPr>
                    <w:pStyle w:val="17"/>
                    <w:rPr>
                      <w:rFonts w:eastAsia="宋体"/>
                    </w:rPr>
                  </w:pPr>
                </w:p>
              </w:tc>
              <w:tc>
                <w:tcPr>
                  <w:tcW w:w="415" w:type="pct"/>
                  <w:vMerge w:val="continue"/>
                  <w:shd w:val="clear" w:color="auto" w:fill="auto"/>
                  <w:vAlign w:val="center"/>
                </w:tcPr>
                <w:p w14:paraId="6F767158">
                  <w:pPr>
                    <w:pStyle w:val="17"/>
                    <w:rPr>
                      <w:rFonts w:eastAsia="宋体"/>
                    </w:rPr>
                  </w:pPr>
                </w:p>
              </w:tc>
              <w:tc>
                <w:tcPr>
                  <w:tcW w:w="831" w:type="pct"/>
                  <w:shd w:val="clear" w:color="auto" w:fill="auto"/>
                  <w:vAlign w:val="center"/>
                </w:tcPr>
                <w:p w14:paraId="1DB4FC04">
                  <w:pPr>
                    <w:pStyle w:val="17"/>
                    <w:rPr>
                      <w:rFonts w:eastAsia="宋体"/>
                    </w:rPr>
                  </w:pPr>
                  <w:r>
                    <w:rPr>
                      <w:rFonts w:hint="eastAsia" w:eastAsia="宋体"/>
                    </w:rPr>
                    <w:t>环境检测</w:t>
                  </w:r>
                </w:p>
              </w:tc>
              <w:tc>
                <w:tcPr>
                  <w:tcW w:w="3273" w:type="pct"/>
                  <w:shd w:val="clear" w:color="auto" w:fill="auto"/>
                  <w:vAlign w:val="center"/>
                </w:tcPr>
                <w:p w14:paraId="5BA6FCC2">
                  <w:pPr>
                    <w:pStyle w:val="17"/>
                    <w:jc w:val="both"/>
                    <w:rPr>
                      <w:rFonts w:eastAsia="宋体"/>
                    </w:rPr>
                  </w:pPr>
                  <w:r>
                    <w:rPr>
                      <w:rFonts w:eastAsia="宋体"/>
                    </w:rPr>
                    <w:t>迅速</w:t>
                  </w:r>
                  <w:r>
                    <w:rPr>
                      <w:rFonts w:hint="eastAsia" w:eastAsia="宋体"/>
                    </w:rPr>
                    <w:t>检测有毒气体的浓度及扩散范围；测定现场风力和风向，</w:t>
                  </w:r>
                  <w:r>
                    <w:rPr>
                      <w:rFonts w:eastAsia="宋体"/>
                    </w:rPr>
                    <w:t>了解事发地地形地貌、气象条件</w:t>
                  </w:r>
                  <w:r>
                    <w:rPr>
                      <w:rFonts w:hint="eastAsia" w:eastAsia="宋体"/>
                    </w:rPr>
                    <w:t>，村庄、学校、单位等人员密集场所</w:t>
                  </w:r>
                  <w:r>
                    <w:rPr>
                      <w:rFonts w:eastAsia="宋体"/>
                    </w:rPr>
                    <w:t>分布等情况</w:t>
                  </w:r>
                  <w:r>
                    <w:rPr>
                      <w:rFonts w:hint="eastAsia" w:eastAsia="宋体"/>
                    </w:rPr>
                    <w:t>。</w:t>
                  </w:r>
                </w:p>
              </w:tc>
            </w:tr>
            <w:tr w14:paraId="73EDFF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vMerge w:val="continue"/>
                  <w:shd w:val="clear" w:color="auto" w:fill="auto"/>
                  <w:vAlign w:val="center"/>
                </w:tcPr>
                <w:p w14:paraId="126588EC">
                  <w:pPr>
                    <w:pStyle w:val="17"/>
                    <w:rPr>
                      <w:rFonts w:eastAsia="宋体"/>
                    </w:rPr>
                  </w:pPr>
                </w:p>
              </w:tc>
              <w:tc>
                <w:tcPr>
                  <w:tcW w:w="415" w:type="pct"/>
                  <w:vMerge w:val="continue"/>
                  <w:shd w:val="clear" w:color="auto" w:fill="auto"/>
                  <w:vAlign w:val="center"/>
                </w:tcPr>
                <w:p w14:paraId="083493ED">
                  <w:pPr>
                    <w:pStyle w:val="17"/>
                    <w:rPr>
                      <w:rFonts w:eastAsia="宋体"/>
                    </w:rPr>
                  </w:pPr>
                </w:p>
              </w:tc>
              <w:tc>
                <w:tcPr>
                  <w:tcW w:w="831" w:type="pct"/>
                  <w:shd w:val="clear" w:color="auto" w:fill="auto"/>
                  <w:vAlign w:val="center"/>
                </w:tcPr>
                <w:p w14:paraId="3F4ACE03">
                  <w:pPr>
                    <w:pStyle w:val="17"/>
                    <w:rPr>
                      <w:rFonts w:eastAsia="宋体"/>
                    </w:rPr>
                  </w:pPr>
                  <w:r>
                    <w:rPr>
                      <w:rFonts w:hint="eastAsia" w:eastAsia="宋体"/>
                    </w:rPr>
                    <w:t>疏散人员</w:t>
                  </w:r>
                </w:p>
              </w:tc>
              <w:tc>
                <w:tcPr>
                  <w:tcW w:w="3273" w:type="pct"/>
                  <w:shd w:val="clear" w:color="auto" w:fill="auto"/>
                  <w:vAlign w:val="center"/>
                </w:tcPr>
                <w:p w14:paraId="7BDE5C5F">
                  <w:pPr>
                    <w:pStyle w:val="17"/>
                    <w:jc w:val="both"/>
                    <w:rPr>
                      <w:rFonts w:eastAsia="宋体"/>
                    </w:rPr>
                  </w:pPr>
                  <w:r>
                    <w:rPr>
                      <w:rFonts w:hint="eastAsia" w:eastAsia="宋体"/>
                    </w:rPr>
                    <w:t>迅速组织搜寻营救遇险和被困人员，疏散污染区和污染区下风向人员至安全区域。</w:t>
                  </w:r>
                </w:p>
              </w:tc>
            </w:tr>
            <w:tr w14:paraId="42DE35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vMerge w:val="continue"/>
                  <w:shd w:val="clear" w:color="auto" w:fill="auto"/>
                  <w:vAlign w:val="center"/>
                </w:tcPr>
                <w:p w14:paraId="2E7A340B">
                  <w:pPr>
                    <w:pStyle w:val="17"/>
                    <w:rPr>
                      <w:rFonts w:eastAsia="宋体"/>
                    </w:rPr>
                  </w:pPr>
                </w:p>
              </w:tc>
              <w:tc>
                <w:tcPr>
                  <w:tcW w:w="415" w:type="pct"/>
                  <w:vMerge w:val="continue"/>
                  <w:shd w:val="clear" w:color="auto" w:fill="auto"/>
                  <w:vAlign w:val="center"/>
                </w:tcPr>
                <w:p w14:paraId="318D04A5">
                  <w:pPr>
                    <w:pStyle w:val="17"/>
                    <w:rPr>
                      <w:rFonts w:eastAsia="宋体"/>
                    </w:rPr>
                  </w:pPr>
                </w:p>
              </w:tc>
              <w:tc>
                <w:tcPr>
                  <w:tcW w:w="831" w:type="pct"/>
                  <w:shd w:val="clear" w:color="auto" w:fill="auto"/>
                  <w:vAlign w:val="center"/>
                </w:tcPr>
                <w:p w14:paraId="4B219481">
                  <w:pPr>
                    <w:pStyle w:val="17"/>
                    <w:rPr>
                      <w:rFonts w:eastAsia="宋体"/>
                    </w:rPr>
                  </w:pPr>
                  <w:r>
                    <w:rPr>
                      <w:rFonts w:hint="eastAsia" w:eastAsia="宋体"/>
                    </w:rPr>
                    <w:t>硫化氢气体泄漏</w:t>
                  </w:r>
                </w:p>
              </w:tc>
              <w:tc>
                <w:tcPr>
                  <w:tcW w:w="3273" w:type="pct"/>
                  <w:shd w:val="clear" w:color="auto" w:fill="auto"/>
                  <w:vAlign w:val="center"/>
                </w:tcPr>
                <w:p w14:paraId="48C0F89C">
                  <w:pPr>
                    <w:pStyle w:val="17"/>
                    <w:jc w:val="both"/>
                    <w:rPr>
                      <w:rFonts w:eastAsia="宋体"/>
                    </w:rPr>
                  </w:pPr>
                  <w:r>
                    <w:rPr>
                      <w:rFonts w:hint="eastAsia" w:eastAsia="宋体"/>
                    </w:rPr>
                    <w:t>a）泄漏量较小时，利用喷雾水枪向硫化氢气体扩散区域喷水，或利用排风机等吹扫驱散，喷洒水中可加入苏打粉等碱性物质进行中和，降低硫化氢气体浓度。</w:t>
                  </w:r>
                </w:p>
                <w:p w14:paraId="2A74EF0E">
                  <w:pPr>
                    <w:pStyle w:val="17"/>
                    <w:jc w:val="both"/>
                    <w:rPr>
                      <w:rFonts w:eastAsia="宋体"/>
                    </w:rPr>
                  </w:pPr>
                  <w:r>
                    <w:rPr>
                      <w:rFonts w:hint="eastAsia" w:eastAsia="宋体"/>
                    </w:rPr>
                    <w:t>b）发生井喷等造成硫化氢气体大量泄漏时，应迅速组织点火燃烧，点火时应注意人身安全。</w:t>
                  </w:r>
                </w:p>
              </w:tc>
            </w:tr>
            <w:tr w14:paraId="46079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vMerge w:val="continue"/>
                  <w:shd w:val="clear" w:color="auto" w:fill="auto"/>
                  <w:vAlign w:val="center"/>
                </w:tcPr>
                <w:p w14:paraId="7CAEE1B4">
                  <w:pPr>
                    <w:pStyle w:val="17"/>
                    <w:rPr>
                      <w:rFonts w:eastAsia="宋体"/>
                    </w:rPr>
                  </w:pPr>
                </w:p>
              </w:tc>
              <w:tc>
                <w:tcPr>
                  <w:tcW w:w="415" w:type="pct"/>
                  <w:vMerge w:val="continue"/>
                  <w:shd w:val="clear" w:color="auto" w:fill="auto"/>
                  <w:vAlign w:val="center"/>
                </w:tcPr>
                <w:p w14:paraId="30331CCC">
                  <w:pPr>
                    <w:pStyle w:val="17"/>
                    <w:rPr>
                      <w:rFonts w:eastAsia="宋体"/>
                    </w:rPr>
                  </w:pPr>
                </w:p>
              </w:tc>
              <w:tc>
                <w:tcPr>
                  <w:tcW w:w="831" w:type="pct"/>
                  <w:shd w:val="clear" w:color="auto" w:fill="auto"/>
                  <w:vAlign w:val="center"/>
                </w:tcPr>
                <w:p w14:paraId="61C86990">
                  <w:pPr>
                    <w:pStyle w:val="17"/>
                    <w:rPr>
                      <w:rFonts w:eastAsia="宋体"/>
                    </w:rPr>
                  </w:pPr>
                  <w:r>
                    <w:rPr>
                      <w:rFonts w:hint="eastAsia" w:eastAsia="宋体"/>
                    </w:rPr>
                    <w:t>应急</w:t>
                  </w:r>
                  <w:r>
                    <w:rPr>
                      <w:rFonts w:eastAsia="宋体"/>
                    </w:rPr>
                    <w:t>监测</w:t>
                  </w:r>
                </w:p>
              </w:tc>
              <w:tc>
                <w:tcPr>
                  <w:tcW w:w="3273" w:type="pct"/>
                  <w:shd w:val="clear" w:color="auto" w:fill="auto"/>
                  <w:vAlign w:val="center"/>
                </w:tcPr>
                <w:p w14:paraId="368C2F4F">
                  <w:pPr>
                    <w:pStyle w:val="17"/>
                    <w:jc w:val="both"/>
                    <w:rPr>
                      <w:rFonts w:eastAsia="宋体"/>
                    </w:rPr>
                  </w:pPr>
                  <w:r>
                    <w:rPr>
                      <w:rFonts w:eastAsia="宋体"/>
                    </w:rPr>
                    <w:t>对</w:t>
                  </w:r>
                  <w:r>
                    <w:rPr>
                      <w:rFonts w:hint="eastAsia" w:eastAsia="宋体"/>
                    </w:rPr>
                    <w:t>污染区域和污染下风向区域进行应急</w:t>
                  </w:r>
                  <w:r>
                    <w:rPr>
                      <w:rFonts w:eastAsia="宋体"/>
                    </w:rPr>
                    <w:t>监测，</w:t>
                  </w:r>
                  <w:r>
                    <w:rPr>
                      <w:rFonts w:hint="eastAsia" w:eastAsia="宋体"/>
                    </w:rPr>
                    <w:t>污染区域监测频次不低于1次/小时，直至空气中有毒气体浓度下降到无危险浓度；监测时应根据气象条件和监测数据</w:t>
                  </w:r>
                  <w:r>
                    <w:rPr>
                      <w:rFonts w:eastAsia="宋体"/>
                    </w:rPr>
                    <w:t>预测污染扩散强度、速度和影响范围，</w:t>
                  </w:r>
                  <w:r>
                    <w:rPr>
                      <w:rFonts w:hint="eastAsia" w:eastAsia="宋体"/>
                    </w:rPr>
                    <w:t>为处置措施</w:t>
                  </w:r>
                  <w:r>
                    <w:rPr>
                      <w:rFonts w:eastAsia="宋体"/>
                    </w:rPr>
                    <w:t>及时</w:t>
                  </w:r>
                  <w:r>
                    <w:rPr>
                      <w:rFonts w:hint="eastAsia" w:eastAsia="宋体"/>
                    </w:rPr>
                    <w:t>提供数据支持。</w:t>
                  </w:r>
                  <w:r>
                    <w:rPr>
                      <w:rFonts w:eastAsia="宋体"/>
                    </w:rPr>
                    <w:t xml:space="preserve"> </w:t>
                  </w:r>
                </w:p>
              </w:tc>
            </w:tr>
            <w:tr w14:paraId="5FB0B0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shd w:val="clear" w:color="auto" w:fill="auto"/>
                  <w:vAlign w:val="center"/>
                </w:tcPr>
                <w:p w14:paraId="6498B671">
                  <w:pPr>
                    <w:pStyle w:val="17"/>
                    <w:rPr>
                      <w:rFonts w:eastAsia="宋体"/>
                    </w:rPr>
                  </w:pPr>
                  <w:r>
                    <w:rPr>
                      <w:rFonts w:hint="eastAsia" w:eastAsia="宋体"/>
                    </w:rPr>
                    <w:t>3</w:t>
                  </w:r>
                </w:p>
              </w:tc>
              <w:tc>
                <w:tcPr>
                  <w:tcW w:w="1247" w:type="pct"/>
                  <w:gridSpan w:val="2"/>
                  <w:shd w:val="clear" w:color="auto" w:fill="auto"/>
                  <w:vAlign w:val="center"/>
                </w:tcPr>
                <w:p w14:paraId="0602B815">
                  <w:pPr>
                    <w:pStyle w:val="17"/>
                    <w:rPr>
                      <w:rFonts w:eastAsia="宋体"/>
                    </w:rPr>
                  </w:pPr>
                  <w:r>
                    <w:rPr>
                      <w:rFonts w:hint="eastAsia" w:eastAsia="宋体"/>
                    </w:rPr>
                    <w:t>注意事项</w:t>
                  </w:r>
                </w:p>
              </w:tc>
              <w:tc>
                <w:tcPr>
                  <w:tcW w:w="3273" w:type="pct"/>
                  <w:shd w:val="clear" w:color="auto" w:fill="auto"/>
                  <w:vAlign w:val="center"/>
                </w:tcPr>
                <w:p w14:paraId="0BAF1B9E">
                  <w:pPr>
                    <w:pStyle w:val="17"/>
                    <w:jc w:val="both"/>
                    <w:rPr>
                      <w:rFonts w:eastAsia="宋体"/>
                    </w:rPr>
                  </w:pPr>
                  <w:r>
                    <w:rPr>
                      <w:rFonts w:hint="eastAsia" w:eastAsia="宋体"/>
                    </w:rPr>
                    <w:t xml:space="preserve">1）当硫化氢、氯气、氨气等毒气正在泄漏且已超域值，应急处理人员必须佩戴自给正压式呼吸器，穿上防护服；                                                                   </w:t>
                  </w:r>
                </w:p>
                <w:p w14:paraId="3F48B20D">
                  <w:pPr>
                    <w:pStyle w:val="17"/>
                    <w:jc w:val="both"/>
                    <w:rPr>
                      <w:rFonts w:eastAsia="宋体"/>
                    </w:rPr>
                  </w:pPr>
                  <w:r>
                    <w:rPr>
                      <w:rFonts w:hint="eastAsia" w:eastAsia="宋体"/>
                    </w:rPr>
                    <w:t>2）防止泄漏物进入水体、下水道、地下室或受限空间。泄漏警戒内禁止吸烟和明火。</w:t>
                  </w:r>
                </w:p>
                <w:p w14:paraId="02807ED6">
                  <w:pPr>
                    <w:pStyle w:val="17"/>
                    <w:jc w:val="both"/>
                    <w:rPr>
                      <w:rFonts w:eastAsia="宋体"/>
                    </w:rPr>
                  </w:pPr>
                  <w:r>
                    <w:rPr>
                      <w:rFonts w:hint="eastAsia" w:eastAsia="宋体"/>
                    </w:rPr>
                    <w:t>3）漏气容器要妥善处理，修复、检验后再用；现场救援的防护服和设备在救援结束后要及时洗消，防止二次污染。</w:t>
                  </w:r>
                </w:p>
              </w:tc>
            </w:tr>
          </w:tbl>
          <w:p w14:paraId="564BB134">
            <w:pPr>
              <w:pStyle w:val="16"/>
              <w:rPr>
                <w:rFonts w:eastAsia="宋体"/>
              </w:rPr>
            </w:pPr>
            <w:r>
              <w:rPr>
                <w:rFonts w:hint="eastAsia" w:eastAsia="宋体"/>
              </w:rPr>
              <w:t>表5-5  柴油储罐泄漏事件引发的环境污染应急处置措施</w:t>
            </w:r>
          </w:p>
          <w:tbl>
            <w:tblPr>
              <w:tblStyle w:val="1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5"/>
              <w:gridCol w:w="648"/>
              <w:gridCol w:w="1295"/>
              <w:gridCol w:w="5104"/>
            </w:tblGrid>
            <w:tr w14:paraId="020C22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shd w:val="clear" w:color="auto" w:fill="auto"/>
                  <w:vAlign w:val="center"/>
                </w:tcPr>
                <w:p w14:paraId="06532055">
                  <w:pPr>
                    <w:pStyle w:val="17"/>
                    <w:rPr>
                      <w:rFonts w:eastAsia="宋体"/>
                      <w:b/>
                      <w:bCs/>
                    </w:rPr>
                  </w:pPr>
                  <w:r>
                    <w:rPr>
                      <w:rFonts w:hint="eastAsia" w:eastAsia="宋体"/>
                      <w:b/>
                      <w:bCs/>
                    </w:rPr>
                    <w:t>序号</w:t>
                  </w:r>
                </w:p>
              </w:tc>
              <w:tc>
                <w:tcPr>
                  <w:tcW w:w="1246" w:type="pct"/>
                  <w:gridSpan w:val="2"/>
                  <w:shd w:val="clear" w:color="auto" w:fill="auto"/>
                  <w:vAlign w:val="center"/>
                </w:tcPr>
                <w:p w14:paraId="6D6FA8DA">
                  <w:pPr>
                    <w:pStyle w:val="17"/>
                    <w:rPr>
                      <w:rFonts w:eastAsia="宋体"/>
                      <w:b/>
                      <w:bCs/>
                    </w:rPr>
                  </w:pPr>
                  <w:r>
                    <w:rPr>
                      <w:rFonts w:hint="eastAsia" w:eastAsia="宋体"/>
                      <w:b/>
                      <w:bCs/>
                    </w:rPr>
                    <w:t>工作内容</w:t>
                  </w:r>
                </w:p>
              </w:tc>
              <w:tc>
                <w:tcPr>
                  <w:tcW w:w="3275" w:type="pct"/>
                  <w:shd w:val="clear" w:color="auto" w:fill="auto"/>
                  <w:vAlign w:val="center"/>
                </w:tcPr>
                <w:p w14:paraId="429B3EA3">
                  <w:pPr>
                    <w:pStyle w:val="17"/>
                    <w:rPr>
                      <w:rFonts w:eastAsia="宋体"/>
                      <w:b/>
                      <w:bCs/>
                    </w:rPr>
                  </w:pPr>
                  <w:r>
                    <w:rPr>
                      <w:rFonts w:hint="eastAsia" w:eastAsia="宋体"/>
                      <w:b/>
                      <w:bCs/>
                    </w:rPr>
                    <w:t>处置措施</w:t>
                  </w:r>
                </w:p>
              </w:tc>
            </w:tr>
            <w:tr w14:paraId="6E0338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shd w:val="clear" w:color="auto" w:fill="auto"/>
                  <w:vAlign w:val="center"/>
                </w:tcPr>
                <w:p w14:paraId="76A0CEA5">
                  <w:pPr>
                    <w:pStyle w:val="17"/>
                    <w:rPr>
                      <w:rFonts w:eastAsia="宋体"/>
                    </w:rPr>
                  </w:pPr>
                  <w:r>
                    <w:rPr>
                      <w:rFonts w:hint="eastAsia" w:eastAsia="宋体"/>
                    </w:rPr>
                    <w:t>1</w:t>
                  </w:r>
                </w:p>
              </w:tc>
              <w:tc>
                <w:tcPr>
                  <w:tcW w:w="1246" w:type="pct"/>
                  <w:gridSpan w:val="2"/>
                  <w:shd w:val="clear" w:color="auto" w:fill="auto"/>
                  <w:vAlign w:val="center"/>
                </w:tcPr>
                <w:p w14:paraId="5B1BCD1A">
                  <w:pPr>
                    <w:pStyle w:val="17"/>
                    <w:rPr>
                      <w:rFonts w:eastAsia="宋体"/>
                    </w:rPr>
                  </w:pPr>
                  <w:r>
                    <w:rPr>
                      <w:rFonts w:hint="eastAsia" w:eastAsia="宋体"/>
                    </w:rPr>
                    <w:t>处置要点</w:t>
                  </w:r>
                </w:p>
              </w:tc>
              <w:tc>
                <w:tcPr>
                  <w:tcW w:w="3275" w:type="pct"/>
                  <w:shd w:val="clear" w:color="auto" w:fill="auto"/>
                  <w:vAlign w:val="center"/>
                </w:tcPr>
                <w:p w14:paraId="56626646">
                  <w:pPr>
                    <w:pStyle w:val="17"/>
                    <w:jc w:val="both"/>
                    <w:rPr>
                      <w:rFonts w:eastAsia="宋体"/>
                    </w:rPr>
                  </w:pPr>
                  <w:r>
                    <w:rPr>
                      <w:rFonts w:hint="eastAsia" w:eastAsia="宋体"/>
                    </w:rPr>
                    <w:t>1）</w:t>
                  </w:r>
                  <w:r>
                    <w:rPr>
                      <w:rFonts w:eastAsia="宋体"/>
                    </w:rPr>
                    <w:t>采取有效措施，尽快切断污染源</w:t>
                  </w:r>
                  <w:r>
                    <w:rPr>
                      <w:rFonts w:hint="eastAsia" w:eastAsia="宋体"/>
                    </w:rPr>
                    <w:t xml:space="preserve">；                                                                   </w:t>
                  </w:r>
                </w:p>
                <w:p w14:paraId="5E18E4D0">
                  <w:pPr>
                    <w:pStyle w:val="17"/>
                    <w:jc w:val="both"/>
                    <w:rPr>
                      <w:rFonts w:eastAsia="宋体"/>
                    </w:rPr>
                  </w:pPr>
                  <w:r>
                    <w:rPr>
                      <w:rFonts w:hint="eastAsia" w:eastAsia="宋体"/>
                    </w:rPr>
                    <w:t>2）优先防控水源保护区或自然保护区域。</w:t>
                  </w:r>
                </w:p>
              </w:tc>
            </w:tr>
            <w:tr w14:paraId="00029D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vMerge w:val="restart"/>
                  <w:shd w:val="clear" w:color="auto" w:fill="auto"/>
                  <w:vAlign w:val="center"/>
                </w:tcPr>
                <w:p w14:paraId="38E85ADD">
                  <w:pPr>
                    <w:pStyle w:val="17"/>
                    <w:rPr>
                      <w:rFonts w:eastAsia="宋体"/>
                    </w:rPr>
                  </w:pPr>
                  <w:r>
                    <w:rPr>
                      <w:rFonts w:hint="eastAsia" w:eastAsia="宋体"/>
                    </w:rPr>
                    <w:t>2</w:t>
                  </w:r>
                </w:p>
              </w:tc>
              <w:tc>
                <w:tcPr>
                  <w:tcW w:w="415" w:type="pct"/>
                  <w:vMerge w:val="restart"/>
                  <w:shd w:val="clear" w:color="auto" w:fill="auto"/>
                  <w:vAlign w:val="center"/>
                </w:tcPr>
                <w:p w14:paraId="32918A55">
                  <w:pPr>
                    <w:pStyle w:val="17"/>
                    <w:rPr>
                      <w:rFonts w:eastAsia="宋体"/>
                    </w:rPr>
                  </w:pPr>
                  <w:r>
                    <w:rPr>
                      <w:rFonts w:hint="eastAsia" w:eastAsia="宋体"/>
                    </w:rPr>
                    <w:t>处置措施</w:t>
                  </w:r>
                </w:p>
              </w:tc>
              <w:tc>
                <w:tcPr>
                  <w:tcW w:w="830" w:type="pct"/>
                  <w:shd w:val="clear" w:color="auto" w:fill="auto"/>
                  <w:vAlign w:val="center"/>
                </w:tcPr>
                <w:p w14:paraId="025AA197">
                  <w:pPr>
                    <w:pStyle w:val="17"/>
                    <w:rPr>
                      <w:rFonts w:eastAsia="宋体"/>
                    </w:rPr>
                  </w:pPr>
                  <w:r>
                    <w:rPr>
                      <w:rFonts w:hint="eastAsia" w:eastAsia="宋体"/>
                    </w:rPr>
                    <w:t>小量泄漏</w:t>
                  </w:r>
                </w:p>
              </w:tc>
              <w:tc>
                <w:tcPr>
                  <w:tcW w:w="3275" w:type="pct"/>
                  <w:shd w:val="clear" w:color="auto" w:fill="auto"/>
                  <w:vAlign w:val="center"/>
                </w:tcPr>
                <w:p w14:paraId="64512DF3">
                  <w:pPr>
                    <w:pStyle w:val="17"/>
                    <w:jc w:val="both"/>
                    <w:rPr>
                      <w:rFonts w:eastAsia="宋体"/>
                    </w:rPr>
                  </w:pPr>
                  <w:r>
                    <w:rPr>
                      <w:rFonts w:hint="eastAsia" w:eastAsia="宋体"/>
                    </w:rPr>
                    <w:t>用消防沙或其他不燃材料吸收，使用不产生火花的工具进行收集。</w:t>
                  </w:r>
                </w:p>
              </w:tc>
            </w:tr>
            <w:tr w14:paraId="2A7465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vMerge w:val="continue"/>
                  <w:shd w:val="clear" w:color="auto" w:fill="auto"/>
                  <w:vAlign w:val="center"/>
                </w:tcPr>
                <w:p w14:paraId="772AE635">
                  <w:pPr>
                    <w:pStyle w:val="17"/>
                    <w:rPr>
                      <w:rFonts w:eastAsia="宋体"/>
                    </w:rPr>
                  </w:pPr>
                </w:p>
              </w:tc>
              <w:tc>
                <w:tcPr>
                  <w:tcW w:w="415" w:type="pct"/>
                  <w:vMerge w:val="continue"/>
                  <w:shd w:val="clear" w:color="auto" w:fill="auto"/>
                  <w:vAlign w:val="center"/>
                </w:tcPr>
                <w:p w14:paraId="18356727">
                  <w:pPr>
                    <w:pStyle w:val="17"/>
                    <w:rPr>
                      <w:rFonts w:eastAsia="宋体"/>
                    </w:rPr>
                  </w:pPr>
                </w:p>
              </w:tc>
              <w:tc>
                <w:tcPr>
                  <w:tcW w:w="830" w:type="pct"/>
                  <w:shd w:val="clear" w:color="auto" w:fill="auto"/>
                  <w:vAlign w:val="center"/>
                </w:tcPr>
                <w:p w14:paraId="502C61AD">
                  <w:pPr>
                    <w:pStyle w:val="17"/>
                    <w:rPr>
                      <w:rFonts w:eastAsia="宋体"/>
                    </w:rPr>
                  </w:pPr>
                  <w:r>
                    <w:rPr>
                      <w:rFonts w:hint="eastAsia" w:eastAsia="宋体"/>
                    </w:rPr>
                    <w:t>大量泄漏</w:t>
                  </w:r>
                </w:p>
              </w:tc>
              <w:tc>
                <w:tcPr>
                  <w:tcW w:w="3275" w:type="pct"/>
                  <w:shd w:val="clear" w:color="auto" w:fill="auto"/>
                  <w:vAlign w:val="center"/>
                </w:tcPr>
                <w:p w14:paraId="1A78CC05">
                  <w:pPr>
                    <w:pStyle w:val="17"/>
                    <w:jc w:val="both"/>
                    <w:rPr>
                      <w:rFonts w:eastAsia="宋体"/>
                    </w:rPr>
                  </w:pPr>
                  <w:r>
                    <w:rPr>
                      <w:rFonts w:hint="eastAsia" w:eastAsia="宋体"/>
                    </w:rPr>
                    <w:t>用消防沙围堵，用抗溶性泡沫覆盖，减少蒸发。喷水雾能减少蒸发，但不能降低泄漏物在受限空间内的易燃性。</w:t>
                  </w:r>
                </w:p>
              </w:tc>
            </w:tr>
            <w:tr w14:paraId="501638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shd w:val="clear" w:color="auto" w:fill="auto"/>
                  <w:vAlign w:val="center"/>
                </w:tcPr>
                <w:p w14:paraId="5633EDB1">
                  <w:pPr>
                    <w:pStyle w:val="17"/>
                    <w:rPr>
                      <w:rFonts w:eastAsia="宋体"/>
                    </w:rPr>
                  </w:pPr>
                  <w:r>
                    <w:rPr>
                      <w:rFonts w:hint="eastAsia" w:eastAsia="宋体"/>
                    </w:rPr>
                    <w:t>3</w:t>
                  </w:r>
                </w:p>
              </w:tc>
              <w:tc>
                <w:tcPr>
                  <w:tcW w:w="1246" w:type="pct"/>
                  <w:gridSpan w:val="2"/>
                  <w:shd w:val="clear" w:color="auto" w:fill="auto"/>
                  <w:vAlign w:val="center"/>
                </w:tcPr>
                <w:p w14:paraId="1268E280">
                  <w:pPr>
                    <w:pStyle w:val="17"/>
                    <w:rPr>
                      <w:rFonts w:eastAsia="宋体"/>
                    </w:rPr>
                  </w:pPr>
                  <w:r>
                    <w:rPr>
                      <w:rFonts w:hint="eastAsia" w:eastAsia="宋体"/>
                    </w:rPr>
                    <w:t>注意事项</w:t>
                  </w:r>
                </w:p>
              </w:tc>
              <w:tc>
                <w:tcPr>
                  <w:tcW w:w="3275" w:type="pct"/>
                  <w:shd w:val="clear" w:color="auto" w:fill="auto"/>
                  <w:vAlign w:val="center"/>
                </w:tcPr>
                <w:p w14:paraId="4C80C616">
                  <w:pPr>
                    <w:pStyle w:val="17"/>
                    <w:jc w:val="both"/>
                    <w:rPr>
                      <w:rFonts w:eastAsia="宋体"/>
                    </w:rPr>
                  </w:pPr>
                  <w:r>
                    <w:rPr>
                      <w:rFonts w:eastAsia="宋体"/>
                    </w:rPr>
                    <w:t>1）减少污染面，切断污染源；</w:t>
                  </w:r>
                </w:p>
                <w:p w14:paraId="6B377C9C">
                  <w:pPr>
                    <w:adjustRightInd w:val="0"/>
                    <w:snapToGrid w:val="0"/>
                    <w:rPr>
                      <w:rFonts w:eastAsia="宋体"/>
                    </w:rPr>
                  </w:pPr>
                  <w:r>
                    <w:rPr>
                      <w:rFonts w:eastAsia="宋体"/>
                    </w:rPr>
                    <w:t>2）消除点火源，根据柴油流动和蒸汽扩散的影响区域划定警戒区，无关人员从侧风、上风向撤离至安全区；</w:t>
                  </w:r>
                </w:p>
                <w:p w14:paraId="55F132FC">
                  <w:pPr>
                    <w:pStyle w:val="10"/>
                    <w:adjustRightInd w:val="0"/>
                    <w:snapToGrid w:val="0"/>
                    <w:spacing w:after="0"/>
                    <w:ind w:left="0" w:leftChars="0" w:firstLine="0" w:firstLineChars="0"/>
                    <w:rPr>
                      <w:rFonts w:eastAsia="宋体"/>
                    </w:rPr>
                  </w:pPr>
                  <w:r>
                    <w:rPr>
                      <w:rFonts w:eastAsia="宋体"/>
                    </w:rPr>
                    <w:t>3）建议应急处置人员戴正压自给式空气呼吸器，防静电服，作业时使用防爆设备。</w:t>
                  </w:r>
                </w:p>
              </w:tc>
            </w:tr>
          </w:tbl>
          <w:p w14:paraId="45B88202">
            <w:pPr>
              <w:pStyle w:val="3"/>
              <w:ind w:left="0" w:leftChars="0" w:firstLine="480" w:firstLineChars="200"/>
              <w:rPr>
                <w:rFonts w:eastAsia="宋体"/>
              </w:rPr>
            </w:pPr>
            <w:r>
              <w:rPr>
                <w:rFonts w:hint="eastAsia" w:eastAsia="宋体"/>
              </w:rPr>
              <w:t>（</w:t>
            </w:r>
            <w:r>
              <w:rPr>
                <w:rFonts w:hint="eastAsia" w:eastAsia="宋体"/>
                <w:lang w:val="en-US" w:eastAsia="zh-CN"/>
              </w:rPr>
              <w:t>8</w:t>
            </w:r>
            <w:r>
              <w:rPr>
                <w:rFonts w:hint="eastAsia" w:eastAsia="宋体"/>
              </w:rPr>
              <w:t>）小结</w:t>
            </w:r>
          </w:p>
          <w:p w14:paraId="0999547D">
            <w:pPr>
              <w:pStyle w:val="3"/>
              <w:ind w:firstLine="480"/>
              <w:rPr>
                <w:rFonts w:eastAsia="宋体"/>
              </w:rPr>
            </w:pPr>
            <w:r>
              <w:rPr>
                <w:rFonts w:eastAsia="宋体"/>
              </w:rPr>
              <w:t>本项目主要风险是井喷</w:t>
            </w:r>
            <w:r>
              <w:rPr>
                <w:rFonts w:hint="eastAsia" w:eastAsia="宋体"/>
              </w:rPr>
              <w:t>、井漏及</w:t>
            </w:r>
            <w:r>
              <w:rPr>
                <w:rFonts w:eastAsia="宋体"/>
              </w:rPr>
              <w:t>柴油泄</w:t>
            </w:r>
            <w:r>
              <w:rPr>
                <w:rFonts w:hint="eastAsia" w:eastAsia="宋体"/>
                <w:lang w:val="en-US" w:eastAsia="zh-CN"/>
              </w:rPr>
              <w:t>漏</w:t>
            </w:r>
            <w:r>
              <w:rPr>
                <w:rFonts w:hint="eastAsia" w:eastAsia="宋体"/>
              </w:rPr>
              <w:t>，通过采取上述措施后，可进一步降低本项目的环境风险。</w:t>
            </w:r>
          </w:p>
          <w:p w14:paraId="1125EB77">
            <w:pPr>
              <w:pStyle w:val="2"/>
              <w:ind w:firstLine="482" w:firstLineChars="200"/>
              <w:rPr>
                <w:rFonts w:eastAsia="宋体"/>
              </w:rPr>
            </w:pPr>
            <w:r>
              <w:rPr>
                <w:rFonts w:hint="eastAsia" w:eastAsia="宋体"/>
              </w:rPr>
              <w:t>10、环境监测计划</w:t>
            </w:r>
          </w:p>
          <w:p w14:paraId="5A55B98E">
            <w:pPr>
              <w:pStyle w:val="16"/>
              <w:rPr>
                <w:rFonts w:eastAsia="宋体"/>
              </w:rPr>
            </w:pPr>
            <w:r>
              <w:rPr>
                <w:rFonts w:eastAsia="宋体"/>
              </w:rPr>
              <w:t>表</w:t>
            </w:r>
            <w:r>
              <w:rPr>
                <w:rFonts w:hint="eastAsia" w:eastAsia="宋体"/>
              </w:rPr>
              <w:t>5-6  勘探期监测方案</w:t>
            </w:r>
          </w:p>
          <w:tbl>
            <w:tblPr>
              <w:tblStyle w:val="11"/>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69"/>
              <w:gridCol w:w="1406"/>
              <w:gridCol w:w="1374"/>
              <w:gridCol w:w="799"/>
              <w:gridCol w:w="790"/>
              <w:gridCol w:w="2855"/>
            </w:tblGrid>
            <w:tr w14:paraId="2446C0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365" w:type="pct"/>
                  <w:vAlign w:val="center"/>
                </w:tcPr>
                <w:p w14:paraId="062F2C66">
                  <w:pPr>
                    <w:pStyle w:val="17"/>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902" w:type="pct"/>
                  <w:vAlign w:val="center"/>
                </w:tcPr>
                <w:p w14:paraId="1A822D3D">
                  <w:pPr>
                    <w:pStyle w:val="17"/>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w:t>
                  </w:r>
                </w:p>
              </w:tc>
              <w:tc>
                <w:tcPr>
                  <w:tcW w:w="881" w:type="pct"/>
                  <w:vAlign w:val="center"/>
                </w:tcPr>
                <w:p w14:paraId="376EEB13">
                  <w:pPr>
                    <w:pStyle w:val="17"/>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监测因子</w:t>
                  </w:r>
                </w:p>
              </w:tc>
              <w:tc>
                <w:tcPr>
                  <w:tcW w:w="512" w:type="pct"/>
                  <w:vAlign w:val="center"/>
                </w:tcPr>
                <w:p w14:paraId="27F2B403">
                  <w:pPr>
                    <w:pStyle w:val="17"/>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监测期</w:t>
                  </w:r>
                </w:p>
              </w:tc>
              <w:tc>
                <w:tcPr>
                  <w:tcW w:w="506" w:type="pct"/>
                  <w:vAlign w:val="center"/>
                </w:tcPr>
                <w:p w14:paraId="1AFAE9E2">
                  <w:pPr>
                    <w:pStyle w:val="17"/>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c>
                <w:tcPr>
                  <w:tcW w:w="1831" w:type="pct"/>
                  <w:vAlign w:val="center"/>
                </w:tcPr>
                <w:p w14:paraId="2F3D7391">
                  <w:pPr>
                    <w:pStyle w:val="17"/>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r>
            <w:tr w14:paraId="1E2A0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1" w:hRule="atLeast"/>
              </w:trPr>
              <w:tc>
                <w:tcPr>
                  <w:tcW w:w="365" w:type="pct"/>
                  <w:vMerge w:val="restart"/>
                  <w:vAlign w:val="center"/>
                </w:tcPr>
                <w:p w14:paraId="3F120705">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902" w:type="pct"/>
                  <w:vAlign w:val="center"/>
                </w:tcPr>
                <w:p w14:paraId="1BEFF098">
                  <w:pPr>
                    <w:pStyle w:val="17"/>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井口</w:t>
                  </w:r>
                </w:p>
              </w:tc>
              <w:tc>
                <w:tcPr>
                  <w:tcW w:w="881" w:type="pct"/>
                  <w:vAlign w:val="center"/>
                </w:tcPr>
                <w:p w14:paraId="5D5D6200">
                  <w:pPr>
                    <w:pStyle w:val="17"/>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512" w:type="pct"/>
                  <w:vAlign w:val="center"/>
                </w:tcPr>
                <w:p w14:paraId="5E385E7B">
                  <w:pPr>
                    <w:pStyle w:val="17"/>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试油</w:t>
                  </w:r>
                </w:p>
              </w:tc>
              <w:tc>
                <w:tcPr>
                  <w:tcW w:w="506" w:type="pct"/>
                  <w:vMerge w:val="restart"/>
                  <w:vAlign w:val="center"/>
                </w:tcPr>
                <w:p w14:paraId="26919276">
                  <w:pPr>
                    <w:pStyle w:val="17"/>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w:t>
                  </w:r>
                </w:p>
              </w:tc>
              <w:tc>
                <w:tcPr>
                  <w:tcW w:w="1831" w:type="pct"/>
                  <w:vAlign w:val="center"/>
                </w:tcPr>
                <w:p w14:paraId="6B685E65">
                  <w:pPr>
                    <w:pStyle w:val="17"/>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江苏省《大气污染物综合排放标准》（DB32/4041-2021）</w:t>
                  </w:r>
                </w:p>
              </w:tc>
            </w:tr>
            <w:tr w14:paraId="48CE42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65" w:type="pct"/>
                  <w:vMerge w:val="continue"/>
                  <w:vAlign w:val="center"/>
                </w:tcPr>
                <w:p w14:paraId="17870044">
                  <w:pPr>
                    <w:pStyle w:val="17"/>
                    <w:spacing w:line="240" w:lineRule="auto"/>
                    <w:rPr>
                      <w:rFonts w:hint="default" w:ascii="Times New Roman" w:hAnsi="Times New Roman" w:eastAsia="宋体" w:cs="Times New Roman"/>
                      <w:color w:val="auto"/>
                      <w:sz w:val="21"/>
                      <w:szCs w:val="21"/>
                    </w:rPr>
                  </w:pPr>
                </w:p>
              </w:tc>
              <w:tc>
                <w:tcPr>
                  <w:tcW w:w="902" w:type="pct"/>
                  <w:vMerge w:val="restart"/>
                  <w:vAlign w:val="center"/>
                </w:tcPr>
                <w:p w14:paraId="18B366F7">
                  <w:pPr>
                    <w:pStyle w:val="17"/>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场界2个点</w:t>
                  </w:r>
                </w:p>
              </w:tc>
              <w:tc>
                <w:tcPr>
                  <w:tcW w:w="881" w:type="pct"/>
                  <w:vAlign w:val="center"/>
                </w:tcPr>
                <w:p w14:paraId="079FBC45">
                  <w:pPr>
                    <w:pStyle w:val="17"/>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512" w:type="pct"/>
                  <w:vAlign w:val="center"/>
                </w:tcPr>
                <w:p w14:paraId="43DD467B">
                  <w:pPr>
                    <w:pStyle w:val="17"/>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试油</w:t>
                  </w:r>
                </w:p>
              </w:tc>
              <w:tc>
                <w:tcPr>
                  <w:tcW w:w="506" w:type="pct"/>
                  <w:vMerge w:val="continue"/>
                  <w:vAlign w:val="center"/>
                </w:tcPr>
                <w:p w14:paraId="0D0A101E">
                  <w:pPr>
                    <w:pStyle w:val="17"/>
                    <w:spacing w:line="240" w:lineRule="auto"/>
                    <w:ind w:firstLine="0" w:firstLineChars="0"/>
                    <w:rPr>
                      <w:rFonts w:hint="default" w:ascii="Times New Roman" w:hAnsi="Times New Roman" w:eastAsia="宋体" w:cs="Times New Roman"/>
                      <w:color w:val="auto"/>
                      <w:sz w:val="21"/>
                      <w:szCs w:val="21"/>
                    </w:rPr>
                  </w:pPr>
                </w:p>
              </w:tc>
              <w:tc>
                <w:tcPr>
                  <w:tcW w:w="1831" w:type="pct"/>
                  <w:vAlign w:val="center"/>
                </w:tcPr>
                <w:p w14:paraId="43664F14">
                  <w:pPr>
                    <w:pStyle w:val="17"/>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《陆上石油天然气开采工业大气污染物排放标准》（GB 39728-2020）</w:t>
                  </w:r>
                </w:p>
              </w:tc>
            </w:tr>
            <w:tr w14:paraId="5F199F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65" w:type="pct"/>
                  <w:vMerge w:val="continue"/>
                  <w:vAlign w:val="center"/>
                </w:tcPr>
                <w:p w14:paraId="4F7B3480">
                  <w:pPr>
                    <w:pStyle w:val="17"/>
                    <w:spacing w:line="240" w:lineRule="auto"/>
                    <w:rPr>
                      <w:rFonts w:hint="default" w:ascii="Times New Roman" w:hAnsi="Times New Roman" w:eastAsia="宋体" w:cs="Times New Roman"/>
                      <w:color w:val="auto"/>
                      <w:sz w:val="21"/>
                      <w:szCs w:val="21"/>
                    </w:rPr>
                  </w:pPr>
                </w:p>
              </w:tc>
              <w:tc>
                <w:tcPr>
                  <w:tcW w:w="902" w:type="pct"/>
                  <w:vMerge w:val="continue"/>
                  <w:vAlign w:val="center"/>
                </w:tcPr>
                <w:p w14:paraId="017EF0F9">
                  <w:pPr>
                    <w:pStyle w:val="17"/>
                    <w:spacing w:line="240" w:lineRule="auto"/>
                    <w:ind w:firstLine="0" w:firstLineChars="0"/>
                    <w:rPr>
                      <w:rFonts w:hint="default" w:ascii="Times New Roman" w:hAnsi="Times New Roman" w:eastAsia="宋体" w:cs="Times New Roman"/>
                      <w:color w:val="auto"/>
                      <w:sz w:val="21"/>
                      <w:szCs w:val="21"/>
                    </w:rPr>
                  </w:pPr>
                </w:p>
              </w:tc>
              <w:tc>
                <w:tcPr>
                  <w:tcW w:w="881" w:type="pct"/>
                  <w:vAlign w:val="center"/>
                </w:tcPr>
                <w:p w14:paraId="5B353C38">
                  <w:pPr>
                    <w:pStyle w:val="17"/>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颗粒物、一氧化碳、氮氧化物</w:t>
                  </w:r>
                </w:p>
              </w:tc>
              <w:tc>
                <w:tcPr>
                  <w:tcW w:w="512" w:type="pct"/>
                  <w:vAlign w:val="center"/>
                </w:tcPr>
                <w:p w14:paraId="5ACBAB39">
                  <w:pPr>
                    <w:pStyle w:val="17"/>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钻井期</w:t>
                  </w:r>
                </w:p>
              </w:tc>
              <w:tc>
                <w:tcPr>
                  <w:tcW w:w="506" w:type="pct"/>
                  <w:vMerge w:val="continue"/>
                  <w:vAlign w:val="center"/>
                </w:tcPr>
                <w:p w14:paraId="0FD2974E">
                  <w:pPr>
                    <w:pStyle w:val="17"/>
                    <w:spacing w:line="240" w:lineRule="auto"/>
                    <w:ind w:firstLine="0" w:firstLineChars="0"/>
                    <w:rPr>
                      <w:rFonts w:hint="default" w:ascii="Times New Roman" w:hAnsi="Times New Roman" w:eastAsia="宋体" w:cs="Times New Roman"/>
                      <w:color w:val="auto"/>
                      <w:sz w:val="21"/>
                      <w:szCs w:val="21"/>
                    </w:rPr>
                  </w:pPr>
                </w:p>
              </w:tc>
              <w:tc>
                <w:tcPr>
                  <w:tcW w:w="1831" w:type="pct"/>
                  <w:vAlign w:val="center"/>
                </w:tcPr>
                <w:p w14:paraId="14D19B67">
                  <w:pPr>
                    <w:pStyle w:val="17"/>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江苏省《大气污染物综合排放标准》（DB32/4041-2021）</w:t>
                  </w:r>
                </w:p>
              </w:tc>
            </w:tr>
            <w:tr w14:paraId="5E32E9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65" w:type="pct"/>
                  <w:vMerge w:val="continue"/>
                  <w:vAlign w:val="center"/>
                </w:tcPr>
                <w:p w14:paraId="500B2047">
                  <w:pPr>
                    <w:pStyle w:val="17"/>
                    <w:spacing w:line="240" w:lineRule="auto"/>
                    <w:rPr>
                      <w:rFonts w:hint="default" w:ascii="Times New Roman" w:hAnsi="Times New Roman" w:eastAsia="宋体" w:cs="Times New Roman"/>
                      <w:color w:val="auto"/>
                      <w:sz w:val="21"/>
                      <w:szCs w:val="21"/>
                    </w:rPr>
                  </w:pPr>
                </w:p>
              </w:tc>
              <w:tc>
                <w:tcPr>
                  <w:tcW w:w="902" w:type="pct"/>
                  <w:vAlign w:val="center"/>
                </w:tcPr>
                <w:p w14:paraId="1B4F4401">
                  <w:pPr>
                    <w:pStyle w:val="17"/>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发电房</w:t>
                  </w:r>
                </w:p>
              </w:tc>
              <w:tc>
                <w:tcPr>
                  <w:tcW w:w="881" w:type="pct"/>
                  <w:vAlign w:val="center"/>
                </w:tcPr>
                <w:p w14:paraId="47D8F1C0">
                  <w:pPr>
                    <w:pStyle w:val="17"/>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颗粒物、二氧化硫、氮氧化物</w:t>
                  </w:r>
                </w:p>
              </w:tc>
              <w:tc>
                <w:tcPr>
                  <w:tcW w:w="512" w:type="pct"/>
                  <w:vAlign w:val="center"/>
                </w:tcPr>
                <w:p w14:paraId="56601F9F">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应急状态下，柴油燃烧发电</w:t>
                  </w:r>
                </w:p>
              </w:tc>
              <w:tc>
                <w:tcPr>
                  <w:tcW w:w="506" w:type="pct"/>
                  <w:vMerge w:val="continue"/>
                  <w:vAlign w:val="center"/>
                </w:tcPr>
                <w:p w14:paraId="200B019C">
                  <w:pPr>
                    <w:pStyle w:val="17"/>
                    <w:spacing w:line="240" w:lineRule="auto"/>
                    <w:ind w:firstLine="0" w:firstLineChars="0"/>
                    <w:rPr>
                      <w:rFonts w:hint="default" w:ascii="Times New Roman" w:hAnsi="Times New Roman" w:eastAsia="宋体" w:cs="Times New Roman"/>
                      <w:color w:val="auto"/>
                      <w:sz w:val="21"/>
                      <w:szCs w:val="21"/>
                    </w:rPr>
                  </w:pPr>
                </w:p>
              </w:tc>
              <w:tc>
                <w:tcPr>
                  <w:tcW w:w="1831" w:type="pct"/>
                  <w:vAlign w:val="center"/>
                </w:tcPr>
                <w:p w14:paraId="35276DF1">
                  <w:pPr>
                    <w:pStyle w:val="17"/>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江苏省《大气污染物综合排放标准》（DB32/4041-2021）</w:t>
                  </w:r>
                </w:p>
              </w:tc>
            </w:tr>
            <w:tr w14:paraId="3755EF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365" w:type="pct"/>
                  <w:vAlign w:val="center"/>
                </w:tcPr>
                <w:p w14:paraId="3F3D495D">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902" w:type="pct"/>
                  <w:vAlign w:val="center"/>
                </w:tcPr>
                <w:p w14:paraId="145A2575">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钻井废水</w:t>
                  </w:r>
                </w:p>
              </w:tc>
              <w:tc>
                <w:tcPr>
                  <w:tcW w:w="881" w:type="pct"/>
                  <w:vAlign w:val="center"/>
                </w:tcPr>
                <w:p w14:paraId="6A3F3B26">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pH、CODCr、石油类</w:t>
                  </w:r>
                </w:p>
              </w:tc>
              <w:tc>
                <w:tcPr>
                  <w:tcW w:w="512" w:type="pct"/>
                  <w:vAlign w:val="center"/>
                </w:tcPr>
                <w:p w14:paraId="6945B1E4">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完井作业</w:t>
                  </w:r>
                </w:p>
              </w:tc>
              <w:tc>
                <w:tcPr>
                  <w:tcW w:w="506" w:type="pct"/>
                  <w:vAlign w:val="center"/>
                </w:tcPr>
                <w:p w14:paraId="1D9D7E76">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w:t>
                  </w:r>
                </w:p>
              </w:tc>
              <w:tc>
                <w:tcPr>
                  <w:tcW w:w="1831" w:type="pct"/>
                  <w:vAlign w:val="center"/>
                </w:tcPr>
                <w:p w14:paraId="055587F3">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71E3F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2" w:hRule="atLeast"/>
              </w:trPr>
              <w:tc>
                <w:tcPr>
                  <w:tcW w:w="365" w:type="pct"/>
                  <w:vMerge w:val="restart"/>
                  <w:vAlign w:val="center"/>
                </w:tcPr>
                <w:p w14:paraId="4D425AE4">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902" w:type="pct"/>
                  <w:vAlign w:val="center"/>
                </w:tcPr>
                <w:p w14:paraId="3C406440">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场界布设4个点</w:t>
                  </w:r>
                </w:p>
              </w:tc>
              <w:tc>
                <w:tcPr>
                  <w:tcW w:w="881" w:type="pct"/>
                  <w:vAlign w:val="center"/>
                </w:tcPr>
                <w:p w14:paraId="113D87AB">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等效A声级</w:t>
                  </w:r>
                </w:p>
              </w:tc>
              <w:tc>
                <w:tcPr>
                  <w:tcW w:w="512" w:type="pct"/>
                  <w:vAlign w:val="center"/>
                </w:tcPr>
                <w:p w14:paraId="65A4685E">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钻井期</w:t>
                  </w:r>
                </w:p>
              </w:tc>
              <w:tc>
                <w:tcPr>
                  <w:tcW w:w="506" w:type="pct"/>
                  <w:vAlign w:val="center"/>
                </w:tcPr>
                <w:p w14:paraId="6D69716F">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w:t>
                  </w:r>
                </w:p>
              </w:tc>
              <w:tc>
                <w:tcPr>
                  <w:tcW w:w="1831" w:type="pct"/>
                  <w:vAlign w:val="center"/>
                </w:tcPr>
                <w:p w14:paraId="0F086620">
                  <w:pPr>
                    <w:pStyle w:val="17"/>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《建筑施工场界环境噪声排放标准》</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GB 12523-2011</w:t>
                  </w:r>
                  <w:r>
                    <w:rPr>
                      <w:rFonts w:hint="default" w:ascii="Times New Roman" w:hAnsi="Times New Roman" w:eastAsia="宋体" w:cs="Times New Roman"/>
                      <w:color w:val="auto"/>
                      <w:sz w:val="21"/>
                      <w:szCs w:val="21"/>
                      <w:lang w:eastAsia="zh-CN"/>
                    </w:rPr>
                    <w:t>）</w:t>
                  </w:r>
                </w:p>
              </w:tc>
            </w:tr>
            <w:tr w14:paraId="5783DA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6" w:hRule="atLeast"/>
              </w:trPr>
              <w:tc>
                <w:tcPr>
                  <w:tcW w:w="365" w:type="pct"/>
                  <w:vMerge w:val="continue"/>
                  <w:vAlign w:val="center"/>
                </w:tcPr>
                <w:p w14:paraId="47F36711">
                  <w:pPr>
                    <w:pStyle w:val="17"/>
                    <w:spacing w:line="240" w:lineRule="auto"/>
                    <w:rPr>
                      <w:rFonts w:hint="default" w:ascii="Times New Roman" w:hAnsi="Times New Roman" w:eastAsia="宋体" w:cs="Times New Roman"/>
                      <w:color w:val="auto"/>
                      <w:sz w:val="21"/>
                      <w:szCs w:val="21"/>
                    </w:rPr>
                  </w:pPr>
                </w:p>
              </w:tc>
              <w:tc>
                <w:tcPr>
                  <w:tcW w:w="902" w:type="pct"/>
                  <w:vAlign w:val="center"/>
                </w:tcPr>
                <w:p w14:paraId="6DEC3F85">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周边居民点</w:t>
                  </w:r>
                </w:p>
              </w:tc>
              <w:tc>
                <w:tcPr>
                  <w:tcW w:w="881" w:type="pct"/>
                  <w:vAlign w:val="center"/>
                </w:tcPr>
                <w:p w14:paraId="000619D0">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等效A声级</w:t>
                  </w:r>
                </w:p>
              </w:tc>
              <w:tc>
                <w:tcPr>
                  <w:tcW w:w="512" w:type="pct"/>
                  <w:vAlign w:val="center"/>
                </w:tcPr>
                <w:p w14:paraId="18EBC40C">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钻井期</w:t>
                  </w:r>
                </w:p>
              </w:tc>
              <w:tc>
                <w:tcPr>
                  <w:tcW w:w="506" w:type="pct"/>
                  <w:vAlign w:val="center"/>
                </w:tcPr>
                <w:p w14:paraId="33DECB45">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w:t>
                  </w:r>
                </w:p>
              </w:tc>
              <w:tc>
                <w:tcPr>
                  <w:tcW w:w="1831" w:type="pct"/>
                  <w:vAlign w:val="center"/>
                </w:tcPr>
                <w:p w14:paraId="35F6B4DB">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《声环境质量标准》（GB3096-2008）1类</w:t>
                  </w:r>
                </w:p>
              </w:tc>
            </w:tr>
            <w:tr w14:paraId="6A78C0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5" w:hRule="atLeast"/>
              </w:trPr>
              <w:tc>
                <w:tcPr>
                  <w:tcW w:w="365" w:type="pct"/>
                  <w:vMerge w:val="restart"/>
                  <w:vAlign w:val="center"/>
                </w:tcPr>
                <w:p w14:paraId="6270EB8F">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w:t>
                  </w:r>
                </w:p>
              </w:tc>
              <w:tc>
                <w:tcPr>
                  <w:tcW w:w="902" w:type="pct"/>
                  <w:vAlign w:val="center"/>
                </w:tcPr>
                <w:p w14:paraId="6252EE6E">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油井井口周边3个表层点</w:t>
                  </w:r>
                </w:p>
              </w:tc>
              <w:tc>
                <w:tcPr>
                  <w:tcW w:w="881" w:type="pct"/>
                  <w:vAlign w:val="center"/>
                </w:tcPr>
                <w:p w14:paraId="0DB26B74">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镉、汞、砷、铅、铬、铜、镍、锌、石油烃</w:t>
                  </w:r>
                </w:p>
              </w:tc>
              <w:tc>
                <w:tcPr>
                  <w:tcW w:w="512" w:type="pct"/>
                  <w:vAlign w:val="center"/>
                </w:tcPr>
                <w:p w14:paraId="122C46A4">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完井后</w:t>
                  </w:r>
                </w:p>
              </w:tc>
              <w:tc>
                <w:tcPr>
                  <w:tcW w:w="506" w:type="pct"/>
                  <w:vAlign w:val="center"/>
                </w:tcPr>
                <w:p w14:paraId="6045F9C9">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w:t>
                  </w:r>
                </w:p>
              </w:tc>
              <w:tc>
                <w:tcPr>
                  <w:tcW w:w="1831" w:type="pct"/>
                  <w:vMerge w:val="restart"/>
                  <w:vAlign w:val="center"/>
                </w:tcPr>
                <w:p w14:paraId="770E1007">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《土壤环境质量农用地土壤污染风险管控标准（试行）（GB 15618-2018）表1中风险筛选值，石油烃参照《土壤环境质量建设用地土壤污染风险管控标准》（GB36600-2018）相关标准</w:t>
                  </w:r>
                </w:p>
              </w:tc>
            </w:tr>
            <w:tr w14:paraId="382382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7" w:hRule="atLeast"/>
              </w:trPr>
              <w:tc>
                <w:tcPr>
                  <w:tcW w:w="365" w:type="pct"/>
                  <w:vMerge w:val="continue"/>
                  <w:vAlign w:val="center"/>
                </w:tcPr>
                <w:p w14:paraId="18A1F201">
                  <w:pPr>
                    <w:pStyle w:val="17"/>
                    <w:spacing w:line="240" w:lineRule="auto"/>
                    <w:rPr>
                      <w:rFonts w:hint="default" w:ascii="Times New Roman" w:hAnsi="Times New Roman" w:eastAsia="宋体" w:cs="Times New Roman"/>
                      <w:color w:val="auto"/>
                      <w:sz w:val="21"/>
                      <w:szCs w:val="21"/>
                    </w:rPr>
                  </w:pPr>
                </w:p>
              </w:tc>
              <w:tc>
                <w:tcPr>
                  <w:tcW w:w="902" w:type="pct"/>
                  <w:vAlign w:val="center"/>
                </w:tcPr>
                <w:p w14:paraId="18424260">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计划转开发的油井井口周边3个表层点</w:t>
                  </w:r>
                </w:p>
              </w:tc>
              <w:tc>
                <w:tcPr>
                  <w:tcW w:w="881" w:type="pct"/>
                  <w:vAlign w:val="center"/>
                </w:tcPr>
                <w:p w14:paraId="1A0BB7CB">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镉、汞、砷、铅、铬、铜、镍、锌、石油烃</w:t>
                  </w:r>
                </w:p>
              </w:tc>
              <w:tc>
                <w:tcPr>
                  <w:tcW w:w="512" w:type="pct"/>
                  <w:vAlign w:val="center"/>
                </w:tcPr>
                <w:p w14:paraId="4DE813FE">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完井后至开发前</w:t>
                  </w:r>
                </w:p>
              </w:tc>
              <w:tc>
                <w:tcPr>
                  <w:tcW w:w="506" w:type="pct"/>
                  <w:vAlign w:val="center"/>
                </w:tcPr>
                <w:p w14:paraId="0E5F7FB6">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1次</w:t>
                  </w:r>
                </w:p>
              </w:tc>
              <w:tc>
                <w:tcPr>
                  <w:tcW w:w="1831" w:type="pct"/>
                  <w:vMerge w:val="continue"/>
                  <w:vAlign w:val="center"/>
                </w:tcPr>
                <w:p w14:paraId="39F3062A">
                  <w:pPr>
                    <w:pStyle w:val="17"/>
                    <w:spacing w:line="240" w:lineRule="auto"/>
                    <w:rPr>
                      <w:rFonts w:hint="default" w:ascii="Times New Roman" w:hAnsi="Times New Roman" w:eastAsia="宋体" w:cs="Times New Roman"/>
                      <w:color w:val="auto"/>
                      <w:sz w:val="21"/>
                      <w:szCs w:val="21"/>
                    </w:rPr>
                  </w:pPr>
                </w:p>
              </w:tc>
            </w:tr>
            <w:tr w14:paraId="09DF97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5" w:hRule="atLeast"/>
              </w:trPr>
              <w:tc>
                <w:tcPr>
                  <w:tcW w:w="365" w:type="pct"/>
                  <w:vMerge w:val="restart"/>
                  <w:vAlign w:val="center"/>
                </w:tcPr>
                <w:p w14:paraId="54485AA2">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902" w:type="pct"/>
                  <w:vMerge w:val="restart"/>
                  <w:vAlign w:val="center"/>
                </w:tcPr>
                <w:p w14:paraId="6DC20BB0">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井场内</w:t>
                  </w:r>
                </w:p>
              </w:tc>
              <w:tc>
                <w:tcPr>
                  <w:tcW w:w="881" w:type="pct"/>
                  <w:vMerge w:val="restart"/>
                  <w:vAlign w:val="center"/>
                </w:tcPr>
                <w:p w14:paraId="3C3EC4FD">
                  <w:pPr>
                    <w:pStyle w:val="17"/>
                    <w:spacing w:line="240" w:lineRule="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pH</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氨氮</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总硬度</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硝酸盐</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亚硝酸盐</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硫酸盐</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溶解性总固体</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耗氧量</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氰化物</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氟化物</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氯化物</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挥发性酚类</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砷</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汞、铬（六价）、铅、</w:t>
                  </w:r>
                  <w:r>
                    <w:rPr>
                      <w:rFonts w:hint="default" w:ascii="Times New Roman" w:hAnsi="Times New Roman" w:eastAsia="宋体" w:cs="Times New Roman"/>
                      <w:color w:val="auto"/>
                      <w:sz w:val="21"/>
                      <w:szCs w:val="21"/>
                    </w:rPr>
                    <w:t>镉</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铁、锰、</w:t>
                  </w:r>
                  <w:r>
                    <w:rPr>
                      <w:rFonts w:hint="default" w:ascii="Times New Roman" w:hAnsi="Times New Roman" w:eastAsia="宋体" w:cs="Times New Roman"/>
                      <w:color w:val="auto"/>
                      <w:sz w:val="21"/>
                      <w:szCs w:val="21"/>
                    </w:rPr>
                    <w:t>总大肠菌群</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菌落总数</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石油类</w:t>
                  </w:r>
                </w:p>
              </w:tc>
              <w:tc>
                <w:tcPr>
                  <w:tcW w:w="512" w:type="pct"/>
                  <w:vAlign w:val="center"/>
                </w:tcPr>
                <w:p w14:paraId="3EA71037">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完井后</w:t>
                  </w:r>
                </w:p>
              </w:tc>
              <w:tc>
                <w:tcPr>
                  <w:tcW w:w="506" w:type="pct"/>
                  <w:vAlign w:val="center"/>
                </w:tcPr>
                <w:p w14:paraId="01EDAD27">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w:t>
                  </w:r>
                </w:p>
              </w:tc>
              <w:tc>
                <w:tcPr>
                  <w:tcW w:w="1831" w:type="pct"/>
                  <w:vMerge w:val="restart"/>
                  <w:vAlign w:val="center"/>
                </w:tcPr>
                <w:p w14:paraId="6137B88B">
                  <w:pPr>
                    <w:pStyle w:val="1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区域地下水执行《地下水质量标准》（GB/T14848-2017）标准，石油类参照《地表水环境质量标准》（GB3838-2002）中的分类标准</w:t>
                  </w:r>
                </w:p>
              </w:tc>
            </w:tr>
            <w:tr w14:paraId="744D41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2" w:hRule="atLeast"/>
              </w:trPr>
              <w:tc>
                <w:tcPr>
                  <w:tcW w:w="365" w:type="pct"/>
                  <w:vMerge w:val="continue"/>
                  <w:vAlign w:val="center"/>
                </w:tcPr>
                <w:p w14:paraId="556D40DE">
                  <w:pPr>
                    <w:pStyle w:val="17"/>
                    <w:rPr>
                      <w:rFonts w:hint="default" w:ascii="Times New Roman" w:hAnsi="Times New Roman" w:eastAsia="宋体" w:cs="Times New Roman"/>
                      <w:color w:val="auto"/>
                      <w:sz w:val="21"/>
                      <w:szCs w:val="21"/>
                    </w:rPr>
                  </w:pPr>
                </w:p>
              </w:tc>
              <w:tc>
                <w:tcPr>
                  <w:tcW w:w="902" w:type="pct"/>
                  <w:vMerge w:val="continue"/>
                  <w:vAlign w:val="center"/>
                </w:tcPr>
                <w:p w14:paraId="5D79BB73">
                  <w:pPr>
                    <w:pStyle w:val="17"/>
                    <w:spacing w:line="240" w:lineRule="auto"/>
                    <w:rPr>
                      <w:rFonts w:hint="default" w:ascii="Times New Roman" w:hAnsi="Times New Roman" w:eastAsia="宋体" w:cs="Times New Roman"/>
                      <w:color w:val="auto"/>
                      <w:sz w:val="21"/>
                      <w:szCs w:val="21"/>
                    </w:rPr>
                  </w:pPr>
                </w:p>
              </w:tc>
              <w:tc>
                <w:tcPr>
                  <w:tcW w:w="881" w:type="pct"/>
                  <w:vMerge w:val="continue"/>
                  <w:vAlign w:val="center"/>
                </w:tcPr>
                <w:p w14:paraId="402AEBBB">
                  <w:pPr>
                    <w:pStyle w:val="17"/>
                    <w:spacing w:line="240" w:lineRule="auto"/>
                    <w:rPr>
                      <w:rFonts w:hint="default" w:ascii="Times New Roman" w:hAnsi="Times New Roman" w:eastAsia="宋体" w:cs="Times New Roman"/>
                      <w:color w:val="auto"/>
                      <w:sz w:val="21"/>
                      <w:szCs w:val="21"/>
                    </w:rPr>
                  </w:pPr>
                </w:p>
              </w:tc>
              <w:tc>
                <w:tcPr>
                  <w:tcW w:w="512" w:type="pct"/>
                  <w:vAlign w:val="center"/>
                </w:tcPr>
                <w:p w14:paraId="70DE8E95">
                  <w:pPr>
                    <w:pStyle w:val="1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完井后至开发前</w:t>
                  </w:r>
                </w:p>
              </w:tc>
              <w:tc>
                <w:tcPr>
                  <w:tcW w:w="506" w:type="pct"/>
                  <w:vAlign w:val="center"/>
                </w:tcPr>
                <w:p w14:paraId="0AC3904C">
                  <w:pPr>
                    <w:pStyle w:val="1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1次</w:t>
                  </w:r>
                </w:p>
              </w:tc>
              <w:tc>
                <w:tcPr>
                  <w:tcW w:w="1831" w:type="pct"/>
                  <w:vMerge w:val="continue"/>
                  <w:vAlign w:val="center"/>
                </w:tcPr>
                <w:p w14:paraId="562736DC">
                  <w:pPr>
                    <w:pStyle w:val="17"/>
                    <w:rPr>
                      <w:rFonts w:hint="default" w:ascii="Times New Roman" w:hAnsi="Times New Roman" w:eastAsia="宋体" w:cs="Times New Roman"/>
                      <w:color w:val="auto"/>
                      <w:sz w:val="21"/>
                      <w:szCs w:val="21"/>
                    </w:rPr>
                  </w:pPr>
                </w:p>
              </w:tc>
            </w:tr>
          </w:tbl>
          <w:p w14:paraId="47AC0A6D">
            <w:pPr>
              <w:pStyle w:val="3"/>
              <w:ind w:firstLine="0" w:firstLineChars="0"/>
              <w:rPr>
                <w:rFonts w:eastAsia="宋体"/>
              </w:rPr>
            </w:pPr>
          </w:p>
        </w:tc>
      </w:tr>
      <w:tr w14:paraId="16F0D3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5" w:type="pct"/>
            <w:tcMar>
              <w:left w:w="28" w:type="dxa"/>
              <w:right w:w="28" w:type="dxa"/>
            </w:tcMar>
            <w:vAlign w:val="center"/>
          </w:tcPr>
          <w:p w14:paraId="3384C7F5">
            <w:pPr>
              <w:adjustRightInd w:val="0"/>
              <w:snapToGrid w:val="0"/>
              <w:jc w:val="center"/>
              <w:rPr>
                <w:rFonts w:eastAsia="宋体"/>
                <w:bCs/>
                <w:spacing w:val="10"/>
                <w:sz w:val="24"/>
              </w:rPr>
            </w:pPr>
            <w:r>
              <w:rPr>
                <w:rFonts w:eastAsia="宋体"/>
                <w:bCs/>
                <w:spacing w:val="10"/>
                <w:sz w:val="24"/>
              </w:rPr>
              <w:t>运营期生态环境保护措施</w:t>
            </w:r>
          </w:p>
        </w:tc>
        <w:tc>
          <w:tcPr>
            <w:tcW w:w="4614" w:type="pct"/>
            <w:vAlign w:val="center"/>
          </w:tcPr>
          <w:p w14:paraId="50C57307">
            <w:pPr>
              <w:pStyle w:val="3"/>
              <w:ind w:firstLine="480"/>
              <w:jc w:val="center"/>
              <w:rPr>
                <w:rFonts w:eastAsia="宋体"/>
              </w:rPr>
            </w:pPr>
            <w:r>
              <w:rPr>
                <w:rFonts w:hint="eastAsia" w:eastAsia="宋体"/>
              </w:rPr>
              <w:t>本项目不涉及运营期</w:t>
            </w:r>
          </w:p>
        </w:tc>
      </w:tr>
      <w:tr w14:paraId="4377A8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0" w:hRule="atLeast"/>
          <w:jc w:val="center"/>
        </w:trPr>
        <w:tc>
          <w:tcPr>
            <w:tcW w:w="385" w:type="pct"/>
            <w:vAlign w:val="center"/>
          </w:tcPr>
          <w:p w14:paraId="1E646383">
            <w:pPr>
              <w:adjustRightInd w:val="0"/>
              <w:snapToGrid w:val="0"/>
              <w:jc w:val="both"/>
              <w:rPr>
                <w:rFonts w:eastAsia="宋体"/>
                <w:bCs/>
                <w:spacing w:val="10"/>
                <w:sz w:val="24"/>
              </w:rPr>
            </w:pPr>
            <w:r>
              <w:rPr>
                <w:rFonts w:eastAsia="宋体"/>
                <w:bCs/>
                <w:sz w:val="24"/>
              </w:rPr>
              <w:t>其他</w:t>
            </w:r>
          </w:p>
        </w:tc>
        <w:tc>
          <w:tcPr>
            <w:tcW w:w="4614" w:type="pct"/>
          </w:tcPr>
          <w:p w14:paraId="41D4BA19">
            <w:pPr>
              <w:pStyle w:val="3"/>
              <w:ind w:left="0" w:leftChars="0" w:firstLine="0" w:firstLineChars="0"/>
              <w:jc w:val="center"/>
              <w:rPr>
                <w:rFonts w:hint="eastAsia" w:ascii="宋体" w:hAnsi="宋体" w:eastAsia="宋体" w:cs="宋体"/>
              </w:rPr>
            </w:pPr>
          </w:p>
          <w:p w14:paraId="42F78385">
            <w:pPr>
              <w:pStyle w:val="3"/>
              <w:jc w:val="center"/>
              <w:rPr>
                <w:rFonts w:hint="eastAsia" w:ascii="宋体" w:hAnsi="宋体" w:eastAsia="宋体" w:cs="宋体"/>
              </w:rPr>
            </w:pPr>
          </w:p>
          <w:p w14:paraId="1A82B34C">
            <w:pPr>
              <w:pStyle w:val="3"/>
              <w:jc w:val="center"/>
              <w:rPr>
                <w:rFonts w:hint="eastAsia" w:ascii="宋体" w:hAnsi="宋体" w:eastAsia="宋体" w:cs="宋体"/>
              </w:rPr>
            </w:pPr>
            <w:r>
              <w:rPr>
                <w:rFonts w:hint="eastAsia" w:ascii="宋体" w:hAnsi="宋体" w:eastAsia="宋体" w:cs="宋体"/>
              </w:rPr>
              <w:t>无</w:t>
            </w:r>
          </w:p>
          <w:p w14:paraId="020DA65C">
            <w:pPr>
              <w:pStyle w:val="3"/>
              <w:jc w:val="center"/>
              <w:rPr>
                <w:rFonts w:hint="eastAsia" w:ascii="宋体" w:hAnsi="宋体" w:eastAsia="宋体" w:cs="宋体"/>
              </w:rPr>
            </w:pPr>
          </w:p>
          <w:p w14:paraId="59D1D87D">
            <w:pPr>
              <w:jc w:val="center"/>
            </w:pPr>
          </w:p>
        </w:tc>
      </w:tr>
      <w:tr w14:paraId="54E9FA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0" w:hRule="atLeast"/>
          <w:jc w:val="center"/>
        </w:trPr>
        <w:tc>
          <w:tcPr>
            <w:tcW w:w="385" w:type="pct"/>
            <w:vAlign w:val="center"/>
          </w:tcPr>
          <w:p w14:paraId="178CC9FC">
            <w:pPr>
              <w:adjustRightInd w:val="0"/>
              <w:snapToGrid w:val="0"/>
              <w:jc w:val="both"/>
              <w:rPr>
                <w:rFonts w:hint="default" w:eastAsia="宋体"/>
                <w:bCs/>
                <w:sz w:val="24"/>
                <w:lang w:val="en-US" w:eastAsia="zh-CN"/>
              </w:rPr>
            </w:pPr>
            <w:r>
              <w:rPr>
                <w:rFonts w:hint="eastAsia"/>
                <w:bCs/>
                <w:sz w:val="24"/>
                <w:lang w:val="en-US" w:eastAsia="zh-CN"/>
              </w:rPr>
              <w:t>环</w:t>
            </w:r>
            <w:r>
              <w:rPr>
                <w:rFonts w:hint="eastAsia" w:ascii="Times New Roman" w:hAnsi="Times New Roman" w:eastAsia="宋体" w:cs="Times New Roman"/>
                <w:bCs/>
                <w:sz w:val="24"/>
                <w:lang w:val="en-US" w:eastAsia="zh-CN"/>
              </w:rPr>
              <w:t>保投资</w:t>
            </w:r>
          </w:p>
        </w:tc>
        <w:tc>
          <w:tcPr>
            <w:tcW w:w="4614" w:type="pct"/>
          </w:tcPr>
          <w:p w14:paraId="31453517">
            <w:pPr>
              <w:pStyle w:val="3"/>
              <w:bidi w:val="0"/>
              <w:rPr>
                <w:rFonts w:hint="eastAsia" w:eastAsia="宋体"/>
                <w:lang w:eastAsia="zh-CN"/>
              </w:rPr>
            </w:pPr>
            <w:r>
              <w:rPr>
                <w:rFonts w:hint="eastAsia" w:eastAsia="宋体"/>
                <w:lang w:val="en-US" w:eastAsia="zh-CN"/>
              </w:rPr>
              <w:t>本项目单个井场</w:t>
            </w:r>
            <w:r>
              <w:rPr>
                <w:rFonts w:hint="eastAsia" w:eastAsia="宋体"/>
                <w:lang w:eastAsia="zh-CN"/>
              </w:rPr>
              <w:t>环保投资情况见下表。</w:t>
            </w:r>
          </w:p>
          <w:p w14:paraId="70B25F8E">
            <w:pPr>
              <w:pStyle w:val="16"/>
              <w:rPr>
                <w:rFonts w:eastAsia="宋体"/>
              </w:rPr>
            </w:pPr>
            <w:r>
              <w:rPr>
                <w:rFonts w:hint="eastAsia" w:eastAsia="宋体"/>
              </w:rPr>
              <w:t>表5-</w:t>
            </w:r>
            <w:r>
              <w:rPr>
                <w:rFonts w:hint="eastAsia" w:eastAsia="宋体"/>
                <w:lang w:val="en-US" w:eastAsia="zh-CN"/>
              </w:rPr>
              <w:t>7</w:t>
            </w:r>
            <w:r>
              <w:rPr>
                <w:rFonts w:hint="eastAsia" w:eastAsia="宋体"/>
              </w:rPr>
              <w:t xml:space="preserve">  </w:t>
            </w:r>
            <w:r>
              <w:rPr>
                <w:rFonts w:eastAsia="宋体"/>
              </w:rPr>
              <w:t>环保措施投资清单</w:t>
            </w:r>
          </w:p>
          <w:tbl>
            <w:tblPr>
              <w:tblStyle w:val="1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645"/>
              <w:gridCol w:w="2884"/>
              <w:gridCol w:w="627"/>
              <w:gridCol w:w="1354"/>
              <w:gridCol w:w="1057"/>
            </w:tblGrid>
            <w:tr w14:paraId="2BB272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pct"/>
                  <w:shd w:val="clear" w:color="auto" w:fill="auto"/>
                  <w:vAlign w:val="center"/>
                </w:tcPr>
                <w:p w14:paraId="507FBF0A">
                  <w:pPr>
                    <w:pStyle w:val="17"/>
                    <w:jc w:val="center"/>
                    <w:rPr>
                      <w:rFonts w:eastAsia="宋体"/>
                    </w:rPr>
                  </w:pPr>
                  <w:r>
                    <w:rPr>
                      <w:rFonts w:hint="eastAsia" w:eastAsia="宋体"/>
                    </w:rPr>
                    <w:t>类别</w:t>
                  </w:r>
                </w:p>
              </w:tc>
              <w:tc>
                <w:tcPr>
                  <w:tcW w:w="413" w:type="pct"/>
                  <w:shd w:val="clear" w:color="auto" w:fill="auto"/>
                  <w:vAlign w:val="center"/>
                </w:tcPr>
                <w:p w14:paraId="5F8BF041">
                  <w:pPr>
                    <w:pStyle w:val="17"/>
                    <w:jc w:val="center"/>
                    <w:rPr>
                      <w:rFonts w:eastAsia="宋体"/>
                    </w:rPr>
                  </w:pPr>
                  <w:r>
                    <w:rPr>
                      <w:rFonts w:hint="eastAsia" w:eastAsia="宋体"/>
                    </w:rPr>
                    <w:t>序号</w:t>
                  </w:r>
                </w:p>
              </w:tc>
              <w:tc>
                <w:tcPr>
                  <w:tcW w:w="1850" w:type="pct"/>
                  <w:shd w:val="clear" w:color="auto" w:fill="auto"/>
                  <w:vAlign w:val="center"/>
                </w:tcPr>
                <w:p w14:paraId="5045C628">
                  <w:pPr>
                    <w:pStyle w:val="17"/>
                    <w:jc w:val="center"/>
                    <w:rPr>
                      <w:rFonts w:eastAsia="宋体"/>
                    </w:rPr>
                  </w:pPr>
                  <w:r>
                    <w:rPr>
                      <w:rFonts w:hint="eastAsia" w:eastAsia="宋体"/>
                    </w:rPr>
                    <w:t>环保治理措施名称</w:t>
                  </w:r>
                </w:p>
              </w:tc>
              <w:tc>
                <w:tcPr>
                  <w:tcW w:w="402" w:type="pct"/>
                  <w:shd w:val="clear" w:color="auto" w:fill="auto"/>
                  <w:vAlign w:val="center"/>
                </w:tcPr>
                <w:p w14:paraId="0C1C73E1">
                  <w:pPr>
                    <w:pStyle w:val="17"/>
                    <w:jc w:val="center"/>
                    <w:rPr>
                      <w:rFonts w:eastAsia="宋体"/>
                    </w:rPr>
                  </w:pPr>
                  <w:r>
                    <w:rPr>
                      <w:rFonts w:hint="eastAsia" w:eastAsia="宋体"/>
                    </w:rPr>
                    <w:t>数量</w:t>
                  </w:r>
                </w:p>
              </w:tc>
              <w:tc>
                <w:tcPr>
                  <w:tcW w:w="868" w:type="pct"/>
                  <w:shd w:val="clear" w:color="auto" w:fill="auto"/>
                  <w:vAlign w:val="center"/>
                </w:tcPr>
                <w:p w14:paraId="6AC54D2F">
                  <w:pPr>
                    <w:pStyle w:val="17"/>
                    <w:jc w:val="center"/>
                    <w:rPr>
                      <w:rFonts w:eastAsia="宋体"/>
                    </w:rPr>
                  </w:pPr>
                  <w:r>
                    <w:rPr>
                      <w:rFonts w:hint="eastAsia" w:eastAsia="宋体"/>
                    </w:rPr>
                    <w:t>投资</w:t>
                  </w:r>
                  <w:r>
                    <w:rPr>
                      <w:rFonts w:eastAsia="宋体"/>
                    </w:rPr>
                    <w:t>（</w:t>
                  </w:r>
                  <w:r>
                    <w:rPr>
                      <w:rFonts w:hint="eastAsia" w:eastAsia="宋体"/>
                    </w:rPr>
                    <w:t>万元</w:t>
                  </w:r>
                  <w:r>
                    <w:rPr>
                      <w:rFonts w:eastAsia="宋体"/>
                    </w:rPr>
                    <w:t>）</w:t>
                  </w:r>
                </w:p>
              </w:tc>
              <w:tc>
                <w:tcPr>
                  <w:tcW w:w="678" w:type="pct"/>
                  <w:shd w:val="clear" w:color="auto" w:fill="auto"/>
                  <w:vAlign w:val="center"/>
                </w:tcPr>
                <w:p w14:paraId="1A68115E">
                  <w:pPr>
                    <w:pStyle w:val="17"/>
                    <w:jc w:val="center"/>
                    <w:rPr>
                      <w:rFonts w:hint="eastAsia" w:eastAsia="宋体"/>
                      <w:lang w:val="en-US" w:eastAsia="zh-CN"/>
                    </w:rPr>
                  </w:pPr>
                  <w:r>
                    <w:rPr>
                      <w:rFonts w:hint="eastAsia" w:eastAsia="宋体"/>
                      <w:lang w:val="en-US" w:eastAsia="zh-CN"/>
                    </w:rPr>
                    <w:t>进度</w:t>
                  </w:r>
                </w:p>
              </w:tc>
            </w:tr>
            <w:tr w14:paraId="71011A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pct"/>
                  <w:shd w:val="clear" w:color="auto" w:fill="auto"/>
                  <w:vAlign w:val="center"/>
                </w:tcPr>
                <w:p w14:paraId="490540AE">
                  <w:pPr>
                    <w:pStyle w:val="17"/>
                    <w:jc w:val="center"/>
                    <w:rPr>
                      <w:rFonts w:eastAsia="宋体"/>
                    </w:rPr>
                  </w:pPr>
                  <w:r>
                    <w:rPr>
                      <w:rFonts w:hint="eastAsia" w:eastAsia="宋体"/>
                    </w:rPr>
                    <w:t>废气</w:t>
                  </w:r>
                </w:p>
              </w:tc>
              <w:tc>
                <w:tcPr>
                  <w:tcW w:w="413" w:type="pct"/>
                  <w:shd w:val="clear" w:color="auto" w:fill="auto"/>
                  <w:vAlign w:val="center"/>
                </w:tcPr>
                <w:p w14:paraId="7B6E5E51">
                  <w:pPr>
                    <w:pStyle w:val="17"/>
                    <w:jc w:val="center"/>
                    <w:rPr>
                      <w:rFonts w:eastAsia="宋体"/>
                    </w:rPr>
                  </w:pPr>
                  <w:r>
                    <w:rPr>
                      <w:rFonts w:eastAsia="宋体"/>
                    </w:rPr>
                    <w:t>1</w:t>
                  </w:r>
                </w:p>
              </w:tc>
              <w:tc>
                <w:tcPr>
                  <w:tcW w:w="1850" w:type="pct"/>
                  <w:shd w:val="clear" w:color="auto" w:fill="auto"/>
                  <w:vAlign w:val="center"/>
                </w:tcPr>
                <w:p w14:paraId="08A73784">
                  <w:pPr>
                    <w:pStyle w:val="17"/>
                    <w:jc w:val="center"/>
                    <w:rPr>
                      <w:rFonts w:eastAsia="宋体"/>
                    </w:rPr>
                  </w:pPr>
                  <w:r>
                    <w:rPr>
                      <w:rFonts w:hint="eastAsia" w:eastAsia="宋体"/>
                    </w:rPr>
                    <w:t>洒水降尘</w:t>
                  </w:r>
                </w:p>
              </w:tc>
              <w:tc>
                <w:tcPr>
                  <w:tcW w:w="402" w:type="pct"/>
                  <w:shd w:val="clear" w:color="auto" w:fill="auto"/>
                  <w:vAlign w:val="center"/>
                </w:tcPr>
                <w:p w14:paraId="425B4140">
                  <w:pPr>
                    <w:pStyle w:val="17"/>
                    <w:jc w:val="center"/>
                    <w:rPr>
                      <w:rFonts w:hint="eastAsia" w:eastAsia="宋体"/>
                      <w:lang w:eastAsia="zh-CN"/>
                    </w:rPr>
                  </w:pPr>
                  <w:r>
                    <w:rPr>
                      <w:rFonts w:hint="eastAsia" w:eastAsia="宋体"/>
                      <w:lang w:val="en-US" w:eastAsia="zh-CN"/>
                    </w:rPr>
                    <w:t>1</w:t>
                  </w:r>
                  <w:r>
                    <w:rPr>
                      <w:rFonts w:hint="eastAsia" w:eastAsia="宋体"/>
                    </w:rPr>
                    <w:t>套</w:t>
                  </w:r>
                </w:p>
              </w:tc>
              <w:tc>
                <w:tcPr>
                  <w:tcW w:w="868" w:type="pct"/>
                  <w:shd w:val="clear" w:color="auto" w:fill="auto"/>
                  <w:vAlign w:val="center"/>
                </w:tcPr>
                <w:p w14:paraId="30141452">
                  <w:pPr>
                    <w:pStyle w:val="17"/>
                    <w:ind w:firstLine="0" w:firstLineChars="0"/>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5</w:t>
                  </w:r>
                </w:p>
              </w:tc>
              <w:tc>
                <w:tcPr>
                  <w:tcW w:w="678" w:type="pct"/>
                  <w:vMerge w:val="restart"/>
                  <w:shd w:val="clear" w:color="auto" w:fill="auto"/>
                  <w:vAlign w:val="center"/>
                </w:tcPr>
                <w:p w14:paraId="37668EAD">
                  <w:pPr>
                    <w:pStyle w:val="17"/>
                    <w:ind w:firstLine="0" w:firstLineChars="0"/>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三同时</w:t>
                  </w:r>
                </w:p>
              </w:tc>
            </w:tr>
            <w:tr w14:paraId="791337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pct"/>
                  <w:vMerge w:val="restart"/>
                  <w:shd w:val="clear" w:color="auto" w:fill="auto"/>
                  <w:vAlign w:val="center"/>
                </w:tcPr>
                <w:p w14:paraId="1A7CB3DF">
                  <w:pPr>
                    <w:pStyle w:val="17"/>
                    <w:jc w:val="center"/>
                    <w:rPr>
                      <w:rFonts w:eastAsia="宋体"/>
                    </w:rPr>
                  </w:pPr>
                  <w:r>
                    <w:rPr>
                      <w:rFonts w:hint="eastAsia" w:eastAsia="宋体"/>
                    </w:rPr>
                    <w:t>废水</w:t>
                  </w:r>
                </w:p>
              </w:tc>
              <w:tc>
                <w:tcPr>
                  <w:tcW w:w="413" w:type="pct"/>
                  <w:shd w:val="clear" w:color="auto" w:fill="auto"/>
                  <w:vAlign w:val="center"/>
                </w:tcPr>
                <w:p w14:paraId="188FCB20">
                  <w:pPr>
                    <w:pStyle w:val="17"/>
                    <w:jc w:val="center"/>
                    <w:rPr>
                      <w:rFonts w:eastAsia="宋体"/>
                    </w:rPr>
                  </w:pPr>
                  <w:r>
                    <w:rPr>
                      <w:rFonts w:eastAsia="宋体"/>
                    </w:rPr>
                    <w:t>1</w:t>
                  </w:r>
                </w:p>
              </w:tc>
              <w:tc>
                <w:tcPr>
                  <w:tcW w:w="1850" w:type="pct"/>
                  <w:shd w:val="clear" w:color="auto" w:fill="auto"/>
                  <w:vAlign w:val="center"/>
                </w:tcPr>
                <w:p w14:paraId="1E54A049">
                  <w:pPr>
                    <w:pStyle w:val="17"/>
                    <w:jc w:val="center"/>
                    <w:rPr>
                      <w:rFonts w:eastAsia="宋体"/>
                    </w:rPr>
                  </w:pPr>
                  <w:r>
                    <w:rPr>
                      <w:rFonts w:hint="eastAsia" w:eastAsia="宋体"/>
                    </w:rPr>
                    <w:t>泥浆</w:t>
                  </w:r>
                  <w:r>
                    <w:rPr>
                      <w:rFonts w:hint="eastAsia" w:eastAsia="宋体"/>
                      <w:lang w:val="en-US" w:eastAsia="zh-CN"/>
                    </w:rPr>
                    <w:t>不落地</w:t>
                  </w:r>
                  <w:r>
                    <w:rPr>
                      <w:rFonts w:hint="eastAsia" w:eastAsia="宋体"/>
                    </w:rPr>
                    <w:t>系统</w:t>
                  </w:r>
                </w:p>
              </w:tc>
              <w:tc>
                <w:tcPr>
                  <w:tcW w:w="402" w:type="pct"/>
                  <w:shd w:val="clear" w:color="auto" w:fill="auto"/>
                  <w:vAlign w:val="center"/>
                </w:tcPr>
                <w:p w14:paraId="4A60B512">
                  <w:pPr>
                    <w:pStyle w:val="17"/>
                    <w:jc w:val="center"/>
                    <w:rPr>
                      <w:rFonts w:eastAsia="宋体"/>
                    </w:rPr>
                  </w:pPr>
                  <w:r>
                    <w:rPr>
                      <w:rFonts w:hint="eastAsia" w:eastAsia="宋体"/>
                      <w:lang w:val="en-US" w:eastAsia="zh-CN"/>
                    </w:rPr>
                    <w:t>1</w:t>
                  </w:r>
                  <w:r>
                    <w:rPr>
                      <w:rFonts w:hint="eastAsia" w:eastAsia="宋体"/>
                    </w:rPr>
                    <w:t>套</w:t>
                  </w:r>
                </w:p>
              </w:tc>
              <w:tc>
                <w:tcPr>
                  <w:tcW w:w="868" w:type="pct"/>
                  <w:vMerge w:val="restart"/>
                  <w:shd w:val="clear" w:color="auto" w:fill="auto"/>
                  <w:vAlign w:val="center"/>
                </w:tcPr>
                <w:p w14:paraId="7DB146B7">
                  <w:pPr>
                    <w:pStyle w:val="17"/>
                    <w:ind w:firstLine="0" w:firstLineChars="0"/>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30</w:t>
                  </w:r>
                </w:p>
              </w:tc>
              <w:tc>
                <w:tcPr>
                  <w:tcW w:w="678" w:type="pct"/>
                  <w:vMerge w:val="continue"/>
                  <w:shd w:val="clear" w:color="auto" w:fill="auto"/>
                  <w:vAlign w:val="center"/>
                </w:tcPr>
                <w:p w14:paraId="442A2450">
                  <w:pPr>
                    <w:pStyle w:val="17"/>
                    <w:ind w:firstLine="0" w:firstLineChars="0"/>
                    <w:jc w:val="center"/>
                    <w:rPr>
                      <w:rFonts w:hint="eastAsia" w:eastAsia="宋体"/>
                      <w:color w:val="000000" w:themeColor="text1"/>
                      <w:lang w:val="en-US" w:eastAsia="zh-CN"/>
                      <w14:textFill>
                        <w14:solidFill>
                          <w14:schemeClr w14:val="tx1"/>
                        </w14:solidFill>
                      </w14:textFill>
                    </w:rPr>
                  </w:pPr>
                </w:p>
              </w:tc>
            </w:tr>
            <w:tr w14:paraId="45439F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pct"/>
                  <w:vMerge w:val="continue"/>
                  <w:shd w:val="clear" w:color="auto" w:fill="auto"/>
                  <w:vAlign w:val="center"/>
                </w:tcPr>
                <w:p w14:paraId="0E46D7CE">
                  <w:pPr>
                    <w:pStyle w:val="17"/>
                    <w:jc w:val="center"/>
                    <w:rPr>
                      <w:rFonts w:eastAsia="宋体"/>
                    </w:rPr>
                  </w:pPr>
                </w:p>
              </w:tc>
              <w:tc>
                <w:tcPr>
                  <w:tcW w:w="413" w:type="pct"/>
                  <w:shd w:val="clear" w:color="auto" w:fill="auto"/>
                  <w:vAlign w:val="center"/>
                </w:tcPr>
                <w:p w14:paraId="255A4097">
                  <w:pPr>
                    <w:pStyle w:val="17"/>
                    <w:jc w:val="center"/>
                    <w:rPr>
                      <w:rFonts w:eastAsia="宋体"/>
                    </w:rPr>
                  </w:pPr>
                  <w:r>
                    <w:rPr>
                      <w:rFonts w:eastAsia="宋体"/>
                    </w:rPr>
                    <w:t>2</w:t>
                  </w:r>
                </w:p>
              </w:tc>
              <w:tc>
                <w:tcPr>
                  <w:tcW w:w="1850" w:type="pct"/>
                  <w:shd w:val="clear" w:color="auto" w:fill="auto"/>
                  <w:vAlign w:val="center"/>
                </w:tcPr>
                <w:p w14:paraId="14DDF364">
                  <w:pPr>
                    <w:pStyle w:val="17"/>
                    <w:jc w:val="center"/>
                    <w:rPr>
                      <w:rFonts w:eastAsia="宋体"/>
                    </w:rPr>
                  </w:pPr>
                  <w:r>
                    <w:rPr>
                      <w:rFonts w:hint="eastAsia" w:eastAsia="宋体"/>
                    </w:rPr>
                    <w:t>界沟铺设</w:t>
                  </w:r>
                </w:p>
              </w:tc>
              <w:tc>
                <w:tcPr>
                  <w:tcW w:w="402" w:type="pct"/>
                  <w:shd w:val="clear" w:color="auto" w:fill="auto"/>
                  <w:vAlign w:val="center"/>
                </w:tcPr>
                <w:p w14:paraId="034CEA0D">
                  <w:pPr>
                    <w:pStyle w:val="17"/>
                    <w:jc w:val="center"/>
                    <w:rPr>
                      <w:rFonts w:eastAsia="宋体"/>
                    </w:rPr>
                  </w:pPr>
                  <w:r>
                    <w:rPr>
                      <w:rFonts w:hint="eastAsia" w:eastAsia="宋体"/>
                      <w:lang w:val="en-US" w:eastAsia="zh-CN"/>
                    </w:rPr>
                    <w:t>1</w:t>
                  </w:r>
                  <w:r>
                    <w:rPr>
                      <w:rFonts w:hint="eastAsia" w:eastAsia="宋体"/>
                    </w:rPr>
                    <w:t>套</w:t>
                  </w:r>
                </w:p>
              </w:tc>
              <w:tc>
                <w:tcPr>
                  <w:tcW w:w="868" w:type="pct"/>
                  <w:vMerge w:val="continue"/>
                  <w:shd w:val="clear" w:color="auto" w:fill="auto"/>
                  <w:vAlign w:val="center"/>
                </w:tcPr>
                <w:p w14:paraId="1D233A74">
                  <w:pPr>
                    <w:pStyle w:val="17"/>
                    <w:jc w:val="center"/>
                    <w:rPr>
                      <w:rFonts w:eastAsia="宋体"/>
                      <w:color w:val="000000" w:themeColor="text1"/>
                      <w14:textFill>
                        <w14:solidFill>
                          <w14:schemeClr w14:val="tx1"/>
                        </w14:solidFill>
                      </w14:textFill>
                    </w:rPr>
                  </w:pPr>
                </w:p>
              </w:tc>
              <w:tc>
                <w:tcPr>
                  <w:tcW w:w="678" w:type="pct"/>
                  <w:vMerge w:val="continue"/>
                  <w:shd w:val="clear" w:color="auto" w:fill="auto"/>
                  <w:vAlign w:val="center"/>
                </w:tcPr>
                <w:p w14:paraId="328BB0C1">
                  <w:pPr>
                    <w:pStyle w:val="17"/>
                    <w:jc w:val="center"/>
                    <w:rPr>
                      <w:rFonts w:eastAsia="宋体"/>
                      <w:color w:val="000000" w:themeColor="text1"/>
                      <w14:textFill>
                        <w14:solidFill>
                          <w14:schemeClr w14:val="tx1"/>
                        </w14:solidFill>
                      </w14:textFill>
                    </w:rPr>
                  </w:pPr>
                </w:p>
              </w:tc>
            </w:tr>
            <w:tr w14:paraId="12B804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pct"/>
                  <w:vMerge w:val="continue"/>
                  <w:shd w:val="clear" w:color="auto" w:fill="auto"/>
                  <w:vAlign w:val="center"/>
                </w:tcPr>
                <w:p w14:paraId="6B805D9A">
                  <w:pPr>
                    <w:pStyle w:val="17"/>
                    <w:jc w:val="center"/>
                    <w:rPr>
                      <w:rFonts w:eastAsia="宋体"/>
                    </w:rPr>
                  </w:pPr>
                </w:p>
              </w:tc>
              <w:tc>
                <w:tcPr>
                  <w:tcW w:w="413" w:type="pct"/>
                  <w:shd w:val="clear" w:color="auto" w:fill="auto"/>
                  <w:vAlign w:val="center"/>
                </w:tcPr>
                <w:p w14:paraId="757CD73D">
                  <w:pPr>
                    <w:pStyle w:val="17"/>
                    <w:jc w:val="center"/>
                    <w:rPr>
                      <w:rFonts w:eastAsia="宋体"/>
                    </w:rPr>
                  </w:pPr>
                  <w:r>
                    <w:rPr>
                      <w:rFonts w:eastAsia="宋体"/>
                    </w:rPr>
                    <w:t>3</w:t>
                  </w:r>
                </w:p>
              </w:tc>
              <w:tc>
                <w:tcPr>
                  <w:tcW w:w="1850" w:type="pct"/>
                  <w:shd w:val="clear" w:color="auto" w:fill="auto"/>
                  <w:vAlign w:val="center"/>
                </w:tcPr>
                <w:p w14:paraId="75452D5E">
                  <w:pPr>
                    <w:pStyle w:val="17"/>
                    <w:jc w:val="center"/>
                    <w:rPr>
                      <w:rFonts w:hint="default" w:eastAsia="宋体"/>
                      <w:lang w:val="en-US" w:eastAsia="zh-CN"/>
                    </w:rPr>
                  </w:pPr>
                  <w:r>
                    <w:rPr>
                      <w:rFonts w:hint="eastAsia" w:eastAsia="宋体"/>
                      <w:lang w:val="en-US" w:eastAsia="zh-CN"/>
                    </w:rPr>
                    <w:t>移动旱厕</w:t>
                  </w:r>
                </w:p>
              </w:tc>
              <w:tc>
                <w:tcPr>
                  <w:tcW w:w="402" w:type="pct"/>
                  <w:shd w:val="clear" w:color="auto" w:fill="auto"/>
                  <w:vAlign w:val="center"/>
                </w:tcPr>
                <w:p w14:paraId="20D2FB82">
                  <w:pPr>
                    <w:pStyle w:val="17"/>
                    <w:jc w:val="center"/>
                    <w:rPr>
                      <w:rFonts w:eastAsia="宋体"/>
                    </w:rPr>
                  </w:pPr>
                  <w:r>
                    <w:rPr>
                      <w:rFonts w:hint="eastAsia" w:eastAsia="宋体"/>
                      <w:lang w:val="en-US" w:eastAsia="zh-CN"/>
                    </w:rPr>
                    <w:t>1</w:t>
                  </w:r>
                  <w:r>
                    <w:rPr>
                      <w:rFonts w:hint="eastAsia" w:eastAsia="宋体"/>
                    </w:rPr>
                    <w:t>套</w:t>
                  </w:r>
                </w:p>
              </w:tc>
              <w:tc>
                <w:tcPr>
                  <w:tcW w:w="868" w:type="pct"/>
                  <w:vMerge w:val="continue"/>
                  <w:shd w:val="clear" w:color="auto" w:fill="auto"/>
                  <w:vAlign w:val="center"/>
                </w:tcPr>
                <w:p w14:paraId="1590962C">
                  <w:pPr>
                    <w:pStyle w:val="17"/>
                    <w:jc w:val="center"/>
                    <w:rPr>
                      <w:rFonts w:eastAsia="宋体"/>
                      <w:color w:val="000000" w:themeColor="text1"/>
                      <w14:textFill>
                        <w14:solidFill>
                          <w14:schemeClr w14:val="tx1"/>
                        </w14:solidFill>
                      </w14:textFill>
                    </w:rPr>
                  </w:pPr>
                </w:p>
              </w:tc>
              <w:tc>
                <w:tcPr>
                  <w:tcW w:w="678" w:type="pct"/>
                  <w:vMerge w:val="continue"/>
                  <w:shd w:val="clear" w:color="auto" w:fill="auto"/>
                  <w:vAlign w:val="center"/>
                </w:tcPr>
                <w:p w14:paraId="2810C7C6">
                  <w:pPr>
                    <w:pStyle w:val="17"/>
                    <w:jc w:val="center"/>
                    <w:rPr>
                      <w:rFonts w:eastAsia="宋体"/>
                      <w:color w:val="000000" w:themeColor="text1"/>
                      <w14:textFill>
                        <w14:solidFill>
                          <w14:schemeClr w14:val="tx1"/>
                        </w14:solidFill>
                      </w14:textFill>
                    </w:rPr>
                  </w:pPr>
                </w:p>
              </w:tc>
            </w:tr>
            <w:tr w14:paraId="640677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pct"/>
                  <w:shd w:val="clear" w:color="auto" w:fill="auto"/>
                  <w:vAlign w:val="center"/>
                </w:tcPr>
                <w:p w14:paraId="4E261F36">
                  <w:pPr>
                    <w:pStyle w:val="17"/>
                    <w:jc w:val="center"/>
                    <w:rPr>
                      <w:rFonts w:eastAsia="宋体"/>
                    </w:rPr>
                  </w:pPr>
                  <w:r>
                    <w:rPr>
                      <w:rFonts w:hint="eastAsia" w:eastAsia="宋体"/>
                    </w:rPr>
                    <w:t>噪声</w:t>
                  </w:r>
                </w:p>
              </w:tc>
              <w:tc>
                <w:tcPr>
                  <w:tcW w:w="413" w:type="pct"/>
                  <w:shd w:val="clear" w:color="auto" w:fill="auto"/>
                  <w:vAlign w:val="center"/>
                </w:tcPr>
                <w:p w14:paraId="6F39C69A">
                  <w:pPr>
                    <w:pStyle w:val="17"/>
                    <w:jc w:val="center"/>
                    <w:rPr>
                      <w:rFonts w:eastAsia="宋体"/>
                    </w:rPr>
                  </w:pPr>
                  <w:r>
                    <w:rPr>
                      <w:rFonts w:eastAsia="宋体"/>
                    </w:rPr>
                    <w:t>1</w:t>
                  </w:r>
                </w:p>
              </w:tc>
              <w:tc>
                <w:tcPr>
                  <w:tcW w:w="1850" w:type="pct"/>
                  <w:shd w:val="clear" w:color="auto" w:fill="auto"/>
                  <w:vAlign w:val="center"/>
                </w:tcPr>
                <w:p w14:paraId="330C4093">
                  <w:pPr>
                    <w:pStyle w:val="17"/>
                    <w:jc w:val="center"/>
                    <w:rPr>
                      <w:rFonts w:eastAsia="宋体"/>
                    </w:rPr>
                  </w:pPr>
                  <w:r>
                    <w:rPr>
                      <w:rFonts w:hint="eastAsia" w:eastAsia="宋体"/>
                    </w:rPr>
                    <w:t>减震、消声、隔声装置</w:t>
                  </w:r>
                </w:p>
              </w:tc>
              <w:tc>
                <w:tcPr>
                  <w:tcW w:w="402" w:type="pct"/>
                  <w:shd w:val="clear" w:color="auto" w:fill="auto"/>
                  <w:vAlign w:val="center"/>
                </w:tcPr>
                <w:p w14:paraId="42FFAFA4">
                  <w:pPr>
                    <w:pStyle w:val="17"/>
                    <w:jc w:val="center"/>
                    <w:rPr>
                      <w:rFonts w:eastAsia="宋体"/>
                    </w:rPr>
                  </w:pPr>
                  <w:r>
                    <w:rPr>
                      <w:rFonts w:hint="eastAsia" w:eastAsia="宋体"/>
                      <w:lang w:val="en-US" w:eastAsia="zh-CN"/>
                    </w:rPr>
                    <w:t>1</w:t>
                  </w:r>
                  <w:r>
                    <w:rPr>
                      <w:rFonts w:hint="eastAsia" w:eastAsia="宋体"/>
                    </w:rPr>
                    <w:t>套</w:t>
                  </w:r>
                </w:p>
              </w:tc>
              <w:tc>
                <w:tcPr>
                  <w:tcW w:w="868" w:type="pct"/>
                  <w:shd w:val="clear" w:color="auto" w:fill="auto"/>
                  <w:vAlign w:val="center"/>
                </w:tcPr>
                <w:p w14:paraId="7A58D31C">
                  <w:pPr>
                    <w:pStyle w:val="17"/>
                    <w:jc w:val="center"/>
                    <w:rPr>
                      <w:rFonts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5</w:t>
                  </w:r>
                </w:p>
              </w:tc>
              <w:tc>
                <w:tcPr>
                  <w:tcW w:w="678" w:type="pct"/>
                  <w:vMerge w:val="continue"/>
                  <w:shd w:val="clear" w:color="auto" w:fill="auto"/>
                  <w:vAlign w:val="center"/>
                </w:tcPr>
                <w:p w14:paraId="48237028">
                  <w:pPr>
                    <w:pStyle w:val="17"/>
                    <w:jc w:val="center"/>
                    <w:rPr>
                      <w:rFonts w:hint="eastAsia" w:eastAsia="宋体"/>
                      <w:color w:val="000000" w:themeColor="text1"/>
                      <w:lang w:val="en-US" w:eastAsia="zh-CN"/>
                      <w14:textFill>
                        <w14:solidFill>
                          <w14:schemeClr w14:val="tx1"/>
                        </w14:solidFill>
                      </w14:textFill>
                    </w:rPr>
                  </w:pPr>
                </w:p>
              </w:tc>
            </w:tr>
            <w:tr w14:paraId="731945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pct"/>
                  <w:shd w:val="clear" w:color="auto" w:fill="auto"/>
                  <w:vAlign w:val="center"/>
                </w:tcPr>
                <w:p w14:paraId="2A8459A5">
                  <w:pPr>
                    <w:pStyle w:val="17"/>
                    <w:jc w:val="center"/>
                    <w:rPr>
                      <w:rFonts w:eastAsia="宋体"/>
                    </w:rPr>
                  </w:pPr>
                  <w:r>
                    <w:rPr>
                      <w:rFonts w:hint="eastAsia" w:eastAsia="宋体"/>
                    </w:rPr>
                    <w:t>固废</w:t>
                  </w:r>
                </w:p>
              </w:tc>
              <w:tc>
                <w:tcPr>
                  <w:tcW w:w="413" w:type="pct"/>
                  <w:shd w:val="clear" w:color="auto" w:fill="auto"/>
                  <w:vAlign w:val="center"/>
                </w:tcPr>
                <w:p w14:paraId="4BEB8DE6">
                  <w:pPr>
                    <w:pStyle w:val="17"/>
                    <w:jc w:val="center"/>
                    <w:rPr>
                      <w:rFonts w:eastAsia="宋体"/>
                    </w:rPr>
                  </w:pPr>
                  <w:r>
                    <w:rPr>
                      <w:rFonts w:eastAsia="宋体"/>
                    </w:rPr>
                    <w:t>1</w:t>
                  </w:r>
                </w:p>
              </w:tc>
              <w:tc>
                <w:tcPr>
                  <w:tcW w:w="1850" w:type="pct"/>
                  <w:shd w:val="clear" w:color="auto" w:fill="auto"/>
                  <w:vAlign w:val="center"/>
                </w:tcPr>
                <w:p w14:paraId="17A4E32E">
                  <w:pPr>
                    <w:pStyle w:val="17"/>
                    <w:ind w:firstLine="0" w:firstLineChars="0"/>
                    <w:jc w:val="center"/>
                    <w:rPr>
                      <w:rFonts w:hint="default" w:eastAsia="宋体"/>
                      <w:lang w:val="en-US" w:eastAsia="zh-CN"/>
                    </w:rPr>
                  </w:pPr>
                  <w:r>
                    <w:rPr>
                      <w:rFonts w:hint="eastAsia" w:eastAsia="宋体"/>
                      <w:lang w:val="en-US" w:eastAsia="zh-CN"/>
                    </w:rPr>
                    <w:t>水基</w:t>
                  </w:r>
                  <w:r>
                    <w:rPr>
                      <w:rFonts w:hint="eastAsia" w:eastAsia="宋体"/>
                    </w:rPr>
                    <w:t>泥浆、岩屑</w:t>
                  </w:r>
                  <w:r>
                    <w:rPr>
                      <w:rFonts w:hint="eastAsia" w:eastAsia="宋体"/>
                      <w:lang w:val="en-US" w:eastAsia="zh-CN"/>
                    </w:rPr>
                    <w:t>收集罐</w:t>
                  </w:r>
                </w:p>
              </w:tc>
              <w:tc>
                <w:tcPr>
                  <w:tcW w:w="402" w:type="pct"/>
                  <w:shd w:val="clear" w:color="auto" w:fill="auto"/>
                  <w:vAlign w:val="center"/>
                </w:tcPr>
                <w:p w14:paraId="760C6AC7">
                  <w:pPr>
                    <w:pStyle w:val="17"/>
                    <w:jc w:val="center"/>
                    <w:rPr>
                      <w:rFonts w:eastAsia="宋体"/>
                    </w:rPr>
                  </w:pPr>
                  <w:r>
                    <w:rPr>
                      <w:rFonts w:hint="eastAsia" w:eastAsia="宋体"/>
                      <w:lang w:val="en-US" w:eastAsia="zh-CN"/>
                    </w:rPr>
                    <w:t>1</w:t>
                  </w:r>
                  <w:r>
                    <w:rPr>
                      <w:rFonts w:hint="eastAsia" w:eastAsia="宋体"/>
                    </w:rPr>
                    <w:t>套</w:t>
                  </w:r>
                </w:p>
              </w:tc>
              <w:tc>
                <w:tcPr>
                  <w:tcW w:w="868" w:type="pct"/>
                  <w:shd w:val="clear" w:color="auto" w:fill="auto"/>
                  <w:vAlign w:val="center"/>
                </w:tcPr>
                <w:p w14:paraId="629D1905">
                  <w:pPr>
                    <w:pStyle w:val="17"/>
                    <w:jc w:val="center"/>
                    <w:rPr>
                      <w:rFonts w:hint="default" w:eastAsia="宋体"/>
                      <w:color w:val="000000" w:themeColor="text1"/>
                      <w:lang w:val="en-US"/>
                      <w14:textFill>
                        <w14:solidFill>
                          <w14:schemeClr w14:val="tx1"/>
                        </w14:solidFill>
                      </w14:textFill>
                    </w:rPr>
                  </w:pPr>
                  <w:r>
                    <w:rPr>
                      <w:rFonts w:hint="eastAsia" w:eastAsia="宋体"/>
                      <w:color w:val="000000" w:themeColor="text1"/>
                      <w:lang w:val="en-US" w:eastAsia="zh-CN"/>
                      <w14:textFill>
                        <w14:solidFill>
                          <w14:schemeClr w14:val="tx1"/>
                        </w14:solidFill>
                      </w14:textFill>
                    </w:rPr>
                    <w:t>100</w:t>
                  </w:r>
                </w:p>
              </w:tc>
              <w:tc>
                <w:tcPr>
                  <w:tcW w:w="678" w:type="pct"/>
                  <w:vMerge w:val="continue"/>
                  <w:shd w:val="clear" w:color="auto" w:fill="auto"/>
                  <w:vAlign w:val="center"/>
                </w:tcPr>
                <w:p w14:paraId="55C609B8">
                  <w:pPr>
                    <w:pStyle w:val="17"/>
                    <w:jc w:val="center"/>
                    <w:rPr>
                      <w:rFonts w:hint="eastAsia" w:eastAsia="宋体"/>
                      <w:color w:val="000000" w:themeColor="text1"/>
                      <w:lang w:val="en-US" w:eastAsia="zh-CN"/>
                      <w14:textFill>
                        <w14:solidFill>
                          <w14:schemeClr w14:val="tx1"/>
                        </w14:solidFill>
                      </w14:textFill>
                    </w:rPr>
                  </w:pPr>
                </w:p>
              </w:tc>
            </w:tr>
            <w:tr w14:paraId="530F85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86" w:type="pct"/>
                  <w:shd w:val="clear" w:color="auto" w:fill="auto"/>
                  <w:vAlign w:val="center"/>
                </w:tcPr>
                <w:p w14:paraId="4A8CCBAC">
                  <w:pPr>
                    <w:pStyle w:val="17"/>
                    <w:jc w:val="center"/>
                    <w:rPr>
                      <w:rFonts w:eastAsia="宋体"/>
                    </w:rPr>
                  </w:pPr>
                  <w:r>
                    <w:rPr>
                      <w:rFonts w:hint="eastAsia" w:eastAsia="宋体"/>
                    </w:rPr>
                    <w:t>地</w:t>
                  </w:r>
                  <w:r>
                    <w:rPr>
                      <w:rFonts w:eastAsia="宋体"/>
                    </w:rPr>
                    <w:t>下水</w:t>
                  </w:r>
                  <w:r>
                    <w:rPr>
                      <w:rStyle w:val="15"/>
                      <w:rFonts w:eastAsia="宋体"/>
                      <w:szCs w:val="24"/>
                    </w:rPr>
                    <w:t>、土壤</w:t>
                  </w:r>
                </w:p>
              </w:tc>
              <w:tc>
                <w:tcPr>
                  <w:tcW w:w="413" w:type="pct"/>
                  <w:shd w:val="clear" w:color="auto" w:fill="auto"/>
                  <w:vAlign w:val="center"/>
                </w:tcPr>
                <w:p w14:paraId="3D438747">
                  <w:pPr>
                    <w:pStyle w:val="17"/>
                    <w:jc w:val="center"/>
                    <w:rPr>
                      <w:rFonts w:eastAsia="宋体"/>
                    </w:rPr>
                  </w:pPr>
                  <w:r>
                    <w:rPr>
                      <w:rFonts w:eastAsia="宋体"/>
                    </w:rPr>
                    <w:t>1</w:t>
                  </w:r>
                </w:p>
              </w:tc>
              <w:tc>
                <w:tcPr>
                  <w:tcW w:w="1850" w:type="pct"/>
                  <w:shd w:val="clear" w:color="auto" w:fill="auto"/>
                  <w:vAlign w:val="center"/>
                </w:tcPr>
                <w:p w14:paraId="59FD6849">
                  <w:pPr>
                    <w:pStyle w:val="17"/>
                    <w:jc w:val="center"/>
                    <w:rPr>
                      <w:rFonts w:eastAsia="宋体"/>
                    </w:rPr>
                  </w:pPr>
                  <w:r>
                    <w:rPr>
                      <w:rFonts w:hint="eastAsia" w:eastAsia="宋体"/>
                    </w:rPr>
                    <w:t>井场防渗</w:t>
                  </w:r>
                </w:p>
              </w:tc>
              <w:tc>
                <w:tcPr>
                  <w:tcW w:w="402" w:type="pct"/>
                  <w:shd w:val="clear" w:color="auto" w:fill="auto"/>
                  <w:vAlign w:val="center"/>
                </w:tcPr>
                <w:p w14:paraId="614F6FDE">
                  <w:pPr>
                    <w:pStyle w:val="17"/>
                    <w:jc w:val="center"/>
                    <w:rPr>
                      <w:rFonts w:eastAsia="宋体"/>
                    </w:rPr>
                  </w:pPr>
                  <w:r>
                    <w:rPr>
                      <w:rFonts w:hint="eastAsia" w:eastAsia="宋体"/>
                      <w:lang w:val="en-US" w:eastAsia="zh-CN"/>
                    </w:rPr>
                    <w:t>/</w:t>
                  </w:r>
                </w:p>
              </w:tc>
              <w:tc>
                <w:tcPr>
                  <w:tcW w:w="868" w:type="pct"/>
                  <w:shd w:val="clear" w:color="auto" w:fill="auto"/>
                  <w:vAlign w:val="center"/>
                </w:tcPr>
                <w:p w14:paraId="2FC8AC8F">
                  <w:pPr>
                    <w:pStyle w:val="17"/>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15</w:t>
                  </w:r>
                </w:p>
              </w:tc>
              <w:tc>
                <w:tcPr>
                  <w:tcW w:w="678" w:type="pct"/>
                  <w:vMerge w:val="continue"/>
                  <w:shd w:val="clear" w:color="auto" w:fill="auto"/>
                  <w:vAlign w:val="center"/>
                </w:tcPr>
                <w:p w14:paraId="2548A18C">
                  <w:pPr>
                    <w:pStyle w:val="17"/>
                    <w:jc w:val="center"/>
                    <w:rPr>
                      <w:rFonts w:hint="eastAsia" w:eastAsia="宋体"/>
                      <w:color w:val="000000" w:themeColor="text1"/>
                      <w:lang w:val="en-US" w:eastAsia="zh-CN"/>
                      <w14:textFill>
                        <w14:solidFill>
                          <w14:schemeClr w14:val="tx1"/>
                        </w14:solidFill>
                      </w14:textFill>
                    </w:rPr>
                  </w:pPr>
                </w:p>
              </w:tc>
            </w:tr>
            <w:tr w14:paraId="26E674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pct"/>
                  <w:shd w:val="clear" w:color="auto" w:fill="auto"/>
                  <w:vAlign w:val="center"/>
                </w:tcPr>
                <w:p w14:paraId="5788032C">
                  <w:pPr>
                    <w:pStyle w:val="17"/>
                    <w:jc w:val="center"/>
                    <w:rPr>
                      <w:rFonts w:eastAsia="宋体"/>
                    </w:rPr>
                  </w:pPr>
                  <w:r>
                    <w:rPr>
                      <w:rFonts w:hint="eastAsia" w:eastAsia="宋体"/>
                    </w:rPr>
                    <w:t>环境风险</w:t>
                  </w:r>
                </w:p>
              </w:tc>
              <w:tc>
                <w:tcPr>
                  <w:tcW w:w="413" w:type="pct"/>
                  <w:shd w:val="clear" w:color="auto" w:fill="auto"/>
                  <w:vAlign w:val="center"/>
                </w:tcPr>
                <w:p w14:paraId="58E58C4C">
                  <w:pPr>
                    <w:pStyle w:val="17"/>
                    <w:jc w:val="center"/>
                    <w:rPr>
                      <w:rFonts w:eastAsia="宋体"/>
                    </w:rPr>
                  </w:pPr>
                  <w:r>
                    <w:rPr>
                      <w:rFonts w:eastAsia="宋体"/>
                    </w:rPr>
                    <w:t>1</w:t>
                  </w:r>
                </w:p>
              </w:tc>
              <w:tc>
                <w:tcPr>
                  <w:tcW w:w="1850" w:type="pct"/>
                  <w:shd w:val="clear" w:color="auto" w:fill="auto"/>
                  <w:vAlign w:val="center"/>
                </w:tcPr>
                <w:p w14:paraId="6115ED6A">
                  <w:pPr>
                    <w:pStyle w:val="17"/>
                    <w:jc w:val="center"/>
                    <w:rPr>
                      <w:rFonts w:eastAsia="宋体"/>
                    </w:rPr>
                  </w:pPr>
                  <w:r>
                    <w:rPr>
                      <w:rFonts w:hint="eastAsia" w:eastAsia="宋体"/>
                    </w:rPr>
                    <w:t>配备井控设备、灭火器、消防器材、防爆电器系统，制定应急预案</w:t>
                  </w:r>
                </w:p>
              </w:tc>
              <w:tc>
                <w:tcPr>
                  <w:tcW w:w="402" w:type="pct"/>
                  <w:shd w:val="clear" w:color="auto" w:fill="auto"/>
                  <w:vAlign w:val="center"/>
                </w:tcPr>
                <w:p w14:paraId="784AB38E">
                  <w:pPr>
                    <w:pStyle w:val="17"/>
                    <w:jc w:val="center"/>
                    <w:rPr>
                      <w:rFonts w:eastAsia="宋体"/>
                    </w:rPr>
                  </w:pPr>
                  <w:r>
                    <w:rPr>
                      <w:rFonts w:hint="eastAsia" w:eastAsia="宋体"/>
                      <w:lang w:val="en-US" w:eastAsia="zh-CN"/>
                    </w:rPr>
                    <w:t>1</w:t>
                  </w:r>
                  <w:r>
                    <w:rPr>
                      <w:rFonts w:hint="eastAsia" w:eastAsia="宋体"/>
                    </w:rPr>
                    <w:t>套</w:t>
                  </w:r>
                </w:p>
              </w:tc>
              <w:tc>
                <w:tcPr>
                  <w:tcW w:w="868" w:type="pct"/>
                  <w:shd w:val="clear" w:color="auto" w:fill="auto"/>
                  <w:vAlign w:val="center"/>
                </w:tcPr>
                <w:p w14:paraId="525C6951">
                  <w:pPr>
                    <w:pStyle w:val="17"/>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5</w:t>
                  </w:r>
                </w:p>
              </w:tc>
              <w:tc>
                <w:tcPr>
                  <w:tcW w:w="678" w:type="pct"/>
                  <w:vMerge w:val="continue"/>
                  <w:shd w:val="clear" w:color="auto" w:fill="auto"/>
                  <w:vAlign w:val="center"/>
                </w:tcPr>
                <w:p w14:paraId="589B5C10">
                  <w:pPr>
                    <w:pStyle w:val="17"/>
                    <w:jc w:val="center"/>
                    <w:rPr>
                      <w:rFonts w:hint="eastAsia" w:eastAsia="宋体"/>
                      <w:color w:val="000000" w:themeColor="text1"/>
                      <w:lang w:val="en-US" w:eastAsia="zh-CN"/>
                      <w14:textFill>
                        <w14:solidFill>
                          <w14:schemeClr w14:val="tx1"/>
                        </w14:solidFill>
                      </w14:textFill>
                    </w:rPr>
                  </w:pPr>
                </w:p>
              </w:tc>
            </w:tr>
            <w:tr w14:paraId="092D34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pct"/>
                  <w:shd w:val="clear" w:color="auto" w:fill="auto"/>
                  <w:vAlign w:val="center"/>
                </w:tcPr>
                <w:p w14:paraId="0D799131">
                  <w:pPr>
                    <w:pStyle w:val="17"/>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宋体"/>
                      <w:color w:val="000000" w:themeColor="text1"/>
                      <w:lang w:eastAsia="zh-CN"/>
                      <w14:textFill>
                        <w14:solidFill>
                          <w14:schemeClr w14:val="tx1"/>
                        </w14:solidFill>
                      </w14:textFill>
                    </w:rPr>
                    <w:t>土地复垦等</w:t>
                  </w:r>
                </w:p>
              </w:tc>
              <w:tc>
                <w:tcPr>
                  <w:tcW w:w="413" w:type="pct"/>
                  <w:shd w:val="clear" w:color="auto" w:fill="auto"/>
                  <w:vAlign w:val="center"/>
                </w:tcPr>
                <w:p w14:paraId="4753EF66">
                  <w:pPr>
                    <w:pStyle w:val="17"/>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宋体"/>
                      <w:color w:val="000000" w:themeColor="text1"/>
                      <w:lang w:val="en-US" w:eastAsia="zh-CN"/>
                      <w14:textFill>
                        <w14:solidFill>
                          <w14:schemeClr w14:val="tx1"/>
                        </w14:solidFill>
                      </w14:textFill>
                    </w:rPr>
                    <w:t>1</w:t>
                  </w:r>
                </w:p>
              </w:tc>
              <w:tc>
                <w:tcPr>
                  <w:tcW w:w="1850" w:type="pct"/>
                  <w:shd w:val="clear" w:color="auto" w:fill="auto"/>
                  <w:vAlign w:val="center"/>
                </w:tcPr>
                <w:p w14:paraId="4A80EAF4">
                  <w:pPr>
                    <w:pStyle w:val="17"/>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宋体"/>
                      <w:color w:val="000000" w:themeColor="text1"/>
                      <w:lang w:eastAsia="zh-CN"/>
                      <w14:textFill>
                        <w14:solidFill>
                          <w14:schemeClr w14:val="tx1"/>
                        </w14:solidFill>
                      </w14:textFill>
                    </w:rPr>
                    <w:t>表面绿化，防止水土流失，项目结束后，进行土地复垦，恢复原貌</w:t>
                  </w:r>
                </w:p>
              </w:tc>
              <w:tc>
                <w:tcPr>
                  <w:tcW w:w="402" w:type="pct"/>
                  <w:shd w:val="clear" w:color="auto" w:fill="auto"/>
                  <w:vAlign w:val="center"/>
                </w:tcPr>
                <w:p w14:paraId="6C6C22C6">
                  <w:pPr>
                    <w:pStyle w:val="17"/>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宋体"/>
                      <w:color w:val="000000" w:themeColor="text1"/>
                      <w:lang w:val="en-US" w:eastAsia="zh-CN"/>
                      <w14:textFill>
                        <w14:solidFill>
                          <w14:schemeClr w14:val="tx1"/>
                        </w14:solidFill>
                      </w14:textFill>
                    </w:rPr>
                    <w:t>/</w:t>
                  </w:r>
                </w:p>
              </w:tc>
              <w:tc>
                <w:tcPr>
                  <w:tcW w:w="868" w:type="pct"/>
                  <w:shd w:val="clear" w:color="auto" w:fill="auto"/>
                  <w:vAlign w:val="center"/>
                </w:tcPr>
                <w:p w14:paraId="3E0F7376">
                  <w:pPr>
                    <w:pStyle w:val="17"/>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宋体"/>
                      <w:color w:val="000000" w:themeColor="text1"/>
                      <w:lang w:val="en-US" w:eastAsia="zh-CN"/>
                      <w14:textFill>
                        <w14:solidFill>
                          <w14:schemeClr w14:val="tx1"/>
                        </w14:solidFill>
                      </w14:textFill>
                    </w:rPr>
                    <w:t>40</w:t>
                  </w:r>
                </w:p>
              </w:tc>
              <w:tc>
                <w:tcPr>
                  <w:tcW w:w="678" w:type="pct"/>
                  <w:vMerge w:val="continue"/>
                  <w:shd w:val="clear" w:color="auto" w:fill="auto"/>
                  <w:vAlign w:val="center"/>
                </w:tcPr>
                <w:p w14:paraId="79827E26">
                  <w:pPr>
                    <w:pStyle w:val="17"/>
                    <w:ind w:firstLine="0" w:firstLineChars="0"/>
                    <w:jc w:val="center"/>
                    <w:rPr>
                      <w:rFonts w:hint="eastAsia" w:eastAsia="宋体"/>
                      <w:color w:val="000000" w:themeColor="text1"/>
                      <w:lang w:val="en-US" w:eastAsia="zh-CN"/>
                      <w14:textFill>
                        <w14:solidFill>
                          <w14:schemeClr w14:val="tx1"/>
                        </w14:solidFill>
                      </w14:textFill>
                    </w:rPr>
                  </w:pPr>
                </w:p>
              </w:tc>
            </w:tr>
            <w:tr w14:paraId="144B40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0" w:type="pct"/>
                  <w:gridSpan w:val="3"/>
                  <w:shd w:val="clear" w:color="auto" w:fill="auto"/>
                  <w:vAlign w:val="center"/>
                </w:tcPr>
                <w:p w14:paraId="15599C2C">
                  <w:pPr>
                    <w:pStyle w:val="17"/>
                    <w:jc w:val="center"/>
                    <w:rPr>
                      <w:rFonts w:eastAsia="宋体"/>
                    </w:rPr>
                  </w:pPr>
                  <w:r>
                    <w:rPr>
                      <w:rFonts w:hint="eastAsia" w:eastAsia="宋体"/>
                    </w:rPr>
                    <w:t>合计</w:t>
                  </w:r>
                </w:p>
              </w:tc>
              <w:tc>
                <w:tcPr>
                  <w:tcW w:w="402" w:type="pct"/>
                  <w:shd w:val="clear" w:color="auto" w:fill="auto"/>
                  <w:vAlign w:val="center"/>
                </w:tcPr>
                <w:p w14:paraId="62633A86">
                  <w:pPr>
                    <w:pStyle w:val="17"/>
                    <w:jc w:val="center"/>
                    <w:rPr>
                      <w:rFonts w:eastAsia="宋体"/>
                    </w:rPr>
                  </w:pPr>
                  <w:r>
                    <w:rPr>
                      <w:rFonts w:eastAsia="宋体"/>
                    </w:rPr>
                    <w:t>/</w:t>
                  </w:r>
                </w:p>
              </w:tc>
              <w:tc>
                <w:tcPr>
                  <w:tcW w:w="868" w:type="pct"/>
                  <w:shd w:val="clear" w:color="auto" w:fill="auto"/>
                  <w:vAlign w:val="center"/>
                </w:tcPr>
                <w:p w14:paraId="3EE6879E">
                  <w:pPr>
                    <w:pStyle w:val="17"/>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200</w:t>
                  </w:r>
                </w:p>
              </w:tc>
              <w:tc>
                <w:tcPr>
                  <w:tcW w:w="678" w:type="pct"/>
                  <w:vMerge w:val="continue"/>
                  <w:shd w:val="clear" w:color="auto" w:fill="auto"/>
                  <w:vAlign w:val="center"/>
                </w:tcPr>
                <w:p w14:paraId="051CAC2B">
                  <w:pPr>
                    <w:pStyle w:val="17"/>
                    <w:jc w:val="center"/>
                    <w:rPr>
                      <w:rFonts w:hint="eastAsia" w:eastAsia="宋体"/>
                      <w:color w:val="000000" w:themeColor="text1"/>
                      <w:lang w:val="en-US" w:eastAsia="zh-CN"/>
                      <w14:textFill>
                        <w14:solidFill>
                          <w14:schemeClr w14:val="tx1"/>
                        </w14:solidFill>
                      </w14:textFill>
                    </w:rPr>
                  </w:pPr>
                </w:p>
              </w:tc>
            </w:tr>
          </w:tbl>
          <w:p w14:paraId="3D2E171E">
            <w:pPr>
              <w:jc w:val="center"/>
            </w:pPr>
          </w:p>
          <w:p w14:paraId="7E2B3FA0">
            <w:pPr>
              <w:pStyle w:val="3"/>
            </w:pPr>
          </w:p>
        </w:tc>
      </w:tr>
    </w:tbl>
    <w:p w14:paraId="144D728B">
      <w:pPr>
        <w:rPr>
          <w:rFonts w:eastAsia="宋体"/>
        </w:rPr>
        <w:sectPr>
          <w:pgSz w:w="11905" w:h="16838"/>
          <w:pgMar w:top="1440" w:right="1803" w:bottom="1440" w:left="1803"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p w14:paraId="12F20336">
      <w:pPr>
        <w:pStyle w:val="9"/>
        <w:spacing w:before="0" w:beforeAutospacing="0" w:after="0" w:afterAutospacing="0"/>
        <w:jc w:val="center"/>
        <w:outlineLvl w:val="0"/>
        <w:rPr>
          <w:rFonts w:ascii="Times New Roman" w:hAnsi="Times New Roman" w:eastAsia="宋体"/>
          <w:snapToGrid w:val="0"/>
          <w:sz w:val="30"/>
          <w:szCs w:val="30"/>
        </w:rPr>
      </w:pPr>
      <w:r>
        <w:rPr>
          <w:rFonts w:hint="eastAsia" w:ascii="黑体" w:hAnsi="黑体" w:eastAsia="黑体" w:cs="黑体"/>
          <w:b w:val="0"/>
          <w:bCs w:val="0"/>
          <w:snapToGrid w:val="0"/>
          <w:sz w:val="30"/>
          <w:szCs w:val="30"/>
        </w:rPr>
        <w:t>六、生态环境保护措施监督检查清单</w:t>
      </w:r>
    </w:p>
    <w:tbl>
      <w:tblPr>
        <w:tblStyle w:val="1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8"/>
        <w:gridCol w:w="4398"/>
        <w:gridCol w:w="1647"/>
        <w:gridCol w:w="980"/>
        <w:gridCol w:w="757"/>
      </w:tblGrid>
      <w:tr w14:paraId="7826A0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3" w:type="pct"/>
            <w:vMerge w:val="restart"/>
            <w:tcBorders>
              <w:tl2br w:val="single" w:color="auto" w:sz="4" w:space="0"/>
            </w:tcBorders>
          </w:tcPr>
          <w:p w14:paraId="4405E3BA">
            <w:pPr>
              <w:pStyle w:val="17"/>
              <w:rPr>
                <w:rFonts w:eastAsia="宋体"/>
              </w:rPr>
            </w:pPr>
            <w:r>
              <w:rPr>
                <w:rFonts w:eastAsia="宋体"/>
              </w:rPr>
              <w:t xml:space="preserve">内容 </w:t>
            </w:r>
            <w:r>
              <w:rPr>
                <w:rFonts w:hint="eastAsia" w:eastAsia="宋体"/>
              </w:rPr>
              <w:t xml:space="preserve">  </w:t>
            </w:r>
            <w:r>
              <w:rPr>
                <w:rFonts w:eastAsia="宋体"/>
              </w:rPr>
              <w:t xml:space="preserve">      </w:t>
            </w:r>
          </w:p>
          <w:p w14:paraId="59887C59">
            <w:pPr>
              <w:pStyle w:val="17"/>
              <w:rPr>
                <w:rFonts w:eastAsia="宋体"/>
              </w:rPr>
            </w:pPr>
          </w:p>
          <w:p w14:paraId="6B217F8A">
            <w:pPr>
              <w:pStyle w:val="17"/>
              <w:rPr>
                <w:rFonts w:eastAsia="宋体"/>
              </w:rPr>
            </w:pPr>
            <w:r>
              <w:rPr>
                <w:rFonts w:eastAsia="宋体"/>
              </w:rPr>
              <w:t xml:space="preserve">             </w:t>
            </w:r>
          </w:p>
          <w:p w14:paraId="1D452E1D">
            <w:pPr>
              <w:pStyle w:val="17"/>
              <w:rPr>
                <w:rFonts w:eastAsia="宋体"/>
              </w:rPr>
            </w:pPr>
            <w:r>
              <w:rPr>
                <w:rFonts w:eastAsia="宋体"/>
              </w:rPr>
              <w:t xml:space="preserve">  </w:t>
            </w:r>
          </w:p>
          <w:p w14:paraId="03F760AC">
            <w:pPr>
              <w:pStyle w:val="17"/>
              <w:rPr>
                <w:rFonts w:eastAsia="宋体"/>
              </w:rPr>
            </w:pPr>
            <w:r>
              <w:rPr>
                <w:rFonts w:eastAsia="宋体"/>
              </w:rPr>
              <w:t>要素</w:t>
            </w:r>
          </w:p>
        </w:tc>
        <w:tc>
          <w:tcPr>
            <w:tcW w:w="3547" w:type="pct"/>
            <w:gridSpan w:val="2"/>
            <w:vAlign w:val="center"/>
          </w:tcPr>
          <w:p w14:paraId="5A6BB4FC">
            <w:pPr>
              <w:pStyle w:val="17"/>
              <w:rPr>
                <w:rFonts w:eastAsia="宋体"/>
              </w:rPr>
            </w:pPr>
            <w:r>
              <w:rPr>
                <w:rFonts w:eastAsia="宋体"/>
              </w:rPr>
              <w:t>施工期</w:t>
            </w:r>
          </w:p>
        </w:tc>
        <w:tc>
          <w:tcPr>
            <w:tcW w:w="1019" w:type="pct"/>
            <w:gridSpan w:val="2"/>
            <w:vAlign w:val="center"/>
          </w:tcPr>
          <w:p w14:paraId="7938EA16">
            <w:pPr>
              <w:pStyle w:val="17"/>
              <w:rPr>
                <w:rFonts w:eastAsia="宋体"/>
              </w:rPr>
            </w:pPr>
            <w:r>
              <w:rPr>
                <w:rFonts w:eastAsia="宋体"/>
              </w:rPr>
              <w:t>运营期</w:t>
            </w:r>
          </w:p>
        </w:tc>
      </w:tr>
      <w:tr w14:paraId="18D1EB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3" w:type="pct"/>
            <w:vMerge w:val="continue"/>
          </w:tcPr>
          <w:p w14:paraId="70CF8B84">
            <w:pPr>
              <w:pStyle w:val="17"/>
              <w:rPr>
                <w:rFonts w:eastAsia="宋体"/>
              </w:rPr>
            </w:pPr>
          </w:p>
        </w:tc>
        <w:tc>
          <w:tcPr>
            <w:tcW w:w="2581" w:type="pct"/>
            <w:vAlign w:val="center"/>
          </w:tcPr>
          <w:p w14:paraId="3631765E">
            <w:pPr>
              <w:pStyle w:val="17"/>
              <w:rPr>
                <w:rFonts w:eastAsia="宋体"/>
              </w:rPr>
            </w:pPr>
            <w:r>
              <w:rPr>
                <w:rFonts w:eastAsia="宋体"/>
              </w:rPr>
              <w:t>环境保护措施</w:t>
            </w:r>
          </w:p>
        </w:tc>
        <w:tc>
          <w:tcPr>
            <w:tcW w:w="966" w:type="pct"/>
            <w:vAlign w:val="center"/>
          </w:tcPr>
          <w:p w14:paraId="73E06B2E">
            <w:pPr>
              <w:pStyle w:val="17"/>
              <w:rPr>
                <w:rFonts w:eastAsia="宋体"/>
              </w:rPr>
            </w:pPr>
            <w:r>
              <w:rPr>
                <w:rFonts w:eastAsia="宋体"/>
              </w:rPr>
              <w:t>验收要求</w:t>
            </w:r>
          </w:p>
        </w:tc>
        <w:tc>
          <w:tcPr>
            <w:tcW w:w="575" w:type="pct"/>
            <w:vAlign w:val="center"/>
          </w:tcPr>
          <w:p w14:paraId="663D5344">
            <w:pPr>
              <w:pStyle w:val="17"/>
              <w:rPr>
                <w:rFonts w:eastAsia="宋体"/>
              </w:rPr>
            </w:pPr>
            <w:r>
              <w:rPr>
                <w:rFonts w:eastAsia="宋体"/>
              </w:rPr>
              <w:t>环境保护措施</w:t>
            </w:r>
          </w:p>
        </w:tc>
        <w:tc>
          <w:tcPr>
            <w:tcW w:w="444" w:type="pct"/>
            <w:vAlign w:val="center"/>
          </w:tcPr>
          <w:p w14:paraId="439DEE6F">
            <w:pPr>
              <w:pStyle w:val="17"/>
              <w:rPr>
                <w:rFonts w:eastAsia="宋体"/>
              </w:rPr>
            </w:pPr>
            <w:r>
              <w:rPr>
                <w:rFonts w:eastAsia="宋体"/>
              </w:rPr>
              <w:t>验收要求</w:t>
            </w:r>
          </w:p>
        </w:tc>
      </w:tr>
      <w:tr w14:paraId="6B7F40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3" w:type="pct"/>
            <w:vAlign w:val="center"/>
          </w:tcPr>
          <w:p w14:paraId="67EEE0CD">
            <w:pPr>
              <w:pStyle w:val="17"/>
              <w:rPr>
                <w:rFonts w:eastAsia="宋体"/>
              </w:rPr>
            </w:pPr>
            <w:r>
              <w:rPr>
                <w:rFonts w:eastAsia="宋体"/>
              </w:rPr>
              <w:t>陆生生态</w:t>
            </w:r>
          </w:p>
        </w:tc>
        <w:tc>
          <w:tcPr>
            <w:tcW w:w="2581" w:type="pct"/>
            <w:vAlign w:val="center"/>
          </w:tcPr>
          <w:p w14:paraId="4D49B4CC">
            <w:pPr>
              <w:pStyle w:val="17"/>
              <w:jc w:val="both"/>
              <w:rPr>
                <w:rFonts w:hint="eastAsia" w:eastAsia="宋体"/>
                <w:lang w:eastAsia="zh-CN"/>
              </w:rPr>
            </w:pPr>
            <w:r>
              <w:rPr>
                <w:rFonts w:hint="eastAsia" w:eastAsia="宋体"/>
              </w:rPr>
              <w:t>（1）在开挖地表土壤时，执行分层开挖、分层回填的操作规范，尽可能保持农田原有的土壤环境，以恢复植被。为了尽快恢复土地的生产能力，施工结束后增施肥料，增加土壤有机质含量，恢复土壤团粒结构，减轻对土壤的压实效应，从而改良土壤结果及理化性质，提高土壤的保肥保水能力。农田施工回填时，留足适宜的堆积层，防止河水、径流造成地表塌陷和水土流失；（2）施工的组织安排需根据当地农业活动特点组织施工，减轻对农业生产破坏造成的损失。勘探期选择在一季作物生长期间完成，不占用两季作物的生长时间；（3）运送设备、物料的车辆严格在设计道路上行行驶，不随意增开便道，在保证施工的前提下，严格控制施工车辆、机械及施工人员活动范围，以减少对地表的碾压；（4）限制施工工具、车辆便道、堆料场等临时性占地面积，并在施工结束后及时清理现场，清运各种污染物，尽可能恢复原状；（5）加强对施工人员的教育，在施工区域外，不随意砍伐、破坏树木、灌木、农作物，不乱挖、乱采野生植被；（6）凡受到施工车辆、机械破坏的地方需及时修复，恢复原貌，被破坏的植被在施工结束后尽快恢复；（7）减少钻井过程中的污染物排放，废弃泥浆不落地，做好井场污染雨水收集，防止废水、废弃泥浆等乱排</w:t>
            </w:r>
            <w:r>
              <w:rPr>
                <w:rFonts w:hint="eastAsia" w:eastAsia="宋体"/>
                <w:lang w:eastAsia="zh-CN"/>
              </w:rPr>
              <w:t>。</w:t>
            </w:r>
          </w:p>
        </w:tc>
        <w:tc>
          <w:tcPr>
            <w:tcW w:w="966" w:type="pct"/>
            <w:vAlign w:val="center"/>
          </w:tcPr>
          <w:p w14:paraId="297AC8B9">
            <w:pPr>
              <w:pStyle w:val="17"/>
              <w:jc w:val="both"/>
              <w:rPr>
                <w:rFonts w:eastAsia="宋体"/>
              </w:rPr>
            </w:pPr>
            <w:r>
              <w:rPr>
                <w:rFonts w:eastAsia="宋体"/>
              </w:rPr>
              <w:t>严格限制施工作业范围，禁止破坏施工作业外的地表植被。临时占地上的设施搬迁后，拆除基础，恢复到原状态。</w:t>
            </w:r>
          </w:p>
        </w:tc>
        <w:tc>
          <w:tcPr>
            <w:tcW w:w="575" w:type="pct"/>
            <w:vAlign w:val="center"/>
          </w:tcPr>
          <w:p w14:paraId="5625F9BB">
            <w:pPr>
              <w:pStyle w:val="17"/>
              <w:jc w:val="both"/>
              <w:rPr>
                <w:rFonts w:eastAsia="宋体"/>
              </w:rPr>
            </w:pPr>
            <w:r>
              <w:rPr>
                <w:rFonts w:hint="eastAsia" w:eastAsia="宋体"/>
              </w:rPr>
              <w:t>/</w:t>
            </w:r>
          </w:p>
        </w:tc>
        <w:tc>
          <w:tcPr>
            <w:tcW w:w="444" w:type="pct"/>
            <w:vAlign w:val="center"/>
          </w:tcPr>
          <w:p w14:paraId="1A7C1F62">
            <w:pPr>
              <w:pStyle w:val="17"/>
              <w:jc w:val="both"/>
              <w:rPr>
                <w:rFonts w:eastAsia="宋体"/>
              </w:rPr>
            </w:pPr>
            <w:r>
              <w:rPr>
                <w:rFonts w:hint="eastAsia" w:eastAsia="宋体"/>
              </w:rPr>
              <w:t>/</w:t>
            </w:r>
          </w:p>
        </w:tc>
      </w:tr>
      <w:tr w14:paraId="7BFCFF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3" w:type="pct"/>
            <w:vAlign w:val="center"/>
          </w:tcPr>
          <w:p w14:paraId="11518D2C">
            <w:pPr>
              <w:pStyle w:val="17"/>
              <w:rPr>
                <w:rFonts w:eastAsia="宋体"/>
              </w:rPr>
            </w:pPr>
            <w:r>
              <w:rPr>
                <w:rFonts w:eastAsia="宋体"/>
              </w:rPr>
              <w:t>水生生态</w:t>
            </w:r>
          </w:p>
        </w:tc>
        <w:tc>
          <w:tcPr>
            <w:tcW w:w="2581" w:type="pct"/>
            <w:vAlign w:val="center"/>
          </w:tcPr>
          <w:p w14:paraId="0BC9B7B8">
            <w:pPr>
              <w:pStyle w:val="17"/>
              <w:jc w:val="both"/>
              <w:rPr>
                <w:rFonts w:eastAsia="宋体"/>
              </w:rPr>
            </w:pPr>
            <w:r>
              <w:rPr>
                <w:rFonts w:hint="eastAsia" w:eastAsia="宋体"/>
              </w:rPr>
              <w:t>/</w:t>
            </w:r>
          </w:p>
        </w:tc>
        <w:tc>
          <w:tcPr>
            <w:tcW w:w="966" w:type="pct"/>
            <w:vAlign w:val="center"/>
          </w:tcPr>
          <w:p w14:paraId="34A6241E">
            <w:pPr>
              <w:pStyle w:val="17"/>
              <w:jc w:val="both"/>
              <w:rPr>
                <w:rFonts w:eastAsia="宋体"/>
              </w:rPr>
            </w:pPr>
          </w:p>
        </w:tc>
        <w:tc>
          <w:tcPr>
            <w:tcW w:w="575" w:type="pct"/>
            <w:vAlign w:val="center"/>
          </w:tcPr>
          <w:p w14:paraId="40D11836">
            <w:pPr>
              <w:pStyle w:val="17"/>
              <w:jc w:val="both"/>
              <w:rPr>
                <w:rFonts w:eastAsia="宋体"/>
              </w:rPr>
            </w:pPr>
            <w:r>
              <w:rPr>
                <w:rFonts w:hint="eastAsia" w:eastAsia="宋体"/>
              </w:rPr>
              <w:t>/</w:t>
            </w:r>
          </w:p>
        </w:tc>
        <w:tc>
          <w:tcPr>
            <w:tcW w:w="444" w:type="pct"/>
            <w:vAlign w:val="center"/>
          </w:tcPr>
          <w:p w14:paraId="06F8AF23">
            <w:pPr>
              <w:pStyle w:val="17"/>
              <w:jc w:val="both"/>
              <w:rPr>
                <w:rFonts w:eastAsia="宋体"/>
              </w:rPr>
            </w:pPr>
            <w:r>
              <w:rPr>
                <w:rFonts w:hint="eastAsia" w:eastAsia="宋体"/>
              </w:rPr>
              <w:t>/</w:t>
            </w:r>
          </w:p>
        </w:tc>
      </w:tr>
      <w:tr w14:paraId="1FEA67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3" w:type="pct"/>
            <w:vAlign w:val="center"/>
          </w:tcPr>
          <w:p w14:paraId="3B96868B">
            <w:pPr>
              <w:pStyle w:val="17"/>
              <w:rPr>
                <w:rFonts w:eastAsia="宋体"/>
              </w:rPr>
            </w:pPr>
            <w:r>
              <w:rPr>
                <w:rFonts w:eastAsia="宋体"/>
              </w:rPr>
              <w:t>地表水环境</w:t>
            </w:r>
          </w:p>
        </w:tc>
        <w:tc>
          <w:tcPr>
            <w:tcW w:w="2581" w:type="pct"/>
            <w:vAlign w:val="center"/>
          </w:tcPr>
          <w:p w14:paraId="3C3F2DCD">
            <w:pPr>
              <w:pStyle w:val="17"/>
              <w:jc w:val="both"/>
              <w:rPr>
                <w:rFonts w:eastAsia="宋体"/>
                <w:color w:val="auto"/>
              </w:rPr>
            </w:pPr>
            <w:r>
              <w:rPr>
                <w:rFonts w:hint="eastAsia" w:eastAsia="宋体"/>
                <w:color w:val="auto"/>
              </w:rPr>
              <w:t>1、钻井废水产生后直接泵入井场水罐车</w:t>
            </w:r>
            <w:r>
              <w:rPr>
                <w:rFonts w:hint="eastAsia" w:eastAsia="宋体"/>
                <w:color w:val="auto"/>
                <w:lang w:eastAsia="zh-CN"/>
              </w:rPr>
              <w:t>（</w:t>
            </w:r>
            <w:r>
              <w:rPr>
                <w:rFonts w:hint="eastAsia" w:eastAsia="宋体"/>
                <w:color w:val="auto"/>
                <w:lang w:val="en-US" w:eastAsia="zh-CN"/>
              </w:rPr>
              <w:t>3个，储水量20m</w:t>
            </w:r>
            <w:r>
              <w:rPr>
                <w:rFonts w:hint="eastAsia" w:eastAsia="宋体"/>
                <w:color w:val="auto"/>
                <w:vertAlign w:val="superscript"/>
                <w:lang w:val="en-US" w:eastAsia="zh-CN"/>
              </w:rPr>
              <w:t>3</w:t>
            </w:r>
            <w:r>
              <w:rPr>
                <w:rFonts w:hint="eastAsia" w:eastAsia="宋体"/>
                <w:color w:val="auto"/>
                <w:lang w:eastAsia="zh-CN"/>
              </w:rPr>
              <w:t>）</w:t>
            </w:r>
            <w:r>
              <w:rPr>
                <w:rFonts w:hint="eastAsia" w:eastAsia="宋体"/>
                <w:color w:val="auto"/>
              </w:rPr>
              <w:t>储罐内，储罐装满后不在</w:t>
            </w:r>
            <w:r>
              <w:rPr>
                <w:rFonts w:hint="eastAsia" w:eastAsia="宋体"/>
                <w:color w:val="auto"/>
                <w:lang w:eastAsia="zh-CN"/>
              </w:rPr>
              <w:t>场区</w:t>
            </w:r>
            <w:r>
              <w:rPr>
                <w:rFonts w:hint="eastAsia" w:eastAsia="宋体"/>
                <w:color w:val="auto"/>
              </w:rPr>
              <w:t>暂存，直接由罐车就近拉运至</w:t>
            </w:r>
            <w:r>
              <w:rPr>
                <w:rFonts w:hint="eastAsia" w:eastAsia="宋体"/>
                <w:color w:val="auto"/>
                <w:lang w:val="en-US" w:eastAsia="zh-CN"/>
              </w:rPr>
              <w:t>沙埝</w:t>
            </w:r>
            <w:r>
              <w:rPr>
                <w:rFonts w:hint="eastAsia" w:eastAsia="宋体"/>
                <w:color w:val="auto"/>
              </w:rPr>
              <w:t>联合站进行处理，处理达标后用于开发回注。</w:t>
            </w:r>
          </w:p>
          <w:p w14:paraId="21AEB50B">
            <w:pPr>
              <w:pStyle w:val="17"/>
              <w:jc w:val="both"/>
              <w:rPr>
                <w:rFonts w:eastAsia="宋体"/>
                <w:color w:val="auto"/>
              </w:rPr>
            </w:pPr>
            <w:r>
              <w:rPr>
                <w:rFonts w:hint="eastAsia" w:eastAsia="宋体"/>
                <w:color w:val="auto"/>
              </w:rPr>
              <w:t>2、洗井废水、压裂废水回用，不可回用的直接泵入井场水罐车储罐内，储罐装满后不在</w:t>
            </w:r>
            <w:r>
              <w:rPr>
                <w:rFonts w:hint="eastAsia" w:eastAsia="宋体"/>
                <w:color w:val="auto"/>
                <w:lang w:eastAsia="zh-CN"/>
              </w:rPr>
              <w:t>场区</w:t>
            </w:r>
            <w:r>
              <w:rPr>
                <w:rFonts w:hint="eastAsia" w:eastAsia="宋体"/>
                <w:color w:val="auto"/>
              </w:rPr>
              <w:t>暂存，直接由罐车就近拉运至</w:t>
            </w:r>
            <w:r>
              <w:rPr>
                <w:rFonts w:hint="eastAsia" w:eastAsia="宋体"/>
                <w:color w:val="auto"/>
                <w:lang w:val="en-US" w:eastAsia="zh-CN"/>
              </w:rPr>
              <w:t>沙埝</w:t>
            </w:r>
            <w:r>
              <w:rPr>
                <w:rFonts w:hint="eastAsia" w:eastAsia="宋体"/>
                <w:color w:val="auto"/>
              </w:rPr>
              <w:t>联合站进行处理，处理达标后用于开发回注。</w:t>
            </w:r>
          </w:p>
          <w:p w14:paraId="337BED1E">
            <w:pPr>
              <w:pStyle w:val="17"/>
              <w:jc w:val="both"/>
              <w:rPr>
                <w:rFonts w:hint="eastAsia" w:ascii="Times New Roman" w:hAnsi="Times New Roman" w:eastAsia="宋体" w:cs="Times New Roman"/>
                <w:color w:val="auto"/>
              </w:rPr>
            </w:pPr>
            <w:r>
              <w:rPr>
                <w:rFonts w:hint="eastAsia" w:eastAsia="宋体"/>
                <w:color w:val="auto"/>
              </w:rPr>
              <w:t>3、生活污水在井场设置钻井队便携式公共厕所，</w:t>
            </w:r>
            <w:r>
              <w:rPr>
                <w:rFonts w:hint="eastAsia" w:eastAsia="宋体"/>
                <w:color w:val="auto"/>
                <w:lang w:val="en-US" w:eastAsia="zh-CN"/>
              </w:rPr>
              <w:t>经处理后作</w:t>
            </w:r>
            <w:r>
              <w:rPr>
                <w:rFonts w:hint="eastAsia" w:ascii="Times New Roman" w:hAnsi="Times New Roman" w:eastAsia="宋体" w:cs="Times New Roman"/>
                <w:color w:val="auto"/>
                <w:lang w:val="en-US" w:eastAsia="zh-CN"/>
              </w:rPr>
              <w:t>为清洗水循环使用不外排</w:t>
            </w:r>
            <w:r>
              <w:rPr>
                <w:rFonts w:hint="eastAsia" w:ascii="Times New Roman" w:hAnsi="Times New Roman" w:eastAsia="宋体" w:cs="Times New Roman"/>
                <w:color w:val="auto"/>
              </w:rPr>
              <w:t>。</w:t>
            </w:r>
          </w:p>
          <w:p w14:paraId="4B2B57B6">
            <w:pPr>
              <w:pStyle w:val="17"/>
              <w:jc w:val="both"/>
              <w:rPr>
                <w:rFonts w:hint="eastAsia" w:eastAsia="宋体"/>
                <w:lang w:eastAsia="zh-CN"/>
              </w:rPr>
            </w:pPr>
            <w:r>
              <w:rPr>
                <w:rFonts w:hint="eastAsia" w:ascii="Times New Roman" w:hAnsi="Times New Roman" w:eastAsia="宋体" w:cs="Times New Roman"/>
                <w:color w:val="auto"/>
              </w:rPr>
              <w:t>4、井场四周设置界沟，</w:t>
            </w:r>
            <w:r>
              <w:rPr>
                <w:rFonts w:hint="eastAsia" w:ascii="Times New Roman" w:hAnsi="Times New Roman" w:eastAsia="宋体" w:cs="Times New Roman"/>
                <w:color w:val="auto"/>
                <w:lang w:val="en-US" w:eastAsia="zh-CN"/>
              </w:rPr>
              <w:t>初期雨水暂存于初期雨水池，</w:t>
            </w:r>
            <w:r>
              <w:rPr>
                <w:rFonts w:hint="eastAsia" w:ascii="Times New Roman" w:hAnsi="Times New Roman" w:eastAsia="宋体" w:cs="Times New Roman"/>
                <w:color w:val="auto"/>
              </w:rPr>
              <w:t>受污染的雨水泵入泥浆处理系统进行处理</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池中</w:t>
            </w:r>
            <w:r>
              <w:rPr>
                <w:rFonts w:hint="eastAsia" w:ascii="Times New Roman" w:hAnsi="Times New Roman" w:eastAsia="宋体" w:cs="Times New Roman"/>
                <w:color w:val="auto"/>
              </w:rPr>
              <w:t>未受污染的雨水可外排。</w:t>
            </w:r>
          </w:p>
        </w:tc>
        <w:tc>
          <w:tcPr>
            <w:tcW w:w="966" w:type="pct"/>
            <w:vAlign w:val="center"/>
          </w:tcPr>
          <w:p w14:paraId="6CA2C04D">
            <w:pPr>
              <w:pStyle w:val="17"/>
              <w:jc w:val="both"/>
              <w:rPr>
                <w:rFonts w:eastAsia="宋体"/>
              </w:rPr>
            </w:pPr>
            <w:r>
              <w:rPr>
                <w:rFonts w:hint="eastAsia" w:eastAsia="宋体"/>
              </w:rPr>
              <w:t>无废水外排</w:t>
            </w:r>
          </w:p>
        </w:tc>
        <w:tc>
          <w:tcPr>
            <w:tcW w:w="575" w:type="pct"/>
            <w:vAlign w:val="center"/>
          </w:tcPr>
          <w:p w14:paraId="097C36BD">
            <w:pPr>
              <w:pStyle w:val="17"/>
              <w:jc w:val="both"/>
              <w:rPr>
                <w:rFonts w:eastAsia="宋体"/>
              </w:rPr>
            </w:pPr>
            <w:r>
              <w:rPr>
                <w:rFonts w:hint="eastAsia" w:eastAsia="宋体"/>
              </w:rPr>
              <w:t>/</w:t>
            </w:r>
          </w:p>
        </w:tc>
        <w:tc>
          <w:tcPr>
            <w:tcW w:w="444" w:type="pct"/>
            <w:vAlign w:val="center"/>
          </w:tcPr>
          <w:p w14:paraId="16500E42">
            <w:pPr>
              <w:pStyle w:val="17"/>
              <w:jc w:val="both"/>
              <w:rPr>
                <w:rFonts w:eastAsia="宋体"/>
              </w:rPr>
            </w:pPr>
            <w:r>
              <w:rPr>
                <w:rFonts w:hint="eastAsia" w:eastAsia="宋体"/>
              </w:rPr>
              <w:t>/</w:t>
            </w:r>
          </w:p>
        </w:tc>
      </w:tr>
      <w:tr w14:paraId="1E070C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80" w:hRule="atLeast"/>
          <w:jc w:val="center"/>
        </w:trPr>
        <w:tc>
          <w:tcPr>
            <w:tcW w:w="433" w:type="pct"/>
            <w:vAlign w:val="center"/>
          </w:tcPr>
          <w:p w14:paraId="7B9DBFE6">
            <w:pPr>
              <w:pStyle w:val="17"/>
              <w:rPr>
                <w:rFonts w:eastAsia="宋体"/>
              </w:rPr>
            </w:pPr>
            <w:r>
              <w:rPr>
                <w:rFonts w:eastAsia="宋体"/>
              </w:rPr>
              <w:t>地下水及土壤环境</w:t>
            </w:r>
          </w:p>
        </w:tc>
        <w:tc>
          <w:tcPr>
            <w:tcW w:w="2581" w:type="pct"/>
            <w:vAlign w:val="center"/>
          </w:tcPr>
          <w:p w14:paraId="7185B41D">
            <w:pPr>
              <w:pStyle w:val="17"/>
              <w:jc w:val="both"/>
              <w:rPr>
                <w:rFonts w:eastAsia="宋体"/>
              </w:rPr>
            </w:pPr>
            <w:r>
              <w:rPr>
                <w:rFonts w:hint="eastAsia" w:eastAsia="宋体"/>
              </w:rPr>
              <w:t>1、</w:t>
            </w:r>
            <w:r>
              <w:rPr>
                <w:rFonts w:eastAsia="宋体"/>
              </w:rPr>
              <w:t>施工现场井架及其周围区域、泥浆罐区、泵房采用PVC材质防渗膜铺设；泥浆处理区采用防渗膜+钢板铺设。</w:t>
            </w:r>
          </w:p>
          <w:p w14:paraId="34612541">
            <w:pPr>
              <w:pStyle w:val="17"/>
              <w:jc w:val="both"/>
              <w:rPr>
                <w:rFonts w:eastAsia="宋体"/>
              </w:rPr>
            </w:pPr>
            <w:r>
              <w:rPr>
                <w:rFonts w:hint="eastAsia" w:eastAsia="宋体"/>
              </w:rPr>
              <w:t>2、</w:t>
            </w:r>
            <w:r>
              <w:rPr>
                <w:rFonts w:eastAsia="宋体"/>
              </w:rPr>
              <w:t>井场设有清污分流系统，井场周边设置界沟，与毗邻的农田分开，</w:t>
            </w:r>
            <w:r>
              <w:rPr>
                <w:rFonts w:hint="eastAsia" w:eastAsia="宋体"/>
              </w:rPr>
              <w:t>用</w:t>
            </w:r>
            <w:r>
              <w:rPr>
                <w:rFonts w:eastAsia="宋体"/>
              </w:rPr>
              <w:t>于排泄井场内的雨水，界沟尺寸不小于上底×下底×深=0.8m×0.3m×0.6m；未受污染的井场雨水经界沟可直接外排，</w:t>
            </w:r>
            <w:r>
              <w:rPr>
                <w:rFonts w:hint="eastAsia" w:eastAsia="宋体"/>
              </w:rPr>
              <w:t>受</w:t>
            </w:r>
            <w:r>
              <w:rPr>
                <w:rFonts w:eastAsia="宋体"/>
              </w:rPr>
              <w:t>到污染的</w:t>
            </w:r>
            <w:r>
              <w:rPr>
                <w:rFonts w:hint="eastAsia" w:eastAsia="宋体"/>
              </w:rPr>
              <w:t>通过初期雨水池泵入泥浆不落地处理系统</w:t>
            </w:r>
            <w:r>
              <w:rPr>
                <w:rFonts w:eastAsia="宋体"/>
              </w:rPr>
              <w:t>。</w:t>
            </w:r>
          </w:p>
          <w:p w14:paraId="307D86B8">
            <w:pPr>
              <w:pStyle w:val="17"/>
              <w:jc w:val="both"/>
              <w:rPr>
                <w:rFonts w:hint="eastAsia" w:eastAsia="宋体"/>
                <w:lang w:eastAsia="zh-CN"/>
              </w:rPr>
            </w:pPr>
            <w:r>
              <w:rPr>
                <w:rFonts w:hint="eastAsia" w:eastAsia="宋体"/>
              </w:rPr>
              <w:t>3、</w:t>
            </w:r>
            <w:r>
              <w:rPr>
                <w:rFonts w:eastAsia="宋体"/>
              </w:rPr>
              <w:t>井架基础平台周围、机房、泥浆泵区、泥浆储罐区设有</w:t>
            </w:r>
            <w:r>
              <w:rPr>
                <w:rFonts w:hint="eastAsia" w:eastAsia="宋体"/>
                <w:lang w:eastAsia="zh-CN"/>
              </w:rPr>
              <w:t>围堰</w:t>
            </w:r>
            <w:r>
              <w:rPr>
                <w:rFonts w:eastAsia="宋体"/>
              </w:rPr>
              <w:t>，发电机和柴油储罐区四周设置环形截污沟，并配备污油回收罐（桶）。排污沟设置防渗膜，防渗膜的防渗技术应符合Q/SHJS0805-2015的标准要求。</w:t>
            </w:r>
          </w:p>
        </w:tc>
        <w:tc>
          <w:tcPr>
            <w:tcW w:w="966" w:type="pct"/>
            <w:vAlign w:val="center"/>
          </w:tcPr>
          <w:p w14:paraId="301D0D19">
            <w:pPr>
              <w:pStyle w:val="17"/>
              <w:jc w:val="both"/>
              <w:rPr>
                <w:rFonts w:eastAsia="宋体"/>
              </w:rPr>
            </w:pPr>
            <w:r>
              <w:rPr>
                <w:rFonts w:hint="eastAsia" w:eastAsia="宋体"/>
              </w:rPr>
              <w:t>防渗设施完好，无破损，防渗材料符合相关标准。</w:t>
            </w:r>
          </w:p>
        </w:tc>
        <w:tc>
          <w:tcPr>
            <w:tcW w:w="575" w:type="pct"/>
            <w:vAlign w:val="center"/>
          </w:tcPr>
          <w:p w14:paraId="4D1E5780">
            <w:pPr>
              <w:pStyle w:val="17"/>
              <w:jc w:val="both"/>
              <w:rPr>
                <w:rFonts w:eastAsia="宋体"/>
              </w:rPr>
            </w:pPr>
            <w:r>
              <w:rPr>
                <w:rFonts w:hint="eastAsia" w:eastAsia="宋体"/>
              </w:rPr>
              <w:t>/</w:t>
            </w:r>
          </w:p>
        </w:tc>
        <w:tc>
          <w:tcPr>
            <w:tcW w:w="444" w:type="pct"/>
            <w:vAlign w:val="center"/>
          </w:tcPr>
          <w:p w14:paraId="33EE267F">
            <w:pPr>
              <w:pStyle w:val="17"/>
              <w:jc w:val="both"/>
              <w:rPr>
                <w:rFonts w:eastAsia="宋体"/>
              </w:rPr>
            </w:pPr>
            <w:r>
              <w:rPr>
                <w:rFonts w:hint="eastAsia" w:eastAsia="宋体"/>
              </w:rPr>
              <w:t>/</w:t>
            </w:r>
          </w:p>
        </w:tc>
      </w:tr>
      <w:tr w14:paraId="3DD17B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3" w:type="pct"/>
            <w:vAlign w:val="center"/>
          </w:tcPr>
          <w:p w14:paraId="38E37A85">
            <w:pPr>
              <w:pStyle w:val="17"/>
              <w:rPr>
                <w:rFonts w:eastAsia="宋体"/>
              </w:rPr>
            </w:pPr>
            <w:r>
              <w:rPr>
                <w:rFonts w:eastAsia="宋体"/>
              </w:rPr>
              <w:t>声环境</w:t>
            </w:r>
          </w:p>
        </w:tc>
        <w:tc>
          <w:tcPr>
            <w:tcW w:w="2581" w:type="pct"/>
            <w:vAlign w:val="center"/>
          </w:tcPr>
          <w:p w14:paraId="0337FAAB">
            <w:pPr>
              <w:pStyle w:val="17"/>
              <w:jc w:val="both"/>
              <w:rPr>
                <w:rFonts w:eastAsia="宋体"/>
              </w:rPr>
            </w:pPr>
            <w:r>
              <w:rPr>
                <w:rFonts w:hint="eastAsia" w:eastAsia="宋体"/>
              </w:rPr>
              <w:t>①勘探期间，运输车辆应尽可能减少鸣号，尤其是在晚间和午休时间。</w:t>
            </w:r>
          </w:p>
          <w:p w14:paraId="1FB23054">
            <w:pPr>
              <w:pStyle w:val="17"/>
              <w:jc w:val="both"/>
              <w:rPr>
                <w:rFonts w:eastAsia="宋体"/>
              </w:rPr>
            </w:pPr>
            <w:r>
              <w:rPr>
                <w:rFonts w:hint="eastAsia" w:eastAsia="宋体"/>
              </w:rPr>
              <w:t>②加强设备维护与保养，减少摩擦声。</w:t>
            </w:r>
          </w:p>
          <w:p w14:paraId="45F31118">
            <w:pPr>
              <w:pStyle w:val="17"/>
              <w:jc w:val="both"/>
              <w:rPr>
                <w:rFonts w:eastAsia="宋体"/>
              </w:rPr>
            </w:pPr>
            <w:r>
              <w:rPr>
                <w:rFonts w:hint="eastAsia" w:eastAsia="宋体"/>
              </w:rPr>
              <w:t>③做好勘探期噪声监测和与周边居民沟通工作。</w:t>
            </w:r>
          </w:p>
          <w:p w14:paraId="7B7DA2D7">
            <w:pPr>
              <w:pStyle w:val="17"/>
              <w:jc w:val="both"/>
              <w:rPr>
                <w:rFonts w:eastAsia="宋体"/>
              </w:rPr>
            </w:pPr>
            <w:r>
              <w:rPr>
                <w:rFonts w:hint="eastAsia" w:eastAsia="宋体"/>
              </w:rPr>
              <w:t>④优先用当地电网，应急用的柴油机组应采用低噪声柴油机组，柴油机组设置在发电机房内并尽可能远离居民点布设，柴油机组排气筒处安装防火消声器。</w:t>
            </w:r>
          </w:p>
          <w:p w14:paraId="4A53D8DE">
            <w:pPr>
              <w:pStyle w:val="17"/>
              <w:jc w:val="both"/>
              <w:rPr>
                <w:rFonts w:eastAsia="宋体"/>
              </w:rPr>
            </w:pPr>
            <w:r>
              <w:rPr>
                <w:rFonts w:hint="eastAsia" w:eastAsia="宋体"/>
              </w:rPr>
              <w:t>⑤对于链条传动箱驱动的泥浆泵，在泵两侧安装隔音罩，电机驱动的泵组，在泵组三面及顶部安装隔音墙。</w:t>
            </w:r>
          </w:p>
        </w:tc>
        <w:tc>
          <w:tcPr>
            <w:tcW w:w="966" w:type="pct"/>
            <w:vAlign w:val="center"/>
          </w:tcPr>
          <w:p w14:paraId="177D871C">
            <w:pPr>
              <w:pStyle w:val="17"/>
              <w:jc w:val="center"/>
              <w:rPr>
                <w:rFonts w:eastAsia="宋体"/>
              </w:rPr>
            </w:pPr>
            <w:r>
              <w:rPr>
                <w:rFonts w:hint="eastAsia" w:eastAsia="宋体"/>
              </w:rPr>
              <w:t>满足《建筑施工场界环境噪声排放标准》（GB 12523-2011）限值要求</w:t>
            </w:r>
          </w:p>
          <w:p w14:paraId="22F22C82">
            <w:pPr>
              <w:pStyle w:val="17"/>
              <w:jc w:val="center"/>
              <w:rPr>
                <w:rFonts w:eastAsia="宋体"/>
              </w:rPr>
            </w:pPr>
          </w:p>
        </w:tc>
        <w:tc>
          <w:tcPr>
            <w:tcW w:w="575" w:type="pct"/>
            <w:vAlign w:val="center"/>
          </w:tcPr>
          <w:p w14:paraId="3B8C4BE9">
            <w:pPr>
              <w:pStyle w:val="17"/>
              <w:jc w:val="both"/>
              <w:rPr>
                <w:rFonts w:eastAsia="宋体"/>
              </w:rPr>
            </w:pPr>
            <w:r>
              <w:rPr>
                <w:rFonts w:hint="eastAsia" w:eastAsia="宋体"/>
              </w:rPr>
              <w:t>/</w:t>
            </w:r>
          </w:p>
        </w:tc>
        <w:tc>
          <w:tcPr>
            <w:tcW w:w="444" w:type="pct"/>
            <w:vAlign w:val="center"/>
          </w:tcPr>
          <w:p w14:paraId="654CE341">
            <w:pPr>
              <w:pStyle w:val="17"/>
              <w:jc w:val="both"/>
              <w:rPr>
                <w:rFonts w:eastAsia="宋体"/>
              </w:rPr>
            </w:pPr>
            <w:r>
              <w:rPr>
                <w:rFonts w:hint="eastAsia" w:eastAsia="宋体"/>
              </w:rPr>
              <w:t>/</w:t>
            </w:r>
          </w:p>
        </w:tc>
      </w:tr>
      <w:tr w14:paraId="1F9FF4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3" w:type="pct"/>
            <w:vAlign w:val="center"/>
          </w:tcPr>
          <w:p w14:paraId="366DF195">
            <w:pPr>
              <w:pStyle w:val="17"/>
              <w:rPr>
                <w:rFonts w:eastAsia="宋体"/>
              </w:rPr>
            </w:pPr>
            <w:r>
              <w:rPr>
                <w:rFonts w:eastAsia="宋体"/>
              </w:rPr>
              <w:t>振动</w:t>
            </w:r>
          </w:p>
        </w:tc>
        <w:tc>
          <w:tcPr>
            <w:tcW w:w="2581" w:type="pct"/>
            <w:vAlign w:val="center"/>
          </w:tcPr>
          <w:p w14:paraId="1A46C40E">
            <w:pPr>
              <w:pStyle w:val="17"/>
              <w:jc w:val="both"/>
              <w:rPr>
                <w:rFonts w:eastAsia="宋体"/>
              </w:rPr>
            </w:pPr>
            <w:r>
              <w:rPr>
                <w:rFonts w:hint="eastAsia" w:eastAsia="宋体"/>
              </w:rPr>
              <w:t>/</w:t>
            </w:r>
          </w:p>
        </w:tc>
        <w:tc>
          <w:tcPr>
            <w:tcW w:w="966" w:type="pct"/>
            <w:vAlign w:val="center"/>
          </w:tcPr>
          <w:p w14:paraId="0E119A71">
            <w:pPr>
              <w:pStyle w:val="17"/>
              <w:jc w:val="both"/>
              <w:rPr>
                <w:rFonts w:eastAsia="宋体"/>
              </w:rPr>
            </w:pPr>
            <w:r>
              <w:rPr>
                <w:rFonts w:hint="eastAsia" w:eastAsia="宋体"/>
              </w:rPr>
              <w:t>/</w:t>
            </w:r>
          </w:p>
        </w:tc>
        <w:tc>
          <w:tcPr>
            <w:tcW w:w="575" w:type="pct"/>
            <w:vAlign w:val="center"/>
          </w:tcPr>
          <w:p w14:paraId="2DF128D4">
            <w:pPr>
              <w:pStyle w:val="17"/>
              <w:jc w:val="both"/>
              <w:rPr>
                <w:rFonts w:eastAsia="宋体"/>
              </w:rPr>
            </w:pPr>
            <w:r>
              <w:rPr>
                <w:rFonts w:hint="eastAsia" w:eastAsia="宋体"/>
              </w:rPr>
              <w:t>/</w:t>
            </w:r>
          </w:p>
        </w:tc>
        <w:tc>
          <w:tcPr>
            <w:tcW w:w="444" w:type="pct"/>
            <w:vAlign w:val="center"/>
          </w:tcPr>
          <w:p w14:paraId="779F3B5D">
            <w:pPr>
              <w:pStyle w:val="17"/>
              <w:jc w:val="both"/>
              <w:rPr>
                <w:rFonts w:eastAsia="宋体"/>
              </w:rPr>
            </w:pPr>
            <w:r>
              <w:rPr>
                <w:rFonts w:hint="eastAsia" w:eastAsia="宋体"/>
              </w:rPr>
              <w:t>/</w:t>
            </w:r>
          </w:p>
        </w:tc>
      </w:tr>
      <w:tr w14:paraId="0F3555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3" w:type="pct"/>
            <w:vAlign w:val="center"/>
          </w:tcPr>
          <w:p w14:paraId="145D2C09">
            <w:pPr>
              <w:pStyle w:val="17"/>
              <w:rPr>
                <w:rFonts w:eastAsia="宋体"/>
              </w:rPr>
            </w:pPr>
            <w:r>
              <w:rPr>
                <w:rFonts w:eastAsia="宋体"/>
              </w:rPr>
              <w:t>大气环境</w:t>
            </w:r>
          </w:p>
        </w:tc>
        <w:tc>
          <w:tcPr>
            <w:tcW w:w="2581" w:type="pct"/>
            <w:vAlign w:val="center"/>
          </w:tcPr>
          <w:p w14:paraId="0103EFC3">
            <w:pPr>
              <w:pStyle w:val="17"/>
              <w:jc w:val="both"/>
              <w:rPr>
                <w:rFonts w:hint="eastAsia" w:eastAsia="宋体"/>
                <w:lang w:eastAsia="zh-CN"/>
              </w:rPr>
            </w:pPr>
            <w:r>
              <w:rPr>
                <w:rFonts w:eastAsia="宋体"/>
              </w:rPr>
              <w:t>施工场地洒水降尘、控制车速、设置围挡、遮盖</w:t>
            </w:r>
            <w:r>
              <w:rPr>
                <w:rFonts w:hint="eastAsia" w:eastAsia="宋体"/>
              </w:rPr>
              <w:t>；</w:t>
            </w:r>
            <w:r>
              <w:rPr>
                <w:rFonts w:eastAsia="宋体"/>
              </w:rPr>
              <w:t>加强车辆管理和维护</w:t>
            </w:r>
            <w:r>
              <w:rPr>
                <w:rFonts w:hint="eastAsia" w:eastAsia="宋体"/>
              </w:rPr>
              <w:t>；</w:t>
            </w:r>
            <w:r>
              <w:rPr>
                <w:rFonts w:hint="eastAsia" w:eastAsia="宋体"/>
                <w:lang w:val="en-US" w:eastAsia="zh-CN"/>
              </w:rPr>
              <w:t>施工机械和临时发电使用低硫环保型柴油</w:t>
            </w:r>
            <w:r>
              <w:rPr>
                <w:rFonts w:hint="eastAsia" w:eastAsia="宋体"/>
                <w:lang w:eastAsia="zh-CN"/>
              </w:rPr>
              <w:t>。</w:t>
            </w:r>
          </w:p>
        </w:tc>
        <w:tc>
          <w:tcPr>
            <w:tcW w:w="966" w:type="pct"/>
            <w:vAlign w:val="center"/>
          </w:tcPr>
          <w:p w14:paraId="252DAF6C">
            <w:pPr>
              <w:pStyle w:val="17"/>
              <w:jc w:val="both"/>
              <w:rPr>
                <w:rFonts w:eastAsia="宋体"/>
              </w:rPr>
            </w:pPr>
            <w:r>
              <w:rPr>
                <w:rFonts w:eastAsia="宋体"/>
              </w:rPr>
              <w:t>无固定、长期污染源，区域环境功能未发生改变</w:t>
            </w:r>
          </w:p>
        </w:tc>
        <w:tc>
          <w:tcPr>
            <w:tcW w:w="575" w:type="pct"/>
            <w:vAlign w:val="center"/>
          </w:tcPr>
          <w:p w14:paraId="0ADB9F92">
            <w:pPr>
              <w:pStyle w:val="17"/>
              <w:jc w:val="both"/>
              <w:rPr>
                <w:rFonts w:eastAsia="宋体"/>
              </w:rPr>
            </w:pPr>
            <w:r>
              <w:rPr>
                <w:rFonts w:hint="eastAsia" w:eastAsia="宋体"/>
              </w:rPr>
              <w:t>/</w:t>
            </w:r>
          </w:p>
        </w:tc>
        <w:tc>
          <w:tcPr>
            <w:tcW w:w="444" w:type="pct"/>
            <w:vAlign w:val="center"/>
          </w:tcPr>
          <w:p w14:paraId="0AE5C293">
            <w:pPr>
              <w:pStyle w:val="17"/>
              <w:jc w:val="both"/>
              <w:rPr>
                <w:rFonts w:eastAsia="宋体"/>
              </w:rPr>
            </w:pPr>
            <w:r>
              <w:rPr>
                <w:rFonts w:hint="eastAsia" w:eastAsia="宋体"/>
              </w:rPr>
              <w:t>/</w:t>
            </w:r>
          </w:p>
        </w:tc>
      </w:tr>
      <w:tr w14:paraId="5A81DE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3" w:type="pct"/>
            <w:vAlign w:val="center"/>
          </w:tcPr>
          <w:p w14:paraId="6637C894">
            <w:pPr>
              <w:pStyle w:val="17"/>
              <w:rPr>
                <w:rFonts w:eastAsia="宋体"/>
              </w:rPr>
            </w:pPr>
            <w:r>
              <w:rPr>
                <w:rFonts w:eastAsia="宋体"/>
              </w:rPr>
              <w:t>固体废物</w:t>
            </w:r>
          </w:p>
        </w:tc>
        <w:tc>
          <w:tcPr>
            <w:tcW w:w="2581" w:type="pct"/>
            <w:vAlign w:val="center"/>
          </w:tcPr>
          <w:p w14:paraId="37DC2150">
            <w:pPr>
              <w:pStyle w:val="17"/>
              <w:jc w:val="both"/>
              <w:rPr>
                <w:rFonts w:eastAsia="宋体"/>
                <w:color w:val="auto"/>
              </w:rPr>
            </w:pPr>
            <w:r>
              <w:rPr>
                <w:rFonts w:hint="eastAsia" w:eastAsia="宋体"/>
                <w:color w:val="auto"/>
              </w:rPr>
              <w:t>1、生活垃圾由环卫清运。</w:t>
            </w:r>
          </w:p>
          <w:p w14:paraId="68FE2965">
            <w:pPr>
              <w:pStyle w:val="17"/>
              <w:jc w:val="both"/>
              <w:rPr>
                <w:rFonts w:eastAsia="宋体"/>
                <w:color w:val="auto"/>
              </w:rPr>
            </w:pPr>
            <w:r>
              <w:rPr>
                <w:rFonts w:hint="eastAsia" w:eastAsia="宋体"/>
                <w:color w:val="auto"/>
              </w:rPr>
              <w:t>2、</w:t>
            </w:r>
            <w:r>
              <w:rPr>
                <w:rFonts w:hint="eastAsia" w:eastAsia="宋体"/>
                <w:color w:val="auto"/>
                <w:lang w:val="en-US" w:eastAsia="zh-CN"/>
              </w:rPr>
              <w:t>泥饼交给下游单位</w:t>
            </w:r>
            <w:r>
              <w:rPr>
                <w:rFonts w:hint="eastAsia" w:eastAsia="宋体"/>
                <w:color w:val="auto"/>
              </w:rPr>
              <w:t>，用作建筑材料。</w:t>
            </w:r>
          </w:p>
          <w:p w14:paraId="4565B24C">
            <w:pPr>
              <w:pStyle w:val="17"/>
              <w:jc w:val="both"/>
              <w:rPr>
                <w:rFonts w:eastAsia="宋体"/>
                <w:color w:val="auto"/>
              </w:rPr>
            </w:pPr>
            <w:r>
              <w:rPr>
                <w:rFonts w:hint="eastAsia" w:eastAsia="宋体"/>
                <w:color w:val="auto"/>
              </w:rPr>
              <w:t>3、废润滑油</w:t>
            </w:r>
            <w:r>
              <w:rPr>
                <w:rFonts w:hint="eastAsia" w:eastAsia="宋体"/>
                <w:color w:val="auto"/>
                <w:lang w:eastAsia="zh-CN"/>
              </w:rPr>
              <w:t>、</w:t>
            </w:r>
            <w:r>
              <w:rPr>
                <w:rFonts w:hint="eastAsia" w:eastAsia="宋体"/>
                <w:color w:val="auto"/>
                <w:lang w:val="en-US" w:eastAsia="zh-CN"/>
              </w:rPr>
              <w:t>废沾油防渗膜</w:t>
            </w:r>
            <w:r>
              <w:rPr>
                <w:rFonts w:hint="eastAsia" w:eastAsia="宋体"/>
                <w:color w:val="auto"/>
              </w:rPr>
              <w:t>委托资质单位处置</w:t>
            </w:r>
            <w:r>
              <w:rPr>
                <w:rFonts w:hint="eastAsia" w:eastAsia="宋体"/>
                <w:color w:val="auto"/>
                <w:lang w:eastAsia="zh-CN"/>
              </w:rPr>
              <w:t>，</w:t>
            </w:r>
            <w:r>
              <w:rPr>
                <w:rFonts w:hint="eastAsia" w:eastAsia="宋体"/>
                <w:color w:val="auto"/>
                <w:lang w:val="en-US" w:eastAsia="zh-CN"/>
              </w:rPr>
              <w:t>不在井场暂存</w:t>
            </w:r>
            <w:r>
              <w:rPr>
                <w:rFonts w:hint="eastAsia" w:eastAsia="宋体"/>
                <w:color w:val="auto"/>
              </w:rPr>
              <w:t>。</w:t>
            </w:r>
          </w:p>
          <w:p w14:paraId="30BEF18F">
            <w:pPr>
              <w:pStyle w:val="17"/>
              <w:ind w:firstLine="0" w:firstLineChars="0"/>
              <w:jc w:val="both"/>
              <w:rPr>
                <w:rFonts w:hint="eastAsia" w:eastAsia="宋体"/>
                <w:lang w:eastAsia="zh-CN"/>
              </w:rPr>
            </w:pPr>
            <w:r>
              <w:rPr>
                <w:rFonts w:hint="eastAsia" w:eastAsia="宋体"/>
                <w:color w:val="auto"/>
              </w:rPr>
              <w:t>4、施工废料能回用的回用，不能回用的由环卫清运。</w:t>
            </w:r>
          </w:p>
        </w:tc>
        <w:tc>
          <w:tcPr>
            <w:tcW w:w="966" w:type="pct"/>
            <w:vAlign w:val="center"/>
          </w:tcPr>
          <w:p w14:paraId="7404E061">
            <w:pPr>
              <w:pStyle w:val="17"/>
              <w:ind w:firstLine="0" w:firstLineChars="0"/>
              <w:jc w:val="both"/>
              <w:rPr>
                <w:rFonts w:eastAsia="宋体"/>
              </w:rPr>
            </w:pPr>
            <w:r>
              <w:rPr>
                <w:rFonts w:hint="eastAsia" w:eastAsia="宋体"/>
                <w:color w:val="auto"/>
              </w:rPr>
              <w:t>综合处置，不外排</w:t>
            </w:r>
          </w:p>
        </w:tc>
        <w:tc>
          <w:tcPr>
            <w:tcW w:w="575" w:type="pct"/>
            <w:vAlign w:val="center"/>
          </w:tcPr>
          <w:p w14:paraId="18A1E8A8">
            <w:pPr>
              <w:pStyle w:val="17"/>
              <w:jc w:val="both"/>
              <w:rPr>
                <w:rFonts w:eastAsia="宋体"/>
              </w:rPr>
            </w:pPr>
            <w:r>
              <w:rPr>
                <w:rFonts w:hint="eastAsia" w:eastAsia="宋体"/>
              </w:rPr>
              <w:t>/</w:t>
            </w:r>
          </w:p>
        </w:tc>
        <w:tc>
          <w:tcPr>
            <w:tcW w:w="444" w:type="pct"/>
            <w:vAlign w:val="center"/>
          </w:tcPr>
          <w:p w14:paraId="4A9956D4">
            <w:pPr>
              <w:pStyle w:val="17"/>
              <w:jc w:val="both"/>
              <w:rPr>
                <w:rFonts w:eastAsia="宋体"/>
              </w:rPr>
            </w:pPr>
            <w:r>
              <w:rPr>
                <w:rFonts w:hint="eastAsia" w:eastAsia="宋体"/>
              </w:rPr>
              <w:t>/</w:t>
            </w:r>
          </w:p>
        </w:tc>
      </w:tr>
      <w:tr w14:paraId="0EC486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3" w:type="pct"/>
            <w:vAlign w:val="center"/>
          </w:tcPr>
          <w:p w14:paraId="2DBC8913">
            <w:pPr>
              <w:pStyle w:val="17"/>
              <w:rPr>
                <w:rFonts w:eastAsia="宋体"/>
              </w:rPr>
            </w:pPr>
            <w:r>
              <w:rPr>
                <w:rFonts w:eastAsia="宋体"/>
              </w:rPr>
              <w:t>电磁环境</w:t>
            </w:r>
          </w:p>
        </w:tc>
        <w:tc>
          <w:tcPr>
            <w:tcW w:w="2581" w:type="pct"/>
            <w:vAlign w:val="center"/>
          </w:tcPr>
          <w:p w14:paraId="5E8BCADD">
            <w:pPr>
              <w:pStyle w:val="17"/>
              <w:jc w:val="both"/>
              <w:rPr>
                <w:rFonts w:eastAsia="宋体"/>
              </w:rPr>
            </w:pPr>
            <w:r>
              <w:rPr>
                <w:rFonts w:hint="eastAsia" w:eastAsia="宋体"/>
              </w:rPr>
              <w:t>/</w:t>
            </w:r>
          </w:p>
        </w:tc>
        <w:tc>
          <w:tcPr>
            <w:tcW w:w="966" w:type="pct"/>
            <w:vAlign w:val="center"/>
          </w:tcPr>
          <w:p w14:paraId="147208A5">
            <w:pPr>
              <w:pStyle w:val="17"/>
              <w:jc w:val="both"/>
              <w:rPr>
                <w:rFonts w:eastAsia="宋体"/>
              </w:rPr>
            </w:pPr>
            <w:r>
              <w:rPr>
                <w:rFonts w:hint="eastAsia" w:eastAsia="宋体"/>
              </w:rPr>
              <w:t>/</w:t>
            </w:r>
          </w:p>
        </w:tc>
        <w:tc>
          <w:tcPr>
            <w:tcW w:w="575" w:type="pct"/>
            <w:vAlign w:val="center"/>
          </w:tcPr>
          <w:p w14:paraId="68B604D4">
            <w:pPr>
              <w:pStyle w:val="17"/>
              <w:jc w:val="both"/>
              <w:rPr>
                <w:rFonts w:eastAsia="宋体"/>
              </w:rPr>
            </w:pPr>
            <w:r>
              <w:rPr>
                <w:rFonts w:hint="eastAsia" w:eastAsia="宋体"/>
              </w:rPr>
              <w:t>/</w:t>
            </w:r>
          </w:p>
        </w:tc>
        <w:tc>
          <w:tcPr>
            <w:tcW w:w="444" w:type="pct"/>
            <w:vAlign w:val="center"/>
          </w:tcPr>
          <w:p w14:paraId="71EDEB3A">
            <w:pPr>
              <w:pStyle w:val="17"/>
              <w:jc w:val="both"/>
              <w:rPr>
                <w:rFonts w:eastAsia="宋体"/>
              </w:rPr>
            </w:pPr>
            <w:r>
              <w:rPr>
                <w:rFonts w:hint="eastAsia" w:eastAsia="宋体"/>
              </w:rPr>
              <w:t>/</w:t>
            </w:r>
          </w:p>
        </w:tc>
      </w:tr>
      <w:tr w14:paraId="26F9DC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3" w:type="pct"/>
            <w:vAlign w:val="center"/>
          </w:tcPr>
          <w:p w14:paraId="0670A254">
            <w:pPr>
              <w:pStyle w:val="17"/>
              <w:rPr>
                <w:rFonts w:eastAsia="宋体"/>
              </w:rPr>
            </w:pPr>
            <w:r>
              <w:rPr>
                <w:rFonts w:eastAsia="宋体"/>
              </w:rPr>
              <w:t>环境风险</w:t>
            </w:r>
          </w:p>
        </w:tc>
        <w:tc>
          <w:tcPr>
            <w:tcW w:w="2581" w:type="pct"/>
            <w:vAlign w:val="center"/>
          </w:tcPr>
          <w:p w14:paraId="660ECA03">
            <w:pPr>
              <w:pStyle w:val="17"/>
              <w:jc w:val="both"/>
              <w:rPr>
                <w:rFonts w:hint="eastAsia" w:eastAsia="宋体"/>
                <w:lang w:eastAsia="zh-CN"/>
              </w:rPr>
            </w:pPr>
            <w:r>
              <w:rPr>
                <w:rFonts w:hint="eastAsia" w:eastAsia="宋体"/>
              </w:rPr>
              <w:t>1、</w:t>
            </w:r>
            <w:r>
              <w:rPr>
                <w:rFonts w:eastAsia="宋体"/>
              </w:rPr>
              <w:t>排污沟设置防渗膜，防渗膜的防渗技术应符合Q/SHJS0805-2015的标准要求</w:t>
            </w:r>
            <w:r>
              <w:rPr>
                <w:rFonts w:hint="eastAsia" w:eastAsia="宋体"/>
                <w:lang w:eastAsia="zh-CN"/>
              </w:rPr>
              <w:t>。</w:t>
            </w:r>
          </w:p>
          <w:p w14:paraId="305EFCEA">
            <w:pPr>
              <w:pStyle w:val="17"/>
              <w:jc w:val="both"/>
              <w:rPr>
                <w:rFonts w:hint="eastAsia" w:eastAsia="宋体"/>
                <w:lang w:eastAsia="zh-CN"/>
              </w:rPr>
            </w:pPr>
            <w:r>
              <w:rPr>
                <w:rFonts w:hint="eastAsia" w:eastAsia="宋体"/>
              </w:rPr>
              <w:t>2、井控装置有效防范溢流、井漏等事故</w:t>
            </w:r>
            <w:r>
              <w:rPr>
                <w:rFonts w:hint="eastAsia" w:eastAsia="宋体"/>
                <w:lang w:eastAsia="zh-CN"/>
              </w:rPr>
              <w:t>。</w:t>
            </w:r>
          </w:p>
        </w:tc>
        <w:tc>
          <w:tcPr>
            <w:tcW w:w="966" w:type="pct"/>
            <w:vAlign w:val="center"/>
          </w:tcPr>
          <w:p w14:paraId="24024698">
            <w:pPr>
              <w:pStyle w:val="17"/>
              <w:jc w:val="both"/>
              <w:rPr>
                <w:rFonts w:eastAsia="宋体"/>
              </w:rPr>
            </w:pPr>
            <w:r>
              <w:rPr>
                <w:rFonts w:hint="eastAsia" w:eastAsia="宋体"/>
              </w:rPr>
              <w:t>/</w:t>
            </w:r>
          </w:p>
        </w:tc>
        <w:tc>
          <w:tcPr>
            <w:tcW w:w="575" w:type="pct"/>
            <w:vAlign w:val="center"/>
          </w:tcPr>
          <w:p w14:paraId="15FE781A">
            <w:pPr>
              <w:pStyle w:val="17"/>
              <w:jc w:val="both"/>
              <w:rPr>
                <w:rFonts w:eastAsia="宋体"/>
              </w:rPr>
            </w:pPr>
            <w:r>
              <w:rPr>
                <w:rFonts w:hint="eastAsia" w:eastAsia="宋体"/>
              </w:rPr>
              <w:t>/</w:t>
            </w:r>
          </w:p>
        </w:tc>
        <w:tc>
          <w:tcPr>
            <w:tcW w:w="444" w:type="pct"/>
            <w:vAlign w:val="center"/>
          </w:tcPr>
          <w:p w14:paraId="1E5154C7">
            <w:pPr>
              <w:pStyle w:val="17"/>
              <w:jc w:val="both"/>
              <w:rPr>
                <w:rFonts w:eastAsia="宋体"/>
              </w:rPr>
            </w:pPr>
            <w:r>
              <w:rPr>
                <w:rFonts w:hint="eastAsia" w:eastAsia="宋体"/>
              </w:rPr>
              <w:t>/</w:t>
            </w:r>
          </w:p>
        </w:tc>
      </w:tr>
      <w:tr w14:paraId="2EF7BD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3" w:type="pct"/>
            <w:vAlign w:val="center"/>
          </w:tcPr>
          <w:p w14:paraId="68557D45">
            <w:pPr>
              <w:pStyle w:val="17"/>
              <w:rPr>
                <w:rFonts w:eastAsia="宋体"/>
              </w:rPr>
            </w:pPr>
            <w:r>
              <w:rPr>
                <w:rFonts w:eastAsia="宋体"/>
              </w:rPr>
              <w:t>环境监测</w:t>
            </w:r>
          </w:p>
        </w:tc>
        <w:tc>
          <w:tcPr>
            <w:tcW w:w="2581" w:type="pct"/>
            <w:vAlign w:val="center"/>
          </w:tcPr>
          <w:p w14:paraId="78FD6B20">
            <w:pPr>
              <w:pStyle w:val="17"/>
              <w:jc w:val="both"/>
              <w:rPr>
                <w:rFonts w:eastAsia="宋体"/>
              </w:rPr>
            </w:pPr>
            <w:r>
              <w:rPr>
                <w:rFonts w:hint="eastAsia" w:eastAsia="宋体"/>
              </w:rPr>
              <w:t>钻井前、后对水、气、噪声、土壤等环境因素进行跟踪监测。</w:t>
            </w:r>
          </w:p>
        </w:tc>
        <w:tc>
          <w:tcPr>
            <w:tcW w:w="966" w:type="pct"/>
            <w:vAlign w:val="center"/>
          </w:tcPr>
          <w:p w14:paraId="4EB29D71">
            <w:pPr>
              <w:pStyle w:val="17"/>
              <w:jc w:val="both"/>
              <w:rPr>
                <w:rFonts w:eastAsia="宋体"/>
              </w:rPr>
            </w:pPr>
            <w:r>
              <w:rPr>
                <w:rFonts w:hint="eastAsia" w:eastAsia="宋体"/>
              </w:rPr>
              <w:t>/</w:t>
            </w:r>
          </w:p>
        </w:tc>
        <w:tc>
          <w:tcPr>
            <w:tcW w:w="575" w:type="pct"/>
            <w:vAlign w:val="center"/>
          </w:tcPr>
          <w:p w14:paraId="0EC392A2">
            <w:pPr>
              <w:pStyle w:val="17"/>
              <w:jc w:val="both"/>
              <w:rPr>
                <w:rFonts w:eastAsia="宋体"/>
              </w:rPr>
            </w:pPr>
            <w:r>
              <w:rPr>
                <w:rFonts w:hint="eastAsia" w:eastAsia="宋体"/>
              </w:rPr>
              <w:t>/</w:t>
            </w:r>
          </w:p>
        </w:tc>
        <w:tc>
          <w:tcPr>
            <w:tcW w:w="444" w:type="pct"/>
            <w:vAlign w:val="center"/>
          </w:tcPr>
          <w:p w14:paraId="3BBC5F44">
            <w:pPr>
              <w:pStyle w:val="17"/>
              <w:jc w:val="both"/>
              <w:rPr>
                <w:rFonts w:eastAsia="宋体"/>
              </w:rPr>
            </w:pPr>
            <w:r>
              <w:rPr>
                <w:rFonts w:hint="eastAsia" w:eastAsia="宋体"/>
              </w:rPr>
              <w:t>/</w:t>
            </w:r>
          </w:p>
        </w:tc>
      </w:tr>
      <w:tr w14:paraId="5B0D03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3" w:type="pct"/>
            <w:vAlign w:val="center"/>
          </w:tcPr>
          <w:p w14:paraId="72ECCE45">
            <w:pPr>
              <w:pStyle w:val="17"/>
              <w:rPr>
                <w:rFonts w:eastAsia="宋体"/>
              </w:rPr>
            </w:pPr>
            <w:r>
              <w:rPr>
                <w:rFonts w:eastAsia="宋体"/>
              </w:rPr>
              <w:t>其他</w:t>
            </w:r>
          </w:p>
        </w:tc>
        <w:tc>
          <w:tcPr>
            <w:tcW w:w="2581" w:type="pct"/>
            <w:vAlign w:val="center"/>
          </w:tcPr>
          <w:p w14:paraId="18711B73">
            <w:pPr>
              <w:pStyle w:val="17"/>
              <w:jc w:val="both"/>
              <w:rPr>
                <w:rFonts w:eastAsia="宋体"/>
              </w:rPr>
            </w:pPr>
            <w:r>
              <w:rPr>
                <w:rFonts w:hint="eastAsia" w:eastAsia="宋体"/>
              </w:rPr>
              <w:t>/</w:t>
            </w:r>
          </w:p>
        </w:tc>
        <w:tc>
          <w:tcPr>
            <w:tcW w:w="966" w:type="pct"/>
            <w:vAlign w:val="center"/>
          </w:tcPr>
          <w:p w14:paraId="3FC6B359">
            <w:pPr>
              <w:pStyle w:val="17"/>
              <w:jc w:val="both"/>
              <w:rPr>
                <w:rFonts w:eastAsia="宋体"/>
              </w:rPr>
            </w:pPr>
            <w:r>
              <w:rPr>
                <w:rFonts w:hint="eastAsia" w:eastAsia="宋体"/>
              </w:rPr>
              <w:t>/</w:t>
            </w:r>
          </w:p>
        </w:tc>
        <w:tc>
          <w:tcPr>
            <w:tcW w:w="575" w:type="pct"/>
            <w:vAlign w:val="center"/>
          </w:tcPr>
          <w:p w14:paraId="2728A03E">
            <w:pPr>
              <w:pStyle w:val="17"/>
              <w:jc w:val="both"/>
              <w:rPr>
                <w:rFonts w:eastAsia="宋体"/>
              </w:rPr>
            </w:pPr>
            <w:r>
              <w:rPr>
                <w:rFonts w:hint="eastAsia" w:eastAsia="宋体"/>
              </w:rPr>
              <w:t>/</w:t>
            </w:r>
          </w:p>
        </w:tc>
        <w:tc>
          <w:tcPr>
            <w:tcW w:w="444" w:type="pct"/>
            <w:vAlign w:val="center"/>
          </w:tcPr>
          <w:p w14:paraId="15A9C870">
            <w:pPr>
              <w:pStyle w:val="17"/>
              <w:jc w:val="both"/>
              <w:rPr>
                <w:rFonts w:eastAsia="宋体"/>
              </w:rPr>
            </w:pPr>
            <w:r>
              <w:rPr>
                <w:rFonts w:hint="eastAsia" w:eastAsia="宋体"/>
              </w:rPr>
              <w:t>/</w:t>
            </w:r>
          </w:p>
        </w:tc>
      </w:tr>
    </w:tbl>
    <w:p w14:paraId="616E94A9">
      <w:pPr>
        <w:pStyle w:val="9"/>
        <w:spacing w:before="0" w:beforeAutospacing="0" w:after="0" w:afterAutospacing="0"/>
        <w:jc w:val="center"/>
        <w:outlineLvl w:val="0"/>
        <w:rPr>
          <w:rFonts w:ascii="Times New Roman" w:hAnsi="Times New Roman" w:eastAsia="宋体"/>
          <w:b/>
          <w:bCs/>
          <w:snapToGrid w:val="0"/>
          <w:sz w:val="30"/>
          <w:szCs w:val="30"/>
        </w:rPr>
      </w:pPr>
      <w:r>
        <w:rPr>
          <w:rFonts w:hint="eastAsia" w:ascii="黑体" w:hAnsi="黑体" w:eastAsia="黑体" w:cs="黑体"/>
          <w:b w:val="0"/>
          <w:bCs w:val="0"/>
          <w:snapToGrid w:val="0"/>
          <w:sz w:val="30"/>
          <w:szCs w:val="30"/>
        </w:rPr>
        <w:t>七、结论</w:t>
      </w:r>
    </w:p>
    <w:tbl>
      <w:tblPr>
        <w:tblStyle w:val="1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4147F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5000" w:type="pct"/>
          </w:tcPr>
          <w:p w14:paraId="554341D6">
            <w:pPr>
              <w:pStyle w:val="3"/>
              <w:ind w:firstLine="480"/>
              <w:rPr>
                <w:rFonts w:eastAsia="宋体"/>
              </w:rPr>
            </w:pPr>
            <w:r>
              <w:rPr>
                <w:rFonts w:hint="eastAsia" w:eastAsia="宋体"/>
              </w:rPr>
              <w:t>在落实本报告提出的各污染防治措施的前提下，污染物排放能达到相应标准，对环境影响较小。从环境保护角度而言，拟建项目实施是可行的。</w:t>
            </w:r>
          </w:p>
        </w:tc>
      </w:tr>
    </w:tbl>
    <w:p w14:paraId="33A13FCE"/>
    <w:p w14:paraId="0A1B4B9C"/>
    <w:p w14:paraId="0B5EC4C3"/>
    <w:p w14:paraId="173B976D">
      <w:pPr>
        <w:bidi w:val="0"/>
        <w:rPr>
          <w:rFonts w:hint="eastAsia"/>
          <w:b/>
          <w:bCs/>
          <w:color w:val="auto"/>
          <w:sz w:val="28"/>
          <w:szCs w:val="28"/>
          <w:lang w:val="en-US" w:eastAsia="zh-CN"/>
        </w:rPr>
      </w:pPr>
      <w:r>
        <w:rPr>
          <w:rFonts w:hint="eastAsia"/>
          <w:b/>
          <w:bCs/>
          <w:color w:val="auto"/>
          <w:sz w:val="28"/>
          <w:szCs w:val="28"/>
          <w:lang w:val="en-US" w:eastAsia="zh-CN"/>
        </w:rPr>
        <w:t>附图</w:t>
      </w:r>
      <w:r>
        <w:rPr>
          <w:rFonts w:hint="eastAsia"/>
          <w:b/>
          <w:bCs/>
          <w:color w:val="auto"/>
          <w:sz w:val="28"/>
          <w:szCs w:val="28"/>
          <w:lang w:eastAsia="zh-CN"/>
        </w:rPr>
        <w:t>：</w:t>
      </w:r>
    </w:p>
    <w:p w14:paraId="43C926EC">
      <w:pPr>
        <w:pStyle w:val="3"/>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val="en-US" w:eastAsia="zh-CN" w:bidi="ar-SA"/>
        </w:rPr>
        <w:t>1、</w:t>
      </w:r>
      <w:r>
        <w:rPr>
          <w:rFonts w:hint="eastAsia" w:ascii="宋体" w:hAnsi="宋体" w:eastAsia="宋体" w:cs="宋体"/>
          <w:color w:val="auto"/>
          <w:sz w:val="24"/>
          <w:szCs w:val="24"/>
          <w:lang w:val="en-US" w:eastAsia="zh-CN"/>
        </w:rPr>
        <w:t>项目地理位置图</w:t>
      </w:r>
    </w:p>
    <w:p w14:paraId="1A541755">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2、井场平面布置示意图及生态环境保护措施设计图</w:t>
      </w:r>
    </w:p>
    <w:p w14:paraId="2042ECF4">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3、沙105生态环境保护目标分布及位置关系图</w:t>
      </w:r>
    </w:p>
    <w:p w14:paraId="1CBFBE36">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4、沙86生态环境保护目标分布及位置关系图</w:t>
      </w:r>
    </w:p>
    <w:p w14:paraId="6D7F6CAD">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5、</w:t>
      </w:r>
      <w:r>
        <w:rPr>
          <w:rFonts w:hint="eastAsia" w:ascii="宋体" w:hAnsi="宋体" w:eastAsia="宋体" w:cs="宋体"/>
          <w:color w:val="auto"/>
          <w:sz w:val="24"/>
          <w:szCs w:val="24"/>
          <w:highlight w:val="none"/>
          <w:lang w:val="en-US" w:eastAsia="zh-CN"/>
        </w:rPr>
        <w:t>沙105井场与生态管控区域位置关系图</w:t>
      </w:r>
    </w:p>
    <w:p w14:paraId="2F10AC86">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6、沙86井场与生态管控区域位置关系图</w:t>
      </w:r>
    </w:p>
    <w:p w14:paraId="4AA1DFD5">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7、</w:t>
      </w:r>
      <w:r>
        <w:rPr>
          <w:rFonts w:hint="eastAsia" w:ascii="宋体" w:hAnsi="宋体" w:eastAsia="宋体" w:cs="宋体"/>
          <w:color w:val="auto"/>
          <w:sz w:val="24"/>
          <w:szCs w:val="24"/>
          <w:highlight w:val="none"/>
          <w:lang w:val="en-US" w:eastAsia="zh-CN"/>
        </w:rPr>
        <w:t>项目生态保护典型措施设计图</w:t>
      </w:r>
    </w:p>
    <w:p w14:paraId="7AC407A6">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8、</w:t>
      </w:r>
      <w:r>
        <w:rPr>
          <w:rFonts w:hint="eastAsia" w:ascii="宋体" w:hAnsi="宋体" w:eastAsia="宋体" w:cs="宋体"/>
          <w:color w:val="auto"/>
          <w:sz w:val="24"/>
          <w:szCs w:val="24"/>
          <w:highlight w:val="none"/>
          <w:lang w:val="en-US" w:eastAsia="zh-CN"/>
        </w:rPr>
        <w:t>项目在扬州市国土空间规划近期实施方案土地利用总体规划图的位置</w:t>
      </w:r>
    </w:p>
    <w:p w14:paraId="69209BEE">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9、项目生态保护典型措施设计图</w:t>
      </w:r>
    </w:p>
    <w:p w14:paraId="106DFEAE">
      <w:pPr>
        <w:pStyle w:val="3"/>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10、项目在探矿证位置</w:t>
      </w:r>
    </w:p>
    <w:p w14:paraId="3909FEC9">
      <w:pPr>
        <w:pStyle w:val="3"/>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11、沙埝联合站平面图</w:t>
      </w:r>
    </w:p>
    <w:p w14:paraId="1BCE05AE">
      <w:pPr>
        <w:bidi w:val="0"/>
        <w:rPr>
          <w:rFonts w:hint="eastAsia"/>
          <w:b/>
          <w:bCs/>
          <w:color w:val="auto"/>
          <w:sz w:val="28"/>
          <w:szCs w:val="28"/>
          <w:lang w:eastAsia="zh-CN"/>
        </w:rPr>
      </w:pPr>
      <w:r>
        <w:rPr>
          <w:rFonts w:hint="eastAsia"/>
          <w:b/>
          <w:bCs/>
          <w:color w:val="auto"/>
          <w:sz w:val="28"/>
          <w:szCs w:val="28"/>
          <w:lang w:eastAsia="zh-CN"/>
        </w:rPr>
        <w:t>附件：</w:t>
      </w:r>
    </w:p>
    <w:p w14:paraId="5D2EB487">
      <w:pPr>
        <w:pStyle w:val="3"/>
        <w:keepNext w:val="0"/>
        <w:keepLines w:val="0"/>
        <w:pageBreakBefore w:val="0"/>
        <w:numPr>
          <w:ilvl w:val="0"/>
          <w:numId w:val="7"/>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color w:val="auto"/>
          <w:kern w:val="2"/>
          <w:sz w:val="24"/>
          <w:szCs w:val="24"/>
          <w:highlight w:val="none"/>
          <w:lang w:val="en-US" w:eastAsia="zh-CN" w:bidi="ar-SA"/>
        </w:rPr>
      </w:pPr>
      <w:r>
        <w:rPr>
          <w:rFonts w:hint="default" w:ascii="宋体" w:hAnsi="宋体" w:eastAsia="宋体" w:cs="宋体"/>
          <w:color w:val="auto"/>
          <w:kern w:val="2"/>
          <w:sz w:val="24"/>
          <w:szCs w:val="24"/>
          <w:highlight w:val="none"/>
          <w:lang w:val="en-US" w:eastAsia="zh-CN" w:bidi="ar-SA"/>
        </w:rPr>
        <w:t>环评委托书</w:t>
      </w:r>
    </w:p>
    <w:p w14:paraId="310C5928">
      <w:pPr>
        <w:pStyle w:val="3"/>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color w:val="auto"/>
          <w:kern w:val="2"/>
          <w:sz w:val="24"/>
          <w:szCs w:val="24"/>
          <w:highlight w:val="none"/>
          <w:lang w:val="en-US" w:eastAsia="zh-CN" w:bidi="ar-SA"/>
        </w:rPr>
      </w:pPr>
      <w:r>
        <w:rPr>
          <w:rFonts w:hint="default" w:ascii="宋体" w:hAnsi="宋体" w:eastAsia="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en-US" w:eastAsia="zh-CN" w:bidi="ar-SA"/>
        </w:rPr>
        <w:t>、</w:t>
      </w:r>
      <w:r>
        <w:rPr>
          <w:rFonts w:hint="default" w:ascii="宋体" w:hAnsi="宋体" w:eastAsia="宋体" w:cs="宋体"/>
          <w:color w:val="auto"/>
          <w:kern w:val="2"/>
          <w:sz w:val="24"/>
          <w:szCs w:val="24"/>
          <w:highlight w:val="none"/>
          <w:lang w:val="en-US" w:eastAsia="zh-CN" w:bidi="ar-SA"/>
        </w:rPr>
        <w:t>营业执照及法人身份证</w:t>
      </w:r>
    </w:p>
    <w:p w14:paraId="52094DA9">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宋体" w:hAnsi="宋体" w:eastAsia="宋体" w:cs="宋体"/>
          <w:color w:val="auto"/>
          <w:kern w:val="2"/>
          <w:sz w:val="24"/>
          <w:szCs w:val="24"/>
          <w:highlight w:val="none"/>
          <w:lang w:val="en-US" w:eastAsia="zh-CN" w:bidi="ar-SA"/>
        </w:rPr>
      </w:pPr>
      <w:r>
        <w:rPr>
          <w:rFonts w:hint="default" w:ascii="宋体" w:hAnsi="宋体" w:eastAsia="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项目</w:t>
      </w:r>
      <w:r>
        <w:rPr>
          <w:rFonts w:hint="default" w:ascii="宋体" w:hAnsi="宋体" w:eastAsia="宋体" w:cs="宋体"/>
          <w:color w:val="auto"/>
          <w:kern w:val="2"/>
          <w:sz w:val="24"/>
          <w:szCs w:val="24"/>
          <w:highlight w:val="none"/>
          <w:lang w:val="en-US" w:eastAsia="zh-CN" w:bidi="ar-SA"/>
        </w:rPr>
        <w:t>备案确认单</w:t>
      </w:r>
    </w:p>
    <w:p w14:paraId="5D5DBCCC">
      <w:pPr>
        <w:spacing w:line="360" w:lineRule="auto"/>
        <w:ind w:firstLine="480" w:firstLineChars="200"/>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w:t>
      </w:r>
      <w:r>
        <w:rPr>
          <w:rFonts w:hint="default" w:ascii="宋体" w:hAnsi="宋体" w:eastAsia="宋体" w:cs="宋体"/>
          <w:color w:val="auto"/>
          <w:kern w:val="2"/>
          <w:sz w:val="24"/>
          <w:szCs w:val="24"/>
          <w:highlight w:val="none"/>
          <w:lang w:val="en-US" w:eastAsia="zh-CN" w:bidi="ar-SA"/>
        </w:rPr>
        <w:t>、探矿权证</w:t>
      </w:r>
    </w:p>
    <w:p w14:paraId="1181AE36">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w:t>
      </w:r>
      <w:r>
        <w:rPr>
          <w:rFonts w:hint="default" w:ascii="宋体" w:hAnsi="宋体" w:eastAsia="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依托设施的环保手续</w:t>
      </w:r>
    </w:p>
    <w:p w14:paraId="41D28947">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w:t>
      </w:r>
      <w:r>
        <w:rPr>
          <w:rFonts w:hint="default" w:ascii="宋体" w:hAnsi="宋体" w:eastAsia="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沙105</w:t>
      </w:r>
      <w:r>
        <w:rPr>
          <w:rFonts w:hint="eastAsia" w:ascii="宋体" w:hAnsi="宋体" w:cs="宋体"/>
          <w:color w:val="auto"/>
          <w:kern w:val="2"/>
          <w:sz w:val="24"/>
          <w:szCs w:val="24"/>
          <w:highlight w:val="none"/>
          <w:lang w:val="en-US" w:eastAsia="zh-CN" w:bidi="ar-SA"/>
        </w:rPr>
        <w:t>、沙86</w:t>
      </w:r>
      <w:r>
        <w:rPr>
          <w:rFonts w:hint="eastAsia" w:ascii="宋体" w:hAnsi="宋体" w:eastAsia="宋体" w:cs="宋体"/>
          <w:color w:val="auto"/>
          <w:kern w:val="2"/>
          <w:sz w:val="24"/>
          <w:szCs w:val="24"/>
          <w:highlight w:val="none"/>
          <w:lang w:val="en-US" w:eastAsia="zh-CN" w:bidi="ar-SA"/>
        </w:rPr>
        <w:t>井生态环境目标分布及位置关系测绘图</w:t>
      </w:r>
      <w:r>
        <w:rPr>
          <w:rFonts w:hint="eastAsia" w:ascii="宋体" w:hAnsi="宋体" w:cs="宋体"/>
          <w:color w:val="auto"/>
          <w:kern w:val="2"/>
          <w:sz w:val="24"/>
          <w:szCs w:val="24"/>
          <w:highlight w:val="none"/>
          <w:lang w:val="en-US" w:eastAsia="zh-CN" w:bidi="ar-SA"/>
        </w:rPr>
        <w:t>及单位资质</w:t>
      </w:r>
    </w:p>
    <w:p w14:paraId="5E4E3881">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7</w:t>
      </w:r>
      <w:r>
        <w:rPr>
          <w:rFonts w:hint="default" w:ascii="宋体" w:hAnsi="宋体" w:eastAsia="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公示截图</w:t>
      </w:r>
    </w:p>
    <w:p w14:paraId="1AB97AC0">
      <w:pPr>
        <w:pStyle w:val="3"/>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w:t>
      </w:r>
      <w:r>
        <w:rPr>
          <w:rFonts w:hint="default" w:ascii="宋体" w:hAnsi="宋体" w:eastAsia="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环评合同</w:t>
      </w:r>
    </w:p>
    <w:p w14:paraId="6C3BA075">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w:t>
      </w:r>
      <w:r>
        <w:rPr>
          <w:rFonts w:hint="default" w:ascii="宋体" w:hAnsi="宋体" w:eastAsia="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建设项目环境影响评价现场勘察记录表</w:t>
      </w:r>
    </w:p>
    <w:p w14:paraId="5F59FD63">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10</w:t>
      </w:r>
      <w:r>
        <w:rPr>
          <w:rFonts w:hint="default" w:ascii="宋体" w:hAnsi="宋体" w:eastAsia="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三级审核单</w:t>
      </w:r>
    </w:p>
    <w:p w14:paraId="177699F6">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11、乡镇预审意见</w:t>
      </w:r>
    </w:p>
    <w:p w14:paraId="06AF62B1">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12、水基钻井液鉴别报告</w:t>
      </w:r>
    </w:p>
    <w:p w14:paraId="4E3146B7">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13、钻井队便携式公共厕所说明书</w:t>
      </w:r>
    </w:p>
    <w:p w14:paraId="348356F1">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14、危废处置合同及处置单位资质</w:t>
      </w:r>
    </w:p>
    <w:p w14:paraId="5FAE35E7">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15、钻井废弃泥浆服务合同、营业执照</w:t>
      </w:r>
    </w:p>
    <w:p w14:paraId="42AAB895"/>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_GBK">
    <w:panose1 w:val="02000000000000000000"/>
    <w:charset w:val="86"/>
    <w:family w:val="script"/>
    <w:pitch w:val="default"/>
    <w:sig w:usb0="A00002BF" w:usb1="38CF7CFA" w:usb2="00082016" w:usb3="00000000" w:csb0="00040001" w:csb1="00000000"/>
  </w:font>
  <w:font w:name="华文仿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F08DB">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E60B32">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0E60B32">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60C6CE"/>
    <w:multiLevelType w:val="singleLevel"/>
    <w:tmpl w:val="AC60C6CE"/>
    <w:lvl w:ilvl="0" w:tentative="0">
      <w:start w:val="4"/>
      <w:numFmt w:val="chineseCounting"/>
      <w:suff w:val="nothing"/>
      <w:lvlText w:val="%1、"/>
      <w:lvlJc w:val="left"/>
      <w:rPr>
        <w:rFonts w:hint="eastAsia"/>
      </w:rPr>
    </w:lvl>
  </w:abstractNum>
  <w:abstractNum w:abstractNumId="1">
    <w:nsid w:val="EC88A7F1"/>
    <w:multiLevelType w:val="singleLevel"/>
    <w:tmpl w:val="EC88A7F1"/>
    <w:lvl w:ilvl="0" w:tentative="0">
      <w:start w:val="3"/>
      <w:numFmt w:val="decimal"/>
      <w:suff w:val="nothing"/>
      <w:lvlText w:val="（%1）"/>
      <w:lvlJc w:val="left"/>
    </w:lvl>
  </w:abstractNum>
  <w:abstractNum w:abstractNumId="2">
    <w:nsid w:val="FB00DE72"/>
    <w:multiLevelType w:val="singleLevel"/>
    <w:tmpl w:val="FB00DE72"/>
    <w:lvl w:ilvl="0" w:tentative="0">
      <w:start w:val="1"/>
      <w:numFmt w:val="lowerLetter"/>
      <w:suff w:val="nothing"/>
      <w:lvlText w:val="%1、"/>
      <w:lvlJc w:val="left"/>
    </w:lvl>
  </w:abstractNum>
  <w:abstractNum w:abstractNumId="3">
    <w:nsid w:val="121BCD00"/>
    <w:multiLevelType w:val="singleLevel"/>
    <w:tmpl w:val="121BCD00"/>
    <w:lvl w:ilvl="0" w:tentative="0">
      <w:start w:val="4"/>
      <w:numFmt w:val="decimal"/>
      <w:suff w:val="nothing"/>
      <w:lvlText w:val="（%1）"/>
      <w:lvlJc w:val="left"/>
    </w:lvl>
  </w:abstractNum>
  <w:abstractNum w:abstractNumId="4">
    <w:nsid w:val="2C56EC47"/>
    <w:multiLevelType w:val="singleLevel"/>
    <w:tmpl w:val="2C56EC47"/>
    <w:lvl w:ilvl="0" w:tentative="0">
      <w:start w:val="1"/>
      <w:numFmt w:val="decimal"/>
      <w:suff w:val="nothing"/>
      <w:lvlText w:val="%1、"/>
      <w:lvlJc w:val="left"/>
    </w:lvl>
  </w:abstractNum>
  <w:abstractNum w:abstractNumId="5">
    <w:nsid w:val="493D122E"/>
    <w:multiLevelType w:val="singleLevel"/>
    <w:tmpl w:val="493D122E"/>
    <w:lvl w:ilvl="0" w:tentative="0">
      <w:start w:val="2"/>
      <w:numFmt w:val="decimal"/>
      <w:suff w:val="nothing"/>
      <w:lvlText w:val="（%1）"/>
      <w:lvlJc w:val="left"/>
    </w:lvl>
  </w:abstractNum>
  <w:abstractNum w:abstractNumId="6">
    <w:nsid w:val="742AD290"/>
    <w:multiLevelType w:val="singleLevel"/>
    <w:tmpl w:val="742AD290"/>
    <w:lvl w:ilvl="0" w:tentative="0">
      <w:start w:val="5"/>
      <w:numFmt w:val="decimal"/>
      <w:suff w:val="nothing"/>
      <w:lvlText w:val="%1、"/>
      <w:lvlJc w:val="left"/>
    </w:lvl>
  </w:abstractNum>
  <w:num w:numId="1">
    <w:abstractNumId w:val="6"/>
  </w:num>
  <w:num w:numId="2">
    <w:abstractNumId w:val="0"/>
  </w:num>
  <w:num w:numId="3">
    <w:abstractNumId w:val="3"/>
  </w:num>
  <w:num w:numId="4">
    <w:abstractNumId w:val="5"/>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FjNTYxYzg1YWU5OGUyM2M4OTUxMmMzNDkxNWRiM2EifQ=="/>
  </w:docVars>
  <w:rsids>
    <w:rsidRoot w:val="00000000"/>
    <w:rsid w:val="01671B06"/>
    <w:rsid w:val="03315141"/>
    <w:rsid w:val="051200B1"/>
    <w:rsid w:val="07803677"/>
    <w:rsid w:val="090E0E5E"/>
    <w:rsid w:val="09EE103C"/>
    <w:rsid w:val="12B31D5E"/>
    <w:rsid w:val="199B4738"/>
    <w:rsid w:val="1A0863AE"/>
    <w:rsid w:val="1BB90427"/>
    <w:rsid w:val="1C053B16"/>
    <w:rsid w:val="1DD36C01"/>
    <w:rsid w:val="1FC5530D"/>
    <w:rsid w:val="23850FC2"/>
    <w:rsid w:val="247116EA"/>
    <w:rsid w:val="24EB481F"/>
    <w:rsid w:val="253B577B"/>
    <w:rsid w:val="27C54CBA"/>
    <w:rsid w:val="281A5D95"/>
    <w:rsid w:val="2B57745D"/>
    <w:rsid w:val="2C4424CF"/>
    <w:rsid w:val="2C8232F8"/>
    <w:rsid w:val="2F97169B"/>
    <w:rsid w:val="327674CE"/>
    <w:rsid w:val="33107117"/>
    <w:rsid w:val="340F3B91"/>
    <w:rsid w:val="363B3A34"/>
    <w:rsid w:val="39657736"/>
    <w:rsid w:val="3B08534B"/>
    <w:rsid w:val="3E1D7A93"/>
    <w:rsid w:val="3E210E97"/>
    <w:rsid w:val="3F3E2498"/>
    <w:rsid w:val="3F8E5FAB"/>
    <w:rsid w:val="4004120C"/>
    <w:rsid w:val="42AB1C50"/>
    <w:rsid w:val="44831430"/>
    <w:rsid w:val="48E704DA"/>
    <w:rsid w:val="4D126E35"/>
    <w:rsid w:val="4EB96475"/>
    <w:rsid w:val="4EEE066B"/>
    <w:rsid w:val="4F472EC4"/>
    <w:rsid w:val="500E2F37"/>
    <w:rsid w:val="50B74C36"/>
    <w:rsid w:val="521A2469"/>
    <w:rsid w:val="54774E08"/>
    <w:rsid w:val="57EE3633"/>
    <w:rsid w:val="5A857A79"/>
    <w:rsid w:val="5BF61BCD"/>
    <w:rsid w:val="5CA3554E"/>
    <w:rsid w:val="5E6B34D2"/>
    <w:rsid w:val="68B51C3C"/>
    <w:rsid w:val="693A78B1"/>
    <w:rsid w:val="741D7F70"/>
    <w:rsid w:val="742835D1"/>
    <w:rsid w:val="742B4FBD"/>
    <w:rsid w:val="76F2752C"/>
    <w:rsid w:val="7A5853B5"/>
    <w:rsid w:val="7BCC1B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3"/>
    <w:qFormat/>
    <w:uiPriority w:val="0"/>
    <w:pPr>
      <w:keepNext/>
      <w:keepLines/>
      <w:spacing w:line="360" w:lineRule="auto"/>
      <w:outlineLvl w:val="1"/>
    </w:pPr>
    <w:rPr>
      <w:rFonts w:eastAsia="仿宋"/>
      <w:b/>
      <w:sz w:val="24"/>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3">
    <w:name w:val="Body Text"/>
    <w:basedOn w:val="1"/>
    <w:link w:val="20"/>
    <w:qFormat/>
    <w:uiPriority w:val="0"/>
    <w:pPr>
      <w:widowControl/>
      <w:spacing w:line="360" w:lineRule="auto"/>
      <w:ind w:firstLine="720" w:firstLineChars="200"/>
    </w:pPr>
    <w:rPr>
      <w:rFonts w:ascii="Times New Roman" w:hAnsi="Times New Roman" w:eastAsia="仿宋"/>
      <w:kern w:val="0"/>
      <w:sz w:val="24"/>
    </w:rPr>
  </w:style>
  <w:style w:type="paragraph" w:styleId="4">
    <w:name w:val="Normal Indent"/>
    <w:basedOn w:val="1"/>
    <w:qFormat/>
    <w:uiPriority w:val="99"/>
    <w:pPr>
      <w:ind w:firstLine="420" w:firstLineChars="200"/>
    </w:pPr>
    <w:rPr>
      <w:rFonts w:ascii="宋体" w:hAnsi="Times New Roman"/>
      <w:szCs w:val="24"/>
    </w:rPr>
  </w:style>
  <w:style w:type="paragraph" w:styleId="5">
    <w:name w:val="annotation text"/>
    <w:basedOn w:val="1"/>
    <w:qFormat/>
    <w:uiPriority w:val="0"/>
    <w:pPr>
      <w:jc w:val="left"/>
    </w:pPr>
    <w:rPr>
      <w:rFonts w:ascii="Times New Roman" w:hAnsi="Times New Roman" w:eastAsia="宋体"/>
    </w:rPr>
  </w:style>
  <w:style w:type="paragraph" w:styleId="6">
    <w:name w:val="Body Text Indent"/>
    <w:basedOn w:val="1"/>
    <w:semiHidden/>
    <w:qFormat/>
    <w:uiPriority w:val="0"/>
    <w:pPr>
      <w:spacing w:after="120"/>
      <w:ind w:left="420" w:leftChars="200"/>
    </w:p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paragraph" w:styleId="10">
    <w:name w:val="Body Text First Indent 2"/>
    <w:basedOn w:val="6"/>
    <w:next w:val="1"/>
    <w:qFormat/>
    <w:uiPriority w:val="0"/>
    <w:pPr>
      <w:ind w:firstLine="420" w:firstLineChars="200"/>
    </w:p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qFormat/>
    <w:uiPriority w:val="0"/>
  </w:style>
  <w:style w:type="character" w:styleId="15">
    <w:name w:val="annotation reference"/>
    <w:semiHidden/>
    <w:qFormat/>
    <w:uiPriority w:val="0"/>
    <w:rPr>
      <w:sz w:val="21"/>
    </w:rPr>
  </w:style>
  <w:style w:type="paragraph" w:customStyle="1" w:styleId="16">
    <w:name w:val="表格、图标题"/>
    <w:basedOn w:val="1"/>
    <w:autoRedefine/>
    <w:qFormat/>
    <w:uiPriority w:val="0"/>
    <w:pPr>
      <w:jc w:val="center"/>
    </w:pPr>
    <w:rPr>
      <w:rFonts w:ascii="Times New Roman" w:hAnsi="Times New Roman" w:eastAsia="仿宋"/>
      <w:b/>
      <w:sz w:val="24"/>
    </w:rPr>
  </w:style>
  <w:style w:type="paragraph" w:customStyle="1" w:styleId="17">
    <w:name w:val="表格"/>
    <w:basedOn w:val="3"/>
    <w:next w:val="1"/>
    <w:autoRedefine/>
    <w:qFormat/>
    <w:uiPriority w:val="0"/>
    <w:pPr>
      <w:pBdr>
        <w:top w:val="none" w:color="auto" w:sz="0" w:space="1"/>
        <w:left w:val="none" w:color="auto" w:sz="0" w:space="4"/>
        <w:bottom w:val="none" w:color="auto" w:sz="0" w:space="1"/>
        <w:right w:val="none" w:color="auto" w:sz="0" w:space="4"/>
      </w:pBdr>
      <w:adjustRightInd w:val="0"/>
      <w:snapToGrid w:val="0"/>
      <w:spacing w:line="240" w:lineRule="auto"/>
      <w:ind w:firstLine="0" w:firstLineChars="0"/>
      <w:jc w:val="center"/>
    </w:pPr>
    <w:rPr>
      <w:sz w:val="21"/>
      <w:szCs w:val="21"/>
    </w:rPr>
  </w:style>
  <w:style w:type="paragraph" w:customStyle="1" w:styleId="18">
    <w:name w:val="表格内容"/>
    <w:basedOn w:val="1"/>
    <w:autoRedefine/>
    <w:qFormat/>
    <w:uiPriority w:val="0"/>
    <w:pPr>
      <w:overflowPunct w:val="0"/>
      <w:adjustRightInd w:val="0"/>
      <w:snapToGrid w:val="0"/>
      <w:spacing w:line="300" w:lineRule="auto"/>
      <w:jc w:val="center"/>
      <w:textAlignment w:val="baseline"/>
    </w:pPr>
    <w:rPr>
      <w:color w:val="000000"/>
      <w:kern w:val="0"/>
      <w:sz w:val="20"/>
      <w:lang w:val="zh-CN"/>
    </w:rPr>
  </w:style>
  <w:style w:type="paragraph" w:customStyle="1" w:styleId="19">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0">
    <w:name w:val="正文文本 字符"/>
    <w:link w:val="3"/>
    <w:autoRedefine/>
    <w:qFormat/>
    <w:locked/>
    <w:uiPriority w:val="0"/>
    <w:rPr>
      <w:rFonts w:ascii="Times New Roman" w:hAnsi="Times New Roman" w:eastAsia="仿宋"/>
      <w:kern w:val="0"/>
      <w:sz w:val="24"/>
    </w:rPr>
  </w:style>
  <w:style w:type="table" w:customStyle="1" w:styleId="21">
    <w:name w:val="表格主题221"/>
    <w:basedOn w:val="11"/>
    <w:qFormat/>
    <w:uiPriority w:val="0"/>
    <w:pPr>
      <w:widowControl w:val="0"/>
      <w:adjustRightInd w:val="0"/>
      <w:spacing w:line="360" w:lineRule="atLeast"/>
    </w:pPr>
    <w:rPr>
      <w:rFonts w:ascii="Times New Roman" w:hAnsi="Times New Roman" w:eastAsia="宋体" w:cs="Times New Roman"/>
      <w:kern w:val="0"/>
      <w:sz w:val="24"/>
      <w:szCs w:val="20"/>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3.emf"/><Relationship Id="rId7" Type="http://schemas.openxmlformats.org/officeDocument/2006/relationships/oleObject" Target="embeddings/oleObject1.bin"/><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3.wmf"/><Relationship Id="rId27" Type="http://schemas.openxmlformats.org/officeDocument/2006/relationships/oleObject" Target="embeddings/oleObject11.bin"/><Relationship Id="rId26" Type="http://schemas.openxmlformats.org/officeDocument/2006/relationships/image" Target="media/image12.wmf"/><Relationship Id="rId25" Type="http://schemas.openxmlformats.org/officeDocument/2006/relationships/oleObject" Target="embeddings/oleObject10.bin"/><Relationship Id="rId24" Type="http://schemas.openxmlformats.org/officeDocument/2006/relationships/image" Target="media/image11.wmf"/><Relationship Id="rId23" Type="http://schemas.openxmlformats.org/officeDocument/2006/relationships/oleObject" Target="embeddings/oleObject9.bin"/><Relationship Id="rId22" Type="http://schemas.openxmlformats.org/officeDocument/2006/relationships/image" Target="media/image10.wmf"/><Relationship Id="rId21" Type="http://schemas.openxmlformats.org/officeDocument/2006/relationships/oleObject" Target="embeddings/oleObject8.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8.wmf"/><Relationship Id="rId17" Type="http://schemas.openxmlformats.org/officeDocument/2006/relationships/oleObject" Target="embeddings/oleObject6.bin"/><Relationship Id="rId16" Type="http://schemas.openxmlformats.org/officeDocument/2006/relationships/image" Target="media/image7.wmf"/><Relationship Id="rId15" Type="http://schemas.openxmlformats.org/officeDocument/2006/relationships/oleObject" Target="embeddings/oleObject5.bin"/><Relationship Id="rId14" Type="http://schemas.openxmlformats.org/officeDocument/2006/relationships/image" Target="media/image6.emf"/><Relationship Id="rId13" Type="http://schemas.openxmlformats.org/officeDocument/2006/relationships/oleObject" Target="embeddings/oleObject4.bin"/><Relationship Id="rId12" Type="http://schemas.openxmlformats.org/officeDocument/2006/relationships/image" Target="media/image5.emf"/><Relationship Id="rId11" Type="http://schemas.openxmlformats.org/officeDocument/2006/relationships/oleObject" Target="embeddings/oleObject3.bin"/><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95</Pages>
  <Words>457</Words>
  <Characters>558</Characters>
  <Lines>0</Lines>
  <Paragraphs>0</Paragraphs>
  <TotalTime>15</TotalTime>
  <ScaleCrop>false</ScaleCrop>
  <LinksUpToDate>false</LinksUpToDate>
  <CharactersWithSpaces>648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2024-09-04T01:23:00Z</dcterms:created>
  <dc:creator>Administrator</dc:creator>
  <cp:lastModifiedBy>mandy</cp:lastModifiedBy>
  <cp:lastPrinted>2024-10-11T01:12:00Z</cp:lastPrinted>
  <dcterms:modified xsi:type="dcterms:W3CDTF">2024-10-21T01:26:04Z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DCEB859ACEA148F2B54D5ACA937426DF_13</vt:lpwstr>
  </property>
</Properties>
</file>